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795"/>
        <w:tblW w:w="10080" w:type="dxa"/>
        <w:tblBorders>
          <w:bottom w:val="single" w:sz="4" w:space="0" w:color="auto"/>
        </w:tblBorders>
        <w:tblLook w:val="04A0" w:firstRow="1" w:lastRow="0" w:firstColumn="1" w:lastColumn="0" w:noHBand="0" w:noVBand="1"/>
      </w:tblPr>
      <w:tblGrid>
        <w:gridCol w:w="388"/>
        <w:gridCol w:w="1012"/>
        <w:gridCol w:w="939"/>
        <w:gridCol w:w="3960"/>
        <w:gridCol w:w="3781"/>
      </w:tblGrid>
      <w:tr w:rsidR="000E0A17" w:rsidRPr="00A14DF4" w:rsidTr="000E6A88">
        <w:tc>
          <w:tcPr>
            <w:tcW w:w="2324" w:type="dxa"/>
            <w:gridSpan w:val="3"/>
          </w:tcPr>
          <w:p w:rsidR="000E0A17" w:rsidRPr="00A14DF4" w:rsidRDefault="000E0A17" w:rsidP="007C656E">
            <w:pPr>
              <w:spacing w:after="0"/>
              <w:rPr>
                <w:rFonts w:cs="Arial"/>
                <w:noProof/>
                <w:lang w:val="sr-Cyrl-RS"/>
              </w:rPr>
            </w:pPr>
            <w:r w:rsidRPr="00A14DF4">
              <w:rPr>
                <w:rFonts w:cs="Arial"/>
                <w:noProof/>
              </w:rPr>
              <w:drawing>
                <wp:anchor distT="152400" distB="152400" distL="152400" distR="152400" simplePos="0" relativeHeight="251659264" behindDoc="0" locked="0" layoutInCell="1" allowOverlap="1" wp14:anchorId="3918E115" wp14:editId="0A7FBA39">
                  <wp:simplePos x="0" y="0"/>
                  <wp:positionH relativeFrom="page">
                    <wp:posOffset>-53340</wp:posOffset>
                  </wp:positionH>
                  <wp:positionV relativeFrom="page">
                    <wp:posOffset>8255</wp:posOffset>
                  </wp:positionV>
                  <wp:extent cx="1101090" cy="1362075"/>
                  <wp:effectExtent l="0" t="0" r="3810" b="9525"/>
                  <wp:wrapThrough wrapText="bothSides">
                    <wp:wrapPolygon edited="0">
                      <wp:start x="0" y="0"/>
                      <wp:lineTo x="0" y="21449"/>
                      <wp:lineTo x="21301" y="21449"/>
                      <wp:lineTo x="2130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362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72" w:type="dxa"/>
          </w:tcPr>
          <w:p w:rsidR="000E0A17" w:rsidRPr="00A14DF4" w:rsidRDefault="000E0A17" w:rsidP="007C656E">
            <w:pPr>
              <w:spacing w:after="0"/>
              <w:rPr>
                <w:rFonts w:cs="Arial"/>
                <w:noProof/>
                <w:lang w:val="sr-Cyrl-RS"/>
              </w:rPr>
            </w:pPr>
          </w:p>
        </w:tc>
        <w:tc>
          <w:tcPr>
            <w:tcW w:w="3784" w:type="dxa"/>
          </w:tcPr>
          <w:p w:rsidR="000E0A17" w:rsidRPr="00A14DF4" w:rsidRDefault="000E0A17" w:rsidP="007C656E">
            <w:pPr>
              <w:spacing w:after="0"/>
              <w:jc w:val="center"/>
              <w:rPr>
                <w:rFonts w:cs="Arial"/>
                <w:noProof/>
                <w:lang w:val="sr-Cyrl-RS"/>
              </w:rPr>
            </w:pPr>
            <w:r w:rsidRPr="00A14DF4">
              <w:rPr>
                <w:rFonts w:cs="Arial"/>
                <w:noProof/>
              </w:rPr>
              <w:drawing>
                <wp:anchor distT="152400" distB="152400" distL="152400" distR="152400" simplePos="0" relativeHeight="251660288" behindDoc="0" locked="0" layoutInCell="1" allowOverlap="1" wp14:anchorId="6117DD25" wp14:editId="6B8BB65F">
                  <wp:simplePos x="0" y="0"/>
                  <wp:positionH relativeFrom="page">
                    <wp:posOffset>673100</wp:posOffset>
                  </wp:positionH>
                  <wp:positionV relativeFrom="page">
                    <wp:posOffset>357505</wp:posOffset>
                  </wp:positionV>
                  <wp:extent cx="1689100" cy="561975"/>
                  <wp:effectExtent l="0" t="0" r="6350" b="9525"/>
                  <wp:wrapThrough wrapText="bothSides">
                    <wp:wrapPolygon edited="0">
                      <wp:start x="0" y="0"/>
                      <wp:lineTo x="0" y="21234"/>
                      <wp:lineTo x="21438" y="21234"/>
                      <wp:lineTo x="2143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91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E0A17" w:rsidRPr="00A14DF4" w:rsidTr="000E6A88">
        <w:tc>
          <w:tcPr>
            <w:tcW w:w="388" w:type="dxa"/>
          </w:tcPr>
          <w:p w:rsidR="000E0A17" w:rsidRPr="00A14DF4" w:rsidRDefault="000E0A17" w:rsidP="007C656E">
            <w:pPr>
              <w:spacing w:after="0"/>
              <w:rPr>
                <w:rFonts w:cs="Arial"/>
                <w:noProof/>
                <w:sz w:val="20"/>
                <w:szCs w:val="20"/>
                <w:lang w:val="sr-Cyrl-RS"/>
              </w:rPr>
            </w:pPr>
          </w:p>
        </w:tc>
        <w:tc>
          <w:tcPr>
            <w:tcW w:w="996" w:type="dxa"/>
            <w:noWrap/>
            <w:tcMar>
              <w:left w:w="0" w:type="dxa"/>
              <w:right w:w="0" w:type="dxa"/>
            </w:tcMar>
          </w:tcPr>
          <w:p w:rsidR="000E0A17" w:rsidRPr="00A14DF4" w:rsidRDefault="000E0A17" w:rsidP="007C656E">
            <w:pPr>
              <w:spacing w:after="0"/>
              <w:jc w:val="center"/>
              <w:rPr>
                <w:rFonts w:cs="Arial"/>
                <w:noProof/>
                <w:sz w:val="18"/>
                <w:szCs w:val="18"/>
                <w:lang w:val="sr-Cyrl-RS"/>
              </w:rPr>
            </w:pPr>
            <w:r w:rsidRPr="00A14DF4">
              <w:rPr>
                <w:rFonts w:cs="Arial"/>
                <w:noProof/>
                <w:sz w:val="18"/>
                <w:szCs w:val="18"/>
                <w:lang w:val="sr-Cyrl-RS"/>
              </w:rPr>
              <w:t>БТ</w:t>
            </w:r>
          </w:p>
          <w:p w:rsidR="000E0A17" w:rsidRPr="00A14DF4" w:rsidRDefault="000E0A17" w:rsidP="007C656E">
            <w:pPr>
              <w:spacing w:after="0"/>
              <w:jc w:val="center"/>
              <w:rPr>
                <w:rFonts w:cs="Arial"/>
                <w:noProof/>
                <w:sz w:val="18"/>
                <w:szCs w:val="18"/>
                <w:lang w:val="sr-Cyrl-RS"/>
              </w:rPr>
            </w:pPr>
            <w:r w:rsidRPr="00A14DF4">
              <w:rPr>
                <w:rFonts w:cs="Arial"/>
                <w:noProof/>
                <w:sz w:val="18"/>
                <w:szCs w:val="18"/>
                <w:lang w:val="sr-Cyrl-RS"/>
              </w:rPr>
              <w:t xml:space="preserve"> 913/2024 </w:t>
            </w:r>
          </w:p>
        </w:tc>
        <w:tc>
          <w:tcPr>
            <w:tcW w:w="940" w:type="dxa"/>
          </w:tcPr>
          <w:p w:rsidR="000E0A17" w:rsidRPr="00A14DF4" w:rsidRDefault="000E0A17" w:rsidP="007C656E">
            <w:pPr>
              <w:spacing w:after="0"/>
              <w:rPr>
                <w:rFonts w:cs="Arial"/>
                <w:noProof/>
                <w:sz w:val="20"/>
                <w:szCs w:val="20"/>
                <w:lang w:val="sr-Cyrl-RS"/>
              </w:rPr>
            </w:pPr>
          </w:p>
        </w:tc>
        <w:tc>
          <w:tcPr>
            <w:tcW w:w="3972" w:type="dxa"/>
          </w:tcPr>
          <w:p w:rsidR="000E0A17" w:rsidRPr="00A14DF4" w:rsidRDefault="000E0A17" w:rsidP="007C656E">
            <w:pPr>
              <w:spacing w:after="0"/>
              <w:rPr>
                <w:rFonts w:cs="Arial"/>
                <w:noProof/>
                <w:lang w:val="sr-Cyrl-RS"/>
              </w:rPr>
            </w:pPr>
          </w:p>
        </w:tc>
        <w:tc>
          <w:tcPr>
            <w:tcW w:w="3784" w:type="dxa"/>
          </w:tcPr>
          <w:p w:rsidR="000E0A17" w:rsidRPr="00A14DF4" w:rsidRDefault="000E0A17" w:rsidP="007C656E">
            <w:pPr>
              <w:spacing w:after="0"/>
              <w:jc w:val="center"/>
              <w:rPr>
                <w:rFonts w:cs="Arial"/>
                <w:noProof/>
                <w:lang w:val="sr-Cyrl-RS"/>
              </w:rPr>
            </w:pPr>
          </w:p>
        </w:tc>
      </w:tr>
    </w:tbl>
    <w:p w:rsidR="000E0A17" w:rsidRPr="00A14DF4" w:rsidRDefault="000E0A17" w:rsidP="007C656E">
      <w:pPr>
        <w:pStyle w:val="FreeFormAA"/>
        <w:rPr>
          <w:rFonts w:ascii="Arial" w:hAnsi="Arial" w:cs="Arial"/>
          <w:noProof/>
          <w:spacing w:val="-1"/>
          <w:sz w:val="20"/>
          <w:lang w:val="sr-Cyrl-RS"/>
        </w:rPr>
      </w:pPr>
      <w:r w:rsidRPr="00A14DF4">
        <w:rPr>
          <w:rFonts w:ascii="Arial" w:hAnsi="Arial" w:cs="Arial"/>
          <w:noProof/>
          <w:spacing w:val="-1"/>
          <w:sz w:val="20"/>
          <w:lang w:val="sr-Cyrl-RS"/>
        </w:rPr>
        <w:t>бр. 021-01-2173/2024-02</w:t>
      </w:r>
      <w:r w:rsidRPr="00A14DF4">
        <w:rPr>
          <w:rFonts w:ascii="Arial" w:hAnsi="Arial" w:cs="Arial"/>
          <w:noProof/>
          <w:spacing w:val="-1"/>
          <w:sz w:val="20"/>
          <w:lang w:val="sr-Cyrl-RS"/>
        </w:rPr>
        <w:tab/>
        <w:t>датум: 7.2.2025.</w:t>
      </w:r>
    </w:p>
    <w:p w:rsidR="000E0A17" w:rsidRPr="00A14DF4" w:rsidRDefault="000E0A17" w:rsidP="007C656E">
      <w:pPr>
        <w:rPr>
          <w:rFonts w:cs="Arial"/>
          <w:noProof/>
          <w:lang w:val="sr-Cyrl-RS"/>
        </w:rPr>
      </w:pPr>
    </w:p>
    <w:p w:rsidR="004322C7" w:rsidRPr="00A14DF4" w:rsidRDefault="004322C7" w:rsidP="007C656E">
      <w:pPr>
        <w:jc w:val="center"/>
        <w:rPr>
          <w:rFonts w:cs="Arial"/>
          <w:b/>
          <w:noProof/>
          <w:sz w:val="28"/>
          <w:szCs w:val="28"/>
          <w:lang w:val="sr-Cyrl-RS"/>
        </w:rPr>
      </w:pPr>
    </w:p>
    <w:p w:rsidR="00EF0429" w:rsidRPr="00A14DF4" w:rsidRDefault="00EF0429" w:rsidP="007C656E">
      <w:pPr>
        <w:jc w:val="center"/>
        <w:rPr>
          <w:rFonts w:cs="Arial"/>
          <w:b/>
          <w:noProof/>
          <w:sz w:val="28"/>
          <w:szCs w:val="28"/>
          <w:lang w:val="sr-Cyrl-RS"/>
        </w:rPr>
      </w:pPr>
      <w:r w:rsidRPr="00A14DF4">
        <w:rPr>
          <w:rFonts w:cs="Arial"/>
          <w:b/>
          <w:noProof/>
          <w:sz w:val="28"/>
          <w:szCs w:val="28"/>
          <w:lang w:val="sr-Cyrl-RS"/>
        </w:rPr>
        <w:t xml:space="preserve">РЕПУБЛИЧКИ ФОНД ЗА </w:t>
      </w:r>
      <w:r w:rsidR="004322C7" w:rsidRPr="00A14DF4">
        <w:rPr>
          <w:rFonts w:cs="Arial"/>
          <w:b/>
          <w:noProof/>
          <w:sz w:val="28"/>
          <w:szCs w:val="28"/>
          <w:lang w:val="sr-Cyrl-RS"/>
        </w:rPr>
        <w:t>ЗДРАВСТВЕНО ОСИГУРАЊЕ</w:t>
      </w:r>
    </w:p>
    <w:p w:rsidR="00EF0429" w:rsidRPr="00A14DF4" w:rsidRDefault="00EF0429" w:rsidP="007C656E">
      <w:pPr>
        <w:rPr>
          <w:rFonts w:cs="Arial"/>
          <w:noProof/>
          <w:lang w:val="sr-Cyrl-RS"/>
        </w:rPr>
      </w:pPr>
      <w:r w:rsidRPr="00A14DF4">
        <w:rPr>
          <w:rFonts w:cs="Arial"/>
          <w:noProof/>
          <w:sz w:val="28"/>
          <w:szCs w:val="28"/>
          <w:lang w:val="sr-Cyrl-RS"/>
        </w:rPr>
        <w:t xml:space="preserve">                           </w:t>
      </w:r>
      <w:r w:rsidRPr="00A14DF4">
        <w:rPr>
          <w:rFonts w:cs="Arial"/>
          <w:b/>
          <w:noProof/>
          <w:sz w:val="28"/>
          <w:szCs w:val="28"/>
          <w:lang w:val="sr-Cyrl-RS"/>
        </w:rPr>
        <w:t>Сања Радојевић – Шкодрић, в.д. директора</w:t>
      </w:r>
    </w:p>
    <w:p w:rsidR="00EF0429" w:rsidRPr="00A14DF4" w:rsidRDefault="00EF0429" w:rsidP="007C656E">
      <w:pPr>
        <w:rPr>
          <w:rFonts w:cs="Arial"/>
          <w:noProof/>
          <w:lang w:val="sr-Cyrl-RS"/>
        </w:rPr>
      </w:pPr>
    </w:p>
    <w:p w:rsidR="000E0A17" w:rsidRPr="00A14DF4" w:rsidRDefault="000E0A17" w:rsidP="007C656E">
      <w:pPr>
        <w:rPr>
          <w:rFonts w:cs="Arial"/>
          <w:noProof/>
          <w:lang w:val="sr-Cyrl-RS"/>
        </w:rPr>
      </w:pPr>
      <w:r w:rsidRPr="00A14DF4">
        <w:rPr>
          <w:rFonts w:cs="Arial"/>
          <w:noProof/>
          <w:lang w:val="sr-Cyrl-RS"/>
        </w:rPr>
        <w:t>По</w:t>
      </w:r>
      <w:r w:rsidR="004322C7" w:rsidRPr="00A14DF4">
        <w:rPr>
          <w:rFonts w:cs="Arial"/>
          <w:noProof/>
          <w:lang w:val="sr-Cyrl-RS"/>
        </w:rPr>
        <w:t>штована госпођо Радојевић – Шкодрић,</w:t>
      </w:r>
    </w:p>
    <w:p w:rsidR="00490A8F" w:rsidRPr="00A14DF4" w:rsidRDefault="000E0A17" w:rsidP="007C656E">
      <w:pPr>
        <w:rPr>
          <w:rFonts w:cs="Arial"/>
          <w:noProof/>
          <w:lang w:val="sr-Cyrl-RS"/>
        </w:rPr>
      </w:pPr>
      <w:r w:rsidRPr="00A14DF4">
        <w:rPr>
          <w:rFonts w:cs="Arial"/>
          <w:noProof/>
          <w:lang w:val="sr-Cyrl-RS"/>
        </w:rPr>
        <w:t xml:space="preserve">Поверенику за заштиту равноправности су се обратиле </w:t>
      </w:r>
      <w:r w:rsidR="00523526" w:rsidRPr="00A14DF4">
        <w:rPr>
          <w:rFonts w:cs="Arial"/>
          <w:noProof/>
          <w:lang w:val="sr-Cyrl-RS"/>
        </w:rPr>
        <w:t xml:space="preserve">представнице </w:t>
      </w:r>
      <w:r w:rsidR="00921210">
        <w:rPr>
          <w:rFonts w:cs="Arial"/>
          <w:noProof/>
          <w:lang w:val="sr-Cyrl-RS"/>
        </w:rPr>
        <w:t>два удружења</w:t>
      </w:r>
      <w:bookmarkStart w:id="0" w:name="_GoBack"/>
      <w:bookmarkEnd w:id="0"/>
      <w:r w:rsidR="00523526" w:rsidRPr="00A14DF4">
        <w:rPr>
          <w:rFonts w:cs="Arial"/>
          <w:noProof/>
          <w:lang w:val="sr-Cyrl-RS"/>
        </w:rPr>
        <w:t>,</w:t>
      </w:r>
      <w:r w:rsidRPr="00A14DF4">
        <w:rPr>
          <w:rFonts w:cs="Arial"/>
          <w:noProof/>
          <w:lang w:val="sr-Cyrl-RS"/>
        </w:rPr>
        <w:t xml:space="preserve"> </w:t>
      </w:r>
      <w:r w:rsidR="00523526" w:rsidRPr="00A14DF4">
        <w:rPr>
          <w:rFonts w:cs="Arial"/>
          <w:noProof/>
          <w:lang w:val="sr-Cyrl-RS"/>
        </w:rPr>
        <w:t>указујући на изазове у приступу лековима и терапијама особа које живе са мултиплом склеро</w:t>
      </w:r>
      <w:r w:rsidR="004D5856" w:rsidRPr="00A14DF4">
        <w:rPr>
          <w:rFonts w:cs="Arial"/>
          <w:noProof/>
          <w:lang w:val="sr-Cyrl-RS"/>
        </w:rPr>
        <w:t xml:space="preserve">зом. </w:t>
      </w:r>
      <w:r w:rsidR="00490A8F" w:rsidRPr="00A14DF4">
        <w:rPr>
          <w:rFonts w:cs="Arial"/>
          <w:noProof/>
          <w:lang w:val="sr-Cyrl-RS"/>
        </w:rPr>
        <w:t xml:space="preserve">Према наводима ових </w:t>
      </w:r>
      <w:r w:rsidR="000B310C" w:rsidRPr="00A14DF4">
        <w:rPr>
          <w:rFonts w:cs="Arial"/>
          <w:noProof/>
          <w:lang w:val="sr-Cyrl-RS"/>
        </w:rPr>
        <w:t>удружења</w:t>
      </w:r>
      <w:r w:rsidR="00490A8F" w:rsidRPr="00A14DF4">
        <w:rPr>
          <w:rFonts w:cs="Arial"/>
          <w:noProof/>
          <w:lang w:val="sr-Cyrl-RS"/>
        </w:rPr>
        <w:t>, иако је пре две године уведена пракса да особе</w:t>
      </w:r>
      <w:r w:rsidR="00CE2475" w:rsidRPr="00A14DF4">
        <w:rPr>
          <w:rFonts w:cs="Arial"/>
          <w:noProof/>
          <w:lang w:val="sr-Cyrl-RS"/>
        </w:rPr>
        <w:t xml:space="preserve"> које живе са мултиплом склерозом</w:t>
      </w:r>
      <w:r w:rsidR="00490A8F" w:rsidRPr="00A14DF4">
        <w:rPr>
          <w:rFonts w:cs="Arial"/>
          <w:noProof/>
          <w:lang w:val="sr-Cyrl-RS"/>
        </w:rPr>
        <w:t xml:space="preserve"> примају ињекционе терапије умерене ефикасности у здравственим центрима у својим локалним заје</w:t>
      </w:r>
      <w:r w:rsidR="00CE2475" w:rsidRPr="00A14DF4">
        <w:rPr>
          <w:rFonts w:cs="Arial"/>
          <w:noProof/>
          <w:lang w:val="sr-Cyrl-RS"/>
        </w:rPr>
        <w:t>дницама, и даље је неопход</w:t>
      </w:r>
      <w:r w:rsidR="00490A8F" w:rsidRPr="00A14DF4">
        <w:rPr>
          <w:rFonts w:cs="Arial"/>
          <w:noProof/>
          <w:lang w:val="sr-Cyrl-RS"/>
        </w:rPr>
        <w:t xml:space="preserve">но да оралне терапије преузимају у клиничким центрима, као и једну ињекциону </w:t>
      </w:r>
      <w:r w:rsidR="0071235C" w:rsidRPr="00A14DF4">
        <w:rPr>
          <w:rFonts w:cs="Arial"/>
          <w:noProof/>
          <w:lang w:val="sr-Cyrl-RS"/>
        </w:rPr>
        <w:t>терапију – О</w:t>
      </w:r>
      <w:r w:rsidR="00CE2475" w:rsidRPr="00A14DF4">
        <w:rPr>
          <w:rFonts w:cs="Arial"/>
          <w:noProof/>
          <w:lang w:val="sr-Cyrl-RS"/>
        </w:rPr>
        <w:t xml:space="preserve">фатумумаб (Кесимпта). Ово често значи да особе са инвалидитетом, које се већ боре са озбиљним здравственим тешкоћама, морају путовати и више од шездезет километара како би преузеле потребне лекове. Додатно, како су </w:t>
      </w:r>
      <w:r w:rsidR="00B776A7" w:rsidRPr="00A14DF4">
        <w:rPr>
          <w:rFonts w:cs="Arial"/>
          <w:noProof/>
          <w:lang w:val="sr-Cyrl-RS"/>
        </w:rPr>
        <w:t>удружења</w:t>
      </w:r>
      <w:r w:rsidR="00CE2475" w:rsidRPr="00A14DF4">
        <w:rPr>
          <w:rFonts w:cs="Arial"/>
          <w:noProof/>
          <w:lang w:val="sr-Cyrl-RS"/>
        </w:rPr>
        <w:t xml:space="preserve"> даље навел</w:t>
      </w:r>
      <w:r w:rsidR="00B776A7" w:rsidRPr="00A14DF4">
        <w:rPr>
          <w:rFonts w:cs="Arial"/>
          <w:noProof/>
          <w:lang w:val="sr-Cyrl-RS"/>
        </w:rPr>
        <w:t>а</w:t>
      </w:r>
      <w:r w:rsidR="00CE2475" w:rsidRPr="00A14DF4">
        <w:rPr>
          <w:rFonts w:cs="Arial"/>
          <w:noProof/>
          <w:lang w:val="sr-Cyrl-RS"/>
        </w:rPr>
        <w:t>, ове особе су присиљене да чекају у редовима приликом преузимања, што повећава ризик од вирусних инфекција, нарочито у условима боравка у затвореним просто</w:t>
      </w:r>
      <w:r w:rsidR="00D01433" w:rsidRPr="00A14DF4">
        <w:rPr>
          <w:rFonts w:cs="Arial"/>
          <w:noProof/>
          <w:lang w:val="sr-Cyrl-RS"/>
        </w:rPr>
        <w:t>рима са великим бројем људи. Ова удружења</w:t>
      </w:r>
      <w:r w:rsidR="00CE2475" w:rsidRPr="00A14DF4">
        <w:rPr>
          <w:rFonts w:cs="Arial"/>
          <w:noProof/>
          <w:lang w:val="sr-Cyrl-RS"/>
        </w:rPr>
        <w:t xml:space="preserve"> сматрају да би било не само практичније, већ и праведније, да особе које живе са мултиплом склерозом могу преузимати наведене терапије у локалним здравственим центрима. Тиме би се омогућио лакши и сигурнији приступ лечењу, посебно за особе са инвалидитетом, које се суочавају са додатним изазовима током путовања на веће удаљености. </w:t>
      </w:r>
      <w:r w:rsidR="007C656E" w:rsidRPr="00A14DF4">
        <w:rPr>
          <w:rFonts w:cs="Arial"/>
          <w:noProof/>
          <w:lang w:val="sr-Cyrl-RS"/>
        </w:rPr>
        <w:t xml:space="preserve">Удружења су </w:t>
      </w:r>
      <w:r w:rsidR="007C656E">
        <w:rPr>
          <w:rFonts w:cs="Arial"/>
          <w:noProof/>
          <w:lang w:val="sr-Cyrl-RS"/>
        </w:rPr>
        <w:t xml:space="preserve">посебно </w:t>
      </w:r>
      <w:r w:rsidR="007C656E" w:rsidRPr="00A14DF4">
        <w:rPr>
          <w:rFonts w:cs="Arial"/>
          <w:noProof/>
          <w:lang w:val="sr-Cyrl-RS"/>
        </w:rPr>
        <w:t>напоменула да се током преузимања оралне терапије оболели не подвргавају додатним прегледима или консултација са лекарима.</w:t>
      </w:r>
      <w:r w:rsidR="007C656E">
        <w:rPr>
          <w:rFonts w:cs="Arial"/>
          <w:noProof/>
          <w:lang w:val="sr-Cyrl-RS"/>
        </w:rPr>
        <w:t xml:space="preserve"> </w:t>
      </w:r>
      <w:r w:rsidR="00CE2475" w:rsidRPr="00A14DF4">
        <w:rPr>
          <w:rFonts w:cs="Arial"/>
          <w:noProof/>
          <w:lang w:val="sr-Cyrl-RS"/>
        </w:rPr>
        <w:t xml:space="preserve">Верујући да би </w:t>
      </w:r>
      <w:r w:rsidR="007C656E">
        <w:rPr>
          <w:rFonts w:cs="Arial"/>
          <w:noProof/>
          <w:lang w:val="sr-Cyrl-RS"/>
        </w:rPr>
        <w:t>измена досадашње</w:t>
      </w:r>
      <w:r w:rsidR="00CE2475" w:rsidRPr="00A14DF4">
        <w:rPr>
          <w:rFonts w:cs="Arial"/>
          <w:noProof/>
          <w:lang w:val="sr-Cyrl-RS"/>
        </w:rPr>
        <w:t xml:space="preserve"> пракс</w:t>
      </w:r>
      <w:r w:rsidR="007C656E">
        <w:rPr>
          <w:rFonts w:cs="Arial"/>
          <w:noProof/>
          <w:lang w:val="sr-Cyrl-RS"/>
        </w:rPr>
        <w:t>е</w:t>
      </w:r>
      <w:r w:rsidR="00CE2475" w:rsidRPr="00A14DF4">
        <w:rPr>
          <w:rFonts w:cs="Arial"/>
          <w:noProof/>
          <w:lang w:val="sr-Cyrl-RS"/>
        </w:rPr>
        <w:t xml:space="preserve"> допринела већој равноправности и очувању достојанства</w:t>
      </w:r>
      <w:r w:rsidR="004D625B" w:rsidRPr="00A14DF4">
        <w:rPr>
          <w:rFonts w:cs="Arial"/>
          <w:noProof/>
          <w:lang w:val="sr-Cyrl-RS"/>
        </w:rPr>
        <w:t xml:space="preserve"> особа са инвалидитетом, ове организације су од Повере</w:t>
      </w:r>
      <w:r w:rsidR="004D5856" w:rsidRPr="00A14DF4">
        <w:rPr>
          <w:rFonts w:cs="Arial"/>
          <w:noProof/>
          <w:lang w:val="sr-Cyrl-RS"/>
        </w:rPr>
        <w:t xml:space="preserve">ника за заштиту равноправности </w:t>
      </w:r>
      <w:r w:rsidR="004D625B" w:rsidRPr="00A14DF4">
        <w:rPr>
          <w:rFonts w:cs="Arial"/>
          <w:noProof/>
          <w:lang w:val="sr-Cyrl-RS"/>
        </w:rPr>
        <w:t xml:space="preserve">тражиле да подржи њихову иницијативу за промену начина дистрибуције оралних терапија и лека Кесимпта. </w:t>
      </w:r>
    </w:p>
    <w:p w:rsidR="009C36F1" w:rsidRPr="00A14DF4" w:rsidRDefault="007C656E" w:rsidP="007C656E">
      <w:pPr>
        <w:spacing w:after="0"/>
        <w:rPr>
          <w:rFonts w:cs="Arial"/>
          <w:noProof/>
          <w:color w:val="000000"/>
          <w:lang w:val="sr-Cyrl-RS"/>
        </w:rPr>
      </w:pPr>
      <w:r>
        <w:rPr>
          <w:rFonts w:cs="Arial"/>
          <w:noProof/>
          <w:lang w:val="sr-Cyrl-RS"/>
        </w:rPr>
        <w:lastRenderedPageBreak/>
        <w:t xml:space="preserve">С тим у вези користимо прилику да укажемо на одредбе </w:t>
      </w:r>
      <w:r w:rsidR="009C36F1" w:rsidRPr="00A14DF4">
        <w:rPr>
          <w:rFonts w:cs="Arial"/>
          <w:noProof/>
          <w:lang w:val="sr-Cyrl-RS"/>
        </w:rPr>
        <w:t>Конвенциј</w:t>
      </w:r>
      <w:r>
        <w:rPr>
          <w:rFonts w:cs="Arial"/>
          <w:noProof/>
          <w:lang w:val="sr-Cyrl-RS"/>
        </w:rPr>
        <w:t xml:space="preserve">е Уједињених нација </w:t>
      </w:r>
      <w:r w:rsidR="009C36F1" w:rsidRPr="00A14DF4">
        <w:rPr>
          <w:rFonts w:cs="Arial"/>
          <w:noProof/>
          <w:lang w:val="sr-Cyrl-RS"/>
        </w:rPr>
        <w:t>о правима особа са инвалидитетом</w:t>
      </w:r>
      <w:r w:rsidR="009C36F1" w:rsidRPr="00A14DF4">
        <w:rPr>
          <w:rFonts w:cs="Arial"/>
          <w:noProof/>
          <w:vertAlign w:val="superscript"/>
          <w:lang w:val="sr-Cyrl-RS"/>
        </w:rPr>
        <w:footnoteReference w:id="1"/>
      </w:r>
      <w:r w:rsidR="009C36F1" w:rsidRPr="00A14DF4">
        <w:rPr>
          <w:rFonts w:cs="Arial"/>
          <w:noProof/>
          <w:lang w:val="sr-Cyrl-RS"/>
        </w:rPr>
        <w:t>. Одредбама члана 25. Конвенције државе стране уговорнице обавезале су се да признају особама са инвалидитетом право на остваривање највишег могућег здравственог стандарда без дискриминације засноване на инвалидитету. Наиме, државе стране уговорнице посебно ће обезбедити оне здравствене услуге које су конкретно потребне особама са инвалидитетом због њиховог инвалидитета, укључујући рано откривање и интервенцију, по потреби, и услуге намењене свођењу на најмању меру и спречавању даљег инвалидитета, укључујући међу децом и старијим особама. Такође, одредбама члана 26. Конвенције државе стране уговорнице су се обавезале да ће предузети ефикасне и одговарајуће мере, укључујући путем подршке особа са сличним тегобама, како би се особама са инвалидитетом омогућило да постигну и очувају максималну независност, пуну физичку, менталну, социјалну и стручну способност, као и пуно укључивање и учешће у свим аспектима живота. У том циљу, државе стране уговорнице су се обавезале да ће организовати, ојачати и пружити свеобухватне услуге и програме одржавања и рехабилитације, посебно у области здравља, запошљавања, образовања и социјалних услуга, тако да ове услуге и програми отпочну у најранијој могућој фази и да се заснивају на мултидисциплинарној процени индивидуалних потреба и способности.</w:t>
      </w:r>
    </w:p>
    <w:p w:rsidR="003B0011" w:rsidRPr="00A14DF4" w:rsidRDefault="003B0011" w:rsidP="007C656E">
      <w:pPr>
        <w:tabs>
          <w:tab w:val="left" w:pos="450"/>
        </w:tabs>
        <w:autoSpaceDE w:val="0"/>
        <w:autoSpaceDN w:val="0"/>
        <w:adjustRightInd w:val="0"/>
        <w:spacing w:after="200"/>
        <w:rPr>
          <w:rFonts w:cs="Arial"/>
          <w:noProof/>
          <w:lang w:val="sr-Cyrl-RS"/>
        </w:rPr>
      </w:pPr>
    </w:p>
    <w:p w:rsidR="00D6066F" w:rsidRPr="00A14DF4" w:rsidRDefault="00D6066F" w:rsidP="007C656E">
      <w:pPr>
        <w:tabs>
          <w:tab w:val="left" w:pos="450"/>
        </w:tabs>
        <w:autoSpaceDE w:val="0"/>
        <w:autoSpaceDN w:val="0"/>
        <w:adjustRightInd w:val="0"/>
        <w:spacing w:after="200"/>
        <w:rPr>
          <w:rFonts w:cs="Arial"/>
          <w:noProof/>
          <w:lang w:val="sr-Cyrl-RS"/>
        </w:rPr>
      </w:pPr>
      <w:r w:rsidRPr="00A14DF4">
        <w:rPr>
          <w:rFonts w:cs="Arial"/>
          <w:noProof/>
          <w:lang w:val="sr-Cyrl-RS"/>
        </w:rPr>
        <w:t>У Општем коментару број 2 (2014), на члан 9. Конвенције о правима особа са инвалидитетом, Комитет за права особа са инвалидитетом најпре је истакао да је приступачност</w:t>
      </w:r>
      <w:r w:rsidRPr="00A14DF4">
        <w:rPr>
          <w:rFonts w:cs="Arial"/>
          <w:noProof/>
          <w:spacing w:val="17"/>
          <w:lang w:val="sr-Cyrl-RS"/>
        </w:rPr>
        <w:t xml:space="preserve"> </w:t>
      </w:r>
      <w:r w:rsidRPr="00A14DF4">
        <w:rPr>
          <w:rFonts w:cs="Arial"/>
          <w:noProof/>
          <w:lang w:val="sr-Cyrl-RS"/>
        </w:rPr>
        <w:t>предуслов</w:t>
      </w:r>
      <w:r w:rsidRPr="00A14DF4">
        <w:rPr>
          <w:rFonts w:cs="Arial"/>
          <w:noProof/>
          <w:spacing w:val="18"/>
          <w:lang w:val="sr-Cyrl-RS"/>
        </w:rPr>
        <w:t xml:space="preserve"> </w:t>
      </w:r>
      <w:r w:rsidRPr="00A14DF4">
        <w:rPr>
          <w:rFonts w:cs="Arial"/>
          <w:noProof/>
          <w:lang w:val="sr-Cyrl-RS"/>
        </w:rPr>
        <w:t>за</w:t>
      </w:r>
      <w:r w:rsidRPr="00A14DF4">
        <w:rPr>
          <w:rFonts w:cs="Arial"/>
          <w:noProof/>
          <w:spacing w:val="18"/>
          <w:lang w:val="sr-Cyrl-RS"/>
        </w:rPr>
        <w:t xml:space="preserve"> </w:t>
      </w:r>
      <w:r w:rsidRPr="00A14DF4">
        <w:rPr>
          <w:rFonts w:cs="Arial"/>
          <w:noProof/>
          <w:lang w:val="sr-Cyrl-RS"/>
        </w:rPr>
        <w:t>самосталан</w:t>
      </w:r>
      <w:r w:rsidRPr="00A14DF4">
        <w:rPr>
          <w:rFonts w:cs="Arial"/>
          <w:noProof/>
          <w:spacing w:val="19"/>
          <w:lang w:val="sr-Cyrl-RS"/>
        </w:rPr>
        <w:t xml:space="preserve"> </w:t>
      </w:r>
      <w:r w:rsidRPr="00A14DF4">
        <w:rPr>
          <w:rFonts w:cs="Arial"/>
          <w:noProof/>
          <w:lang w:val="sr-Cyrl-RS"/>
        </w:rPr>
        <w:t>живот</w:t>
      </w:r>
      <w:r w:rsidRPr="00A14DF4">
        <w:rPr>
          <w:rFonts w:cs="Arial"/>
          <w:noProof/>
          <w:spacing w:val="17"/>
          <w:lang w:val="sr-Cyrl-RS"/>
        </w:rPr>
        <w:t xml:space="preserve"> </w:t>
      </w:r>
      <w:r w:rsidRPr="00A14DF4">
        <w:rPr>
          <w:rFonts w:cs="Arial"/>
          <w:noProof/>
          <w:lang w:val="sr-Cyrl-RS"/>
        </w:rPr>
        <w:t>и</w:t>
      </w:r>
      <w:r w:rsidRPr="00A14DF4">
        <w:rPr>
          <w:rFonts w:cs="Arial"/>
          <w:noProof/>
          <w:spacing w:val="20"/>
          <w:lang w:val="sr-Cyrl-RS"/>
        </w:rPr>
        <w:t xml:space="preserve"> </w:t>
      </w:r>
      <w:r w:rsidRPr="00A14DF4">
        <w:rPr>
          <w:rFonts w:cs="Arial"/>
          <w:noProof/>
          <w:lang w:val="sr-Cyrl-RS"/>
        </w:rPr>
        <w:t>пуно</w:t>
      </w:r>
      <w:r w:rsidRPr="00A14DF4">
        <w:rPr>
          <w:rFonts w:cs="Arial"/>
          <w:noProof/>
          <w:spacing w:val="19"/>
          <w:lang w:val="sr-Cyrl-RS"/>
        </w:rPr>
        <w:t xml:space="preserve"> </w:t>
      </w:r>
      <w:r w:rsidRPr="00A14DF4">
        <w:rPr>
          <w:rFonts w:cs="Arial"/>
          <w:noProof/>
          <w:lang w:val="sr-Cyrl-RS"/>
        </w:rPr>
        <w:t>и</w:t>
      </w:r>
      <w:r w:rsidRPr="00A14DF4">
        <w:rPr>
          <w:rFonts w:cs="Arial"/>
          <w:noProof/>
          <w:spacing w:val="17"/>
          <w:lang w:val="sr-Cyrl-RS"/>
        </w:rPr>
        <w:t xml:space="preserve"> </w:t>
      </w:r>
      <w:r w:rsidRPr="00A14DF4">
        <w:rPr>
          <w:rFonts w:cs="Arial"/>
          <w:noProof/>
          <w:lang w:val="sr-Cyrl-RS"/>
        </w:rPr>
        <w:t>равноправно</w:t>
      </w:r>
      <w:r w:rsidRPr="00A14DF4">
        <w:rPr>
          <w:rFonts w:cs="Arial"/>
          <w:noProof/>
          <w:spacing w:val="21"/>
          <w:lang w:val="sr-Cyrl-RS"/>
        </w:rPr>
        <w:t xml:space="preserve"> </w:t>
      </w:r>
      <w:r w:rsidRPr="00A14DF4">
        <w:rPr>
          <w:rFonts w:cs="Arial"/>
          <w:noProof/>
          <w:spacing w:val="-1"/>
          <w:lang w:val="sr-Cyrl-RS"/>
        </w:rPr>
        <w:t>учешће</w:t>
      </w:r>
      <w:r w:rsidRPr="00A14DF4">
        <w:rPr>
          <w:rFonts w:cs="Arial"/>
          <w:noProof/>
          <w:spacing w:val="30"/>
          <w:w w:val="99"/>
          <w:lang w:val="sr-Cyrl-RS"/>
        </w:rPr>
        <w:t xml:space="preserve"> </w:t>
      </w:r>
      <w:r w:rsidRPr="00A14DF4">
        <w:rPr>
          <w:rFonts w:cs="Arial"/>
          <w:noProof/>
          <w:lang w:val="sr-Cyrl-RS"/>
        </w:rPr>
        <w:t>особа са</w:t>
      </w:r>
      <w:r w:rsidRPr="00A14DF4">
        <w:rPr>
          <w:rFonts w:cs="Arial"/>
          <w:noProof/>
          <w:spacing w:val="2"/>
          <w:lang w:val="sr-Cyrl-RS"/>
        </w:rPr>
        <w:t xml:space="preserve"> </w:t>
      </w:r>
      <w:r w:rsidRPr="00A14DF4">
        <w:rPr>
          <w:rFonts w:cs="Arial"/>
          <w:noProof/>
          <w:spacing w:val="-1"/>
          <w:lang w:val="sr-Cyrl-RS"/>
        </w:rPr>
        <w:t>инвалидитетом</w:t>
      </w:r>
      <w:r w:rsidRPr="00A14DF4">
        <w:rPr>
          <w:rFonts w:cs="Arial"/>
          <w:noProof/>
          <w:spacing w:val="4"/>
          <w:lang w:val="sr-Cyrl-RS"/>
        </w:rPr>
        <w:t xml:space="preserve"> </w:t>
      </w:r>
      <w:r w:rsidRPr="00A14DF4">
        <w:rPr>
          <w:rFonts w:cs="Arial"/>
          <w:noProof/>
          <w:lang w:val="sr-Cyrl-RS"/>
        </w:rPr>
        <w:t xml:space="preserve">у  </w:t>
      </w:r>
      <w:r w:rsidR="0071235C" w:rsidRPr="00A14DF4">
        <w:rPr>
          <w:rFonts w:cs="Arial"/>
          <w:noProof/>
          <w:spacing w:val="-1"/>
          <w:lang w:val="sr-Cyrl-RS"/>
        </w:rPr>
        <w:t xml:space="preserve">друштву. </w:t>
      </w:r>
      <w:r w:rsidRPr="00A14DF4">
        <w:rPr>
          <w:rFonts w:cs="Arial"/>
          <w:noProof/>
          <w:lang w:val="sr-Cyrl-RS"/>
        </w:rPr>
        <w:t>Комитет сматра да ускраћивање приступа треба сматрати актом дискриминације, без обзира на то да ли га је починио неко из јавног или приватног сектора. Такође, Комитет истиче да приступачност треба обезбедити за све особе са инвалидитетом, без обзира на врсту потешкоћа са којом се особа сусреће и без прављења било каквих разлика по било ком личном својст</w:t>
      </w:r>
      <w:r w:rsidR="0071235C" w:rsidRPr="00A14DF4">
        <w:rPr>
          <w:rFonts w:cs="Arial"/>
          <w:noProof/>
          <w:lang w:val="sr-Cyrl-RS"/>
        </w:rPr>
        <w:t>ву особе са инвалидитетом. Даље</w:t>
      </w:r>
      <w:r w:rsidRPr="00A14DF4">
        <w:rPr>
          <w:rFonts w:cs="Arial"/>
          <w:noProof/>
          <w:lang w:val="sr-Cyrl-RS"/>
        </w:rPr>
        <w:t xml:space="preserve"> је наведено да право на приступачност загарантовано Конвенцијом има корен у постојећим људским правима, као што су право на једнак приступ јавним службама и сервисима гарантовано Међународним пактом о грађанским и политичким правима</w:t>
      </w:r>
      <w:r w:rsidRPr="00A14DF4">
        <w:rPr>
          <w:rFonts w:cs="Arial"/>
          <w:noProof/>
          <w:vertAlign w:val="superscript"/>
          <w:lang w:val="sr-Cyrl-RS"/>
        </w:rPr>
        <w:footnoteReference w:id="2"/>
      </w:r>
      <w:r w:rsidRPr="00A14DF4">
        <w:rPr>
          <w:rFonts w:cs="Arial"/>
          <w:noProof/>
          <w:lang w:val="sr-Cyrl-RS"/>
        </w:rPr>
        <w:t xml:space="preserve"> (члан 25 ц) и право на приступ било ком месту или услузи намењеним јавности, гарантовано Међународном конвенцијом о укидању свих облика расне дискриминације</w:t>
      </w:r>
      <w:r w:rsidRPr="00A14DF4">
        <w:rPr>
          <w:rFonts w:cs="Arial"/>
          <w:noProof/>
          <w:vertAlign w:val="superscript"/>
          <w:lang w:val="sr-Cyrl-RS"/>
        </w:rPr>
        <w:footnoteReference w:id="3"/>
      </w:r>
      <w:r w:rsidRPr="00A14DF4">
        <w:rPr>
          <w:rFonts w:cs="Arial"/>
          <w:noProof/>
          <w:lang w:val="sr-Cyrl-RS"/>
        </w:rPr>
        <w:t xml:space="preserve"> (члан 5 ф).</w:t>
      </w:r>
    </w:p>
    <w:p w:rsidR="00D6066F" w:rsidRPr="00A14DF4" w:rsidRDefault="00D6066F" w:rsidP="007C656E">
      <w:pPr>
        <w:spacing w:after="0"/>
        <w:rPr>
          <w:rFonts w:cs="Arial"/>
          <w:noProof/>
          <w:color w:val="000000"/>
          <w:sz w:val="16"/>
          <w:szCs w:val="16"/>
          <w:shd w:val="clear" w:color="auto" w:fill="FFFFFF"/>
          <w:lang w:val="sr-Cyrl-RS"/>
        </w:rPr>
      </w:pPr>
      <w:r w:rsidRPr="00A14DF4">
        <w:rPr>
          <w:rFonts w:cs="Arial"/>
          <w:noProof/>
          <w:lang w:val="sr-Cyrl-RS"/>
        </w:rPr>
        <w:t>Уставна забрана дискриминације ближе је дефинисана Законом о забрани дискриминације</w:t>
      </w:r>
      <w:r w:rsidRPr="00A14DF4">
        <w:rPr>
          <w:rFonts w:cs="Arial"/>
          <w:noProof/>
          <w:vertAlign w:val="superscript"/>
          <w:lang w:val="sr-Cyrl-RS"/>
        </w:rPr>
        <w:footnoteReference w:id="4"/>
      </w:r>
      <w:r w:rsidRPr="00A14DF4">
        <w:rPr>
          <w:rFonts w:cs="Arial"/>
          <w:noProof/>
          <w:lang w:val="sr-Cyrl-RS"/>
        </w:rPr>
        <w:t>, који у члану 4. прописује да су сви једнаки и уживају једнак положај и једнаку правну заштиту, без обзира на лична својства, те да је свако дужан да поштује начело једнакости, односно забрану дискриминације. Одредбом члана 17. став 2. овог закона прописано је да свако има право на једнак приступ објектима у јавној употреби (објекти у којима се налазе седишта органа јавне власти, објекти у области образовања, здравства, социјалне заштите, културе, спорта, туризма, објекти који се користе за заштиту животне средине, за заштиту од елементарних непогода и сл.), у складу са законом</w:t>
      </w:r>
      <w:r w:rsidR="00FE14F9" w:rsidRPr="00A14DF4">
        <w:rPr>
          <w:rFonts w:cs="Arial"/>
          <w:noProof/>
          <w:lang w:val="sr-Cyrl-RS"/>
        </w:rPr>
        <w:t>. Ч</w:t>
      </w:r>
      <w:r w:rsidRPr="00A14DF4">
        <w:rPr>
          <w:rFonts w:cs="Arial"/>
          <w:noProof/>
          <w:lang w:val="sr-Cyrl-RS"/>
        </w:rPr>
        <w:t>ланом 26. став 1. Закона о забрани дискриминације прописано је да дискриминација постоји ако се поступа противно начелу поштовања једнаких права и слобода особа са инвалидитетом у политичком, економском, културном и другом аспекту јавног, професионалног, приватног и породичног живота.</w:t>
      </w:r>
      <w:r w:rsidRPr="00A14DF4">
        <w:rPr>
          <w:rFonts w:cs="Arial"/>
          <w:noProof/>
          <w:color w:val="000000"/>
          <w:sz w:val="16"/>
          <w:szCs w:val="16"/>
          <w:shd w:val="clear" w:color="auto" w:fill="FFFFFF"/>
          <w:lang w:val="sr-Cyrl-RS"/>
        </w:rPr>
        <w:t xml:space="preserve"> </w:t>
      </w:r>
    </w:p>
    <w:p w:rsidR="00D6066F" w:rsidRPr="00A14DF4" w:rsidRDefault="00D6066F" w:rsidP="007C656E">
      <w:pPr>
        <w:spacing w:after="0"/>
        <w:rPr>
          <w:rFonts w:cs="Arial"/>
          <w:noProof/>
          <w:color w:val="000000"/>
          <w:sz w:val="16"/>
          <w:szCs w:val="16"/>
          <w:shd w:val="clear" w:color="auto" w:fill="FFFFFF"/>
          <w:lang w:val="sr-Cyrl-RS"/>
        </w:rPr>
      </w:pPr>
    </w:p>
    <w:p w:rsidR="00D6066F" w:rsidRPr="00A14DF4" w:rsidRDefault="00D6066F" w:rsidP="007C656E">
      <w:pPr>
        <w:spacing w:after="0"/>
        <w:rPr>
          <w:rFonts w:cs="Arial"/>
          <w:noProof/>
          <w:lang w:val="sr-Cyrl-RS"/>
        </w:rPr>
      </w:pPr>
      <w:r w:rsidRPr="00A14DF4">
        <w:rPr>
          <w:rFonts w:cs="Arial"/>
          <w:noProof/>
          <w:lang w:val="sr-Cyrl-RS"/>
        </w:rPr>
        <w:t>Закон о спречавању дискриминације особа са инвалидитетом</w:t>
      </w:r>
      <w:r w:rsidRPr="00A14DF4">
        <w:rPr>
          <w:rFonts w:cs="Arial"/>
          <w:noProof/>
          <w:vertAlign w:val="superscript"/>
          <w:lang w:val="sr-Cyrl-RS"/>
        </w:rPr>
        <w:footnoteReference w:id="5"/>
      </w:r>
      <w:r w:rsidRPr="00A14DF4">
        <w:rPr>
          <w:rFonts w:cs="Arial"/>
          <w:noProof/>
          <w:lang w:val="sr-Cyrl-RS"/>
        </w:rPr>
        <w:t xml:space="preserve">, поред тога што уређује општи режим забране дискриминације на основу инвалидитета, прописује и посебан случај дискриминације у вези са пружањем услуга и коришћењем објеката и површина. Одредбом члана 13. став 1. овог закона изричито је забрањена дискриминација на основу инвалидитета у погледу доступности услуга и приступа објектима у јавној употреби и јавним површинама, док је ставом 2. истог члана прописано да се под услугом, у смислу овог закона сматра свака услуга </w:t>
      </w:r>
      <w:r w:rsidRPr="00A14DF4">
        <w:rPr>
          <w:rFonts w:cs="Arial"/>
          <w:noProof/>
          <w:lang w:val="sr-Cyrl-RS"/>
        </w:rPr>
        <w:lastRenderedPageBreak/>
        <w:t>коју, уз накнаду или без ње, правно или физичко лице пружа у оквиру своје делатности, односно трајног занимања. Под објектима у јавној употреби, у смислу овог закона, сматрају се: објекти у области образовања, здравства, социјалне заштите, културе, спорта, туризма или објекти који се користе за заштиту животне средине, заштиту од елементарних непогода и слично.</w:t>
      </w:r>
      <w:r w:rsidRPr="00A14DF4">
        <w:rPr>
          <w:rFonts w:cs="Arial"/>
          <w:noProof/>
          <w:vertAlign w:val="superscript"/>
          <w:lang w:val="sr-Cyrl-RS"/>
        </w:rPr>
        <w:footnoteReference w:id="6"/>
      </w:r>
      <w:r w:rsidRPr="00A14DF4">
        <w:rPr>
          <w:rFonts w:cs="Arial"/>
          <w:noProof/>
          <w:lang w:val="sr-Cyrl-RS"/>
        </w:rPr>
        <w:t xml:space="preserve"> </w:t>
      </w:r>
      <w:r w:rsidR="00FE14F9" w:rsidRPr="00A14DF4">
        <w:rPr>
          <w:rFonts w:cs="Arial"/>
          <w:noProof/>
          <w:lang w:val="sr-Cyrl-RS"/>
        </w:rPr>
        <w:t xml:space="preserve">Одредбама члана 17. став 2. прописано је да се под дискриминацијом особа са инвалидитетом приликом пружања здравствених услуга сматра постављање посебних </w:t>
      </w:r>
      <w:r w:rsidR="00B95280" w:rsidRPr="00A14DF4">
        <w:rPr>
          <w:rFonts w:cs="Arial"/>
          <w:noProof/>
          <w:lang w:val="sr-Cyrl-RS"/>
        </w:rPr>
        <w:t>услова за пружање здравствених услуга особама са инвалидитетом ако ти услови нису оправдани медицинским разлозима.</w:t>
      </w:r>
    </w:p>
    <w:p w:rsidR="00C806A5" w:rsidRPr="00A14DF4" w:rsidRDefault="00C806A5" w:rsidP="007C656E">
      <w:pPr>
        <w:spacing w:after="0"/>
        <w:rPr>
          <w:rFonts w:cs="Arial"/>
          <w:noProof/>
          <w:lang w:val="sr-Cyrl-RS"/>
        </w:rPr>
      </w:pPr>
    </w:p>
    <w:p w:rsidR="00D6066F" w:rsidRPr="00A14DF4" w:rsidRDefault="00D6066F" w:rsidP="007C656E">
      <w:pPr>
        <w:spacing w:after="0"/>
        <w:rPr>
          <w:rFonts w:cs="Arial"/>
          <w:noProof/>
          <w:color w:val="000000"/>
          <w:shd w:val="clear" w:color="auto" w:fill="FFFFFF"/>
          <w:lang w:val="sr-Cyrl-RS"/>
        </w:rPr>
      </w:pPr>
      <w:r w:rsidRPr="00A14DF4">
        <w:rPr>
          <w:rFonts w:cs="Arial"/>
          <w:noProof/>
          <w:lang w:val="sr-Cyrl-RS"/>
        </w:rPr>
        <w:t>Одредбом члана 23. Закона о здравственој заштити</w:t>
      </w:r>
      <w:r w:rsidRPr="00A14DF4">
        <w:rPr>
          <w:rFonts w:cs="Arial"/>
          <w:noProof/>
          <w:vertAlign w:val="superscript"/>
          <w:lang w:val="sr-Cyrl-RS"/>
        </w:rPr>
        <w:footnoteReference w:id="7"/>
      </w:r>
      <w:r w:rsidR="00C806A5" w:rsidRPr="00A14DF4">
        <w:rPr>
          <w:rFonts w:cs="Arial"/>
          <w:noProof/>
          <w:lang w:val="sr-Cyrl-RS"/>
        </w:rPr>
        <w:t xml:space="preserve"> прописано је </w:t>
      </w:r>
      <w:r w:rsidRPr="00A14DF4">
        <w:rPr>
          <w:rFonts w:cs="Arial"/>
          <w:noProof/>
          <w:color w:val="000000"/>
          <w:shd w:val="clear" w:color="auto" w:fill="FFFFFF"/>
          <w:lang w:val="sr-Cyrl-RS"/>
        </w:rPr>
        <w:t xml:space="preserve">начело приступачности здравствене заштите </w:t>
      </w:r>
      <w:r w:rsidR="00C806A5" w:rsidRPr="00A14DF4">
        <w:rPr>
          <w:rFonts w:cs="Arial"/>
          <w:noProof/>
          <w:color w:val="000000"/>
          <w:shd w:val="clear" w:color="auto" w:fill="FFFFFF"/>
          <w:lang w:val="sr-Cyrl-RS"/>
        </w:rPr>
        <w:t xml:space="preserve">које </w:t>
      </w:r>
      <w:r w:rsidRPr="00A14DF4">
        <w:rPr>
          <w:rFonts w:cs="Arial"/>
          <w:noProof/>
          <w:color w:val="000000"/>
          <w:shd w:val="clear" w:color="auto" w:fill="FFFFFF"/>
          <w:lang w:val="sr-Cyrl-RS"/>
        </w:rPr>
        <w:t>подразумева обезбеђивање одговарајуће здравствене заштите грађанима, која је физички, комуникацијски, географски и економски доступна, односно културолошки прихватљива, а посебно особама са инвалидитетом.</w:t>
      </w:r>
    </w:p>
    <w:p w:rsidR="00F60433" w:rsidRPr="00A14DF4" w:rsidRDefault="00F60433" w:rsidP="007C656E">
      <w:pPr>
        <w:spacing w:after="0"/>
        <w:rPr>
          <w:rFonts w:cs="Arial"/>
          <w:noProof/>
          <w:color w:val="000000"/>
          <w:shd w:val="clear" w:color="auto" w:fill="FFFFFF"/>
          <w:lang w:val="sr-Cyrl-RS"/>
        </w:rPr>
      </w:pPr>
    </w:p>
    <w:p w:rsidR="00F60433" w:rsidRPr="007C656E" w:rsidRDefault="00F60433" w:rsidP="007C656E">
      <w:pPr>
        <w:spacing w:after="0"/>
        <w:rPr>
          <w:rFonts w:cs="Arial"/>
          <w:noProof/>
          <w:color w:val="000000"/>
          <w:shd w:val="clear" w:color="auto" w:fill="FFFFFF"/>
          <w:lang w:val="sr-Cyrl-RS"/>
        </w:rPr>
      </w:pPr>
      <w:r w:rsidRPr="00A14DF4">
        <w:rPr>
          <w:rFonts w:cs="Arial"/>
          <w:noProof/>
          <w:lang w:val="sr-Cyrl-RS"/>
        </w:rPr>
        <w:t>Закон о правима пацијената</w:t>
      </w:r>
      <w:r w:rsidRPr="00A14DF4">
        <w:rPr>
          <w:rStyle w:val="FootnoteReference"/>
          <w:rFonts w:cs="Arial"/>
          <w:noProof/>
          <w:lang w:val="sr-Cyrl-RS"/>
        </w:rPr>
        <w:footnoteReference w:id="8"/>
      </w:r>
      <w:r w:rsidRPr="00A14DF4">
        <w:rPr>
          <w:rFonts w:cs="Arial"/>
          <w:noProof/>
          <w:lang w:val="sr-Cyrl-RS"/>
        </w:rPr>
        <w:t xml:space="preserve"> прописује права пацијената приликом коришћења здравствене заштите, начин остваривања и начин заштите тих права, као и друга питања у вези са правима и дужностима пацијената. Пацијентима се гарантује једнако право на квалитетну и </w:t>
      </w:r>
      <w:r w:rsidRPr="007C656E">
        <w:rPr>
          <w:rFonts w:cs="Arial"/>
          <w:noProof/>
          <w:color w:val="000000"/>
          <w:shd w:val="clear" w:color="auto" w:fill="FFFFFF"/>
          <w:lang w:val="sr-Cyrl-RS"/>
        </w:rPr>
        <w:t>континуирану заштиту, као и једнак приступ здравственој служби, без дискриминације.</w:t>
      </w:r>
    </w:p>
    <w:p w:rsidR="007C656E" w:rsidRPr="007C656E" w:rsidRDefault="007C656E" w:rsidP="007C656E">
      <w:pPr>
        <w:spacing w:after="0"/>
        <w:rPr>
          <w:rFonts w:cs="Arial"/>
          <w:noProof/>
          <w:color w:val="000000"/>
          <w:shd w:val="clear" w:color="auto" w:fill="FFFFFF"/>
          <w:lang w:val="sr-Cyrl-RS"/>
        </w:rPr>
      </w:pPr>
    </w:p>
    <w:p w:rsidR="003B789D" w:rsidRDefault="003B789D" w:rsidP="007C656E">
      <w:pPr>
        <w:spacing w:after="0"/>
        <w:rPr>
          <w:rFonts w:cs="Arial"/>
          <w:noProof/>
          <w:lang w:val="sr-Cyrl-RS"/>
        </w:rPr>
      </w:pPr>
      <w:r w:rsidRPr="007C656E">
        <w:rPr>
          <w:rFonts w:cs="Arial"/>
          <w:noProof/>
          <w:color w:val="000000"/>
          <w:shd w:val="clear" w:color="auto" w:fill="FFFFFF"/>
          <w:lang w:val="sr-Cyrl-RS"/>
        </w:rPr>
        <w:t>У редовном годишњем извештају Повереника за заштиту равноправности за 2023. годину</w:t>
      </w:r>
      <w:r w:rsidRPr="007C656E">
        <w:rPr>
          <w:rFonts w:cs="Arial"/>
          <w:noProof/>
          <w:color w:val="000000"/>
          <w:shd w:val="clear" w:color="auto" w:fill="FFFFFF"/>
          <w:vertAlign w:val="superscript"/>
          <w:lang w:val="sr-Cyrl-RS"/>
        </w:rPr>
        <w:footnoteReference w:id="9"/>
      </w:r>
      <w:r w:rsidRPr="007C656E">
        <w:rPr>
          <w:rFonts w:cs="Arial"/>
          <w:noProof/>
          <w:color w:val="000000"/>
          <w:shd w:val="clear" w:color="auto" w:fill="FFFFFF"/>
          <w:lang w:val="sr-Cyrl-RS"/>
        </w:rPr>
        <w:t xml:space="preserve"> указано</w:t>
      </w:r>
      <w:r w:rsidRPr="00A14DF4">
        <w:rPr>
          <w:rFonts w:cs="Arial"/>
          <w:noProof/>
          <w:lang w:val="sr-Cyrl-RS"/>
        </w:rPr>
        <w:t xml:space="preserve"> је да је инвалидитет као лично својство трећи основ дискриминације по броју поднетих притужби, а особе са инвалидитетом су једна од најугроженијих група у свим областима друштвеног живота када говоримо о дискриминацији. Највећи број притужби поднет је због неприступачности различитих објеката и услуга. У оквиру Препорука за унапређивање равноправности и сузбијање дискриминације Повереник је истакао да је потребно унапредити доступност и приступачност услуга здравствене заштите на читавој територији. </w:t>
      </w:r>
    </w:p>
    <w:p w:rsidR="007C656E" w:rsidRPr="00A14DF4" w:rsidRDefault="007C656E" w:rsidP="007C656E">
      <w:pPr>
        <w:spacing w:after="0"/>
        <w:rPr>
          <w:rFonts w:cs="Arial"/>
          <w:noProof/>
          <w:lang w:val="sr-Cyrl-RS"/>
        </w:rPr>
      </w:pPr>
    </w:p>
    <w:p w:rsidR="00F920B0" w:rsidRPr="00A14DF4" w:rsidRDefault="00F920B0" w:rsidP="007C656E">
      <w:pPr>
        <w:spacing w:after="200"/>
        <w:rPr>
          <w:rFonts w:cs="Arial"/>
          <w:noProof/>
          <w:lang w:val="sr-Cyrl-RS"/>
        </w:rPr>
      </w:pPr>
      <w:r w:rsidRPr="00A14DF4">
        <w:rPr>
          <w:rFonts w:cs="Arial"/>
          <w:bCs/>
          <w:noProof/>
          <w:lang w:val="sr-Cyrl-RS"/>
        </w:rPr>
        <w:t>Стратегија јавног здравља у Републици Срби</w:t>
      </w:r>
      <w:r w:rsidR="00160AA2" w:rsidRPr="00A14DF4">
        <w:rPr>
          <w:rFonts w:cs="Arial"/>
          <w:bCs/>
          <w:noProof/>
          <w:lang w:val="sr-Cyrl-RS"/>
        </w:rPr>
        <w:t xml:space="preserve">ји 2018 - </w:t>
      </w:r>
      <w:r w:rsidRPr="00A14DF4">
        <w:rPr>
          <w:rFonts w:cs="Arial"/>
          <w:bCs/>
          <w:noProof/>
          <w:lang w:val="sr-Cyrl-RS"/>
        </w:rPr>
        <w:t>2026. године</w:t>
      </w:r>
      <w:r w:rsidRPr="00A14DF4">
        <w:rPr>
          <w:rStyle w:val="FootnoteReference"/>
          <w:rFonts w:cs="Arial"/>
          <w:bCs/>
          <w:noProof/>
          <w:lang w:val="sr-Cyrl-RS"/>
        </w:rPr>
        <w:footnoteReference w:id="10"/>
      </w:r>
      <w:r w:rsidRPr="00A14DF4">
        <w:rPr>
          <w:rFonts w:cs="Arial"/>
          <w:noProof/>
          <w:lang w:val="sr-Cyrl-RS"/>
        </w:rPr>
        <w:t xml:space="preserve"> предвиђа омогућавање људима да достигну пун здравствени потенцијал и једнакост у здрављу. Један од циљева Стратегије  су унапређење здравља и смањење неједнакости у здрављу, а као посебне мере су планиране унапређење здравља осетљивих друштвених група путем развоја и имплементације додатних мера ради смањења неједнакости у здрављу, као и обезбеђење једнаке доступности и приступачности здравствене службе за целокупно становништво. </w:t>
      </w:r>
    </w:p>
    <w:p w:rsidR="003B789D" w:rsidRPr="00A14DF4" w:rsidRDefault="00F60433" w:rsidP="007C656E">
      <w:pPr>
        <w:tabs>
          <w:tab w:val="left" w:pos="450"/>
        </w:tabs>
        <w:spacing w:after="200"/>
        <w:rPr>
          <w:rFonts w:cs="Arial"/>
          <w:noProof/>
          <w:lang w:val="sr-Cyrl-RS"/>
        </w:rPr>
      </w:pPr>
      <w:r w:rsidRPr="00A14DF4">
        <w:rPr>
          <w:rFonts w:cs="Arial"/>
          <w:noProof/>
          <w:lang w:val="sr-Cyrl-RS"/>
        </w:rPr>
        <w:t>Право на здравље је једно од основних људских права, али се припадници и припаднице група у повећаном ризику од дискриминације суочавају са ограниченим приступом здравственим службама због комбинације различитих узрока, наведено је у Стратегији превенције и заштите од дискриминације за период од 2022. до 2030. године.</w:t>
      </w:r>
      <w:r w:rsidR="005C0523" w:rsidRPr="00A14DF4">
        <w:rPr>
          <w:rStyle w:val="FootnoteReference"/>
          <w:rFonts w:cs="Arial"/>
          <w:noProof/>
          <w:lang w:val="sr-Cyrl-RS"/>
        </w:rPr>
        <w:footnoteReference w:id="11"/>
      </w:r>
      <w:r w:rsidRPr="00A14DF4">
        <w:rPr>
          <w:rFonts w:cs="Arial"/>
          <w:noProof/>
          <w:lang w:val="sr-Cyrl-RS"/>
        </w:rPr>
        <w:t xml:space="preserve">  Примера ради, старије жене чешће пријављују да им је отежан приступ здравственим услугама, посебно оне које живе у сеоским срединама.</w:t>
      </w:r>
    </w:p>
    <w:p w:rsidR="007C656E" w:rsidRDefault="007C656E" w:rsidP="007C656E">
      <w:pPr>
        <w:rPr>
          <w:rFonts w:cs="Arial"/>
          <w:noProof/>
          <w:lang w:val="sr-Cyrl-RS"/>
        </w:rPr>
      </w:pPr>
      <w:r>
        <w:rPr>
          <w:rFonts w:cs="Arial"/>
          <w:noProof/>
          <w:lang w:val="sr-Cyrl-RS"/>
        </w:rPr>
        <w:t xml:space="preserve">Имајући у виду </w:t>
      </w:r>
      <w:r w:rsidR="00417938">
        <w:rPr>
          <w:rFonts w:cs="Arial"/>
          <w:noProof/>
          <w:lang w:val="sr-Cyrl-RS"/>
        </w:rPr>
        <w:t xml:space="preserve">досадашње </w:t>
      </w:r>
      <w:r>
        <w:rPr>
          <w:rFonts w:cs="Arial"/>
          <w:noProof/>
          <w:lang w:val="sr-Cyrl-RS"/>
        </w:rPr>
        <w:t>активности</w:t>
      </w:r>
      <w:r w:rsidR="00417938">
        <w:rPr>
          <w:rFonts w:cs="Arial"/>
          <w:noProof/>
          <w:lang w:val="sr-Cyrl-RS"/>
        </w:rPr>
        <w:t xml:space="preserve"> Фонда и поступању овог органа по препорукама и иницијативама Повереника</w:t>
      </w:r>
      <w:r>
        <w:rPr>
          <w:rFonts w:cs="Arial"/>
          <w:noProof/>
          <w:lang w:val="sr-Cyrl-RS"/>
        </w:rPr>
        <w:t xml:space="preserve"> у проналажењу адекватних решења и обезбеђивању здравствене заштите на приступачан и доступан начин</w:t>
      </w:r>
      <w:r w:rsidR="00417938">
        <w:rPr>
          <w:rFonts w:cs="Arial"/>
          <w:noProof/>
          <w:lang w:val="sr-Cyrl-RS"/>
        </w:rPr>
        <w:t>,</w:t>
      </w:r>
      <w:r>
        <w:rPr>
          <w:rFonts w:cs="Arial"/>
          <w:noProof/>
          <w:lang w:val="sr-Cyrl-RS"/>
        </w:rPr>
        <w:t xml:space="preserve"> обраћамо Вам се </w:t>
      </w:r>
      <w:r w:rsidR="00417938">
        <w:rPr>
          <w:rFonts w:cs="Arial"/>
          <w:noProof/>
          <w:lang w:val="sr-Cyrl-RS"/>
        </w:rPr>
        <w:t xml:space="preserve">са </w:t>
      </w:r>
      <w:r>
        <w:rPr>
          <w:rFonts w:cs="Arial"/>
          <w:noProof/>
          <w:lang w:val="sr-Cyrl-RS"/>
        </w:rPr>
        <w:t>иницијативом да размотрите предлоге удружења која су нам се обратила а која би према њиховим наводима значајно допринела побољшању положаја особа које болују од мултипле склерозе.</w:t>
      </w:r>
    </w:p>
    <w:p w:rsidR="00487D83" w:rsidRPr="00A14DF4" w:rsidRDefault="009C46E1" w:rsidP="007C656E">
      <w:pPr>
        <w:rPr>
          <w:rFonts w:cs="Arial"/>
          <w:noProof/>
          <w:lang w:val="sr-Cyrl-RS"/>
        </w:rPr>
      </w:pPr>
      <w:r w:rsidRPr="00A14DF4">
        <w:rPr>
          <w:rFonts w:cs="Arial"/>
          <w:noProof/>
          <w:lang w:val="sr-Cyrl-RS"/>
        </w:rPr>
        <w:lastRenderedPageBreak/>
        <w:t xml:space="preserve">Молимо Вас да нас </w:t>
      </w:r>
      <w:r w:rsidR="003B0011" w:rsidRPr="00A14DF4">
        <w:rPr>
          <w:rFonts w:cs="Arial"/>
          <w:noProof/>
          <w:lang w:val="sr-Cyrl-RS"/>
        </w:rPr>
        <w:t xml:space="preserve">и </w:t>
      </w:r>
      <w:r w:rsidRPr="00A14DF4">
        <w:rPr>
          <w:rFonts w:cs="Arial"/>
          <w:noProof/>
          <w:lang w:val="sr-Cyrl-RS"/>
        </w:rPr>
        <w:t xml:space="preserve">након </w:t>
      </w:r>
      <w:r w:rsidR="003B0011" w:rsidRPr="00A14DF4">
        <w:rPr>
          <w:rFonts w:cs="Arial"/>
          <w:noProof/>
          <w:lang w:val="sr-Cyrl-RS"/>
        </w:rPr>
        <w:t xml:space="preserve">овог обраћања и </w:t>
      </w:r>
      <w:r w:rsidRPr="00A14DF4">
        <w:rPr>
          <w:rFonts w:cs="Arial"/>
          <w:noProof/>
          <w:lang w:val="sr-Cyrl-RS"/>
        </w:rPr>
        <w:t>спроведене анализе обавестите о предузетом.</w:t>
      </w:r>
    </w:p>
    <w:p w:rsidR="00487D83" w:rsidRPr="00A14DF4" w:rsidRDefault="00487D83" w:rsidP="007C656E">
      <w:pPr>
        <w:tabs>
          <w:tab w:val="left" w:pos="450"/>
          <w:tab w:val="left" w:pos="567"/>
        </w:tabs>
        <w:spacing w:after="120"/>
        <w:contextualSpacing/>
        <w:rPr>
          <w:rFonts w:eastAsia="Times New Roman" w:cs="Arial"/>
          <w:noProof/>
          <w:lang w:val="sr-Cyrl-RS"/>
        </w:rPr>
      </w:pPr>
    </w:p>
    <w:tbl>
      <w:tblPr>
        <w:tblW w:w="9129" w:type="dxa"/>
        <w:tblLook w:val="04A0" w:firstRow="1" w:lastRow="0" w:firstColumn="1" w:lastColumn="0" w:noHBand="0" w:noVBand="1"/>
      </w:tblPr>
      <w:tblGrid>
        <w:gridCol w:w="5070"/>
        <w:gridCol w:w="4059"/>
      </w:tblGrid>
      <w:tr w:rsidR="00487D83" w:rsidRPr="00A14DF4" w:rsidTr="004723E7">
        <w:trPr>
          <w:trHeight w:val="503"/>
        </w:trPr>
        <w:tc>
          <w:tcPr>
            <w:tcW w:w="5070" w:type="dxa"/>
            <w:vMerge w:val="restart"/>
          </w:tcPr>
          <w:p w:rsidR="00487D83" w:rsidRPr="00A14DF4" w:rsidRDefault="00487D83" w:rsidP="007C656E">
            <w:pPr>
              <w:tabs>
                <w:tab w:val="left" w:pos="1134"/>
              </w:tabs>
              <w:spacing w:after="120"/>
              <w:jc w:val="left"/>
              <w:rPr>
                <w:rFonts w:eastAsia="Times New Roman" w:cs="Arial"/>
                <w:noProof/>
                <w:lang w:val="sr-Cyrl-RS" w:eastAsia="sr-Cyrl-CS"/>
              </w:rPr>
            </w:pPr>
          </w:p>
        </w:tc>
        <w:tc>
          <w:tcPr>
            <w:tcW w:w="4059" w:type="dxa"/>
          </w:tcPr>
          <w:p w:rsidR="00487D83" w:rsidRPr="00A14DF4" w:rsidRDefault="00487D83" w:rsidP="007C656E">
            <w:pPr>
              <w:tabs>
                <w:tab w:val="left" w:pos="1134"/>
              </w:tabs>
              <w:spacing w:after="120"/>
              <w:jc w:val="center"/>
              <w:rPr>
                <w:rFonts w:eastAsia="Times New Roman" w:cs="Arial"/>
                <w:noProof/>
                <w:sz w:val="24"/>
                <w:szCs w:val="24"/>
                <w:lang w:val="sr-Cyrl-RS" w:eastAsia="sr-Cyrl-CS"/>
              </w:rPr>
            </w:pPr>
            <w:r w:rsidRPr="00A14DF4">
              <w:rPr>
                <w:rFonts w:eastAsia="Times New Roman" w:cs="Arial"/>
                <w:b/>
                <w:noProof/>
                <w:sz w:val="24"/>
                <w:szCs w:val="24"/>
                <w:lang w:val="sr-Cyrl-RS" w:eastAsia="sr-Cyrl-CS"/>
              </w:rPr>
              <w:t>ПОВЕРЕНИЦА ЗА ЗАШТИТУ РАВНОПРАВНОСТИ</w:t>
            </w:r>
          </w:p>
        </w:tc>
      </w:tr>
      <w:tr w:rsidR="00487D83" w:rsidRPr="00A14DF4" w:rsidTr="004723E7">
        <w:trPr>
          <w:trHeight w:val="502"/>
        </w:trPr>
        <w:tc>
          <w:tcPr>
            <w:tcW w:w="5070" w:type="dxa"/>
            <w:vMerge/>
          </w:tcPr>
          <w:p w:rsidR="00487D83" w:rsidRPr="00A14DF4" w:rsidRDefault="00487D83" w:rsidP="007C656E">
            <w:pPr>
              <w:tabs>
                <w:tab w:val="left" w:pos="1134"/>
              </w:tabs>
              <w:spacing w:after="120"/>
              <w:jc w:val="left"/>
              <w:rPr>
                <w:rFonts w:eastAsia="Times New Roman" w:cs="Arial"/>
                <w:noProof/>
                <w:lang w:val="sr-Cyrl-RS" w:eastAsia="sr-Cyrl-CS"/>
              </w:rPr>
            </w:pPr>
          </w:p>
        </w:tc>
        <w:tc>
          <w:tcPr>
            <w:tcW w:w="4059" w:type="dxa"/>
            <w:vAlign w:val="center"/>
          </w:tcPr>
          <w:p w:rsidR="00487D83" w:rsidRPr="00A14DF4" w:rsidRDefault="00EC607A" w:rsidP="007C656E">
            <w:pPr>
              <w:tabs>
                <w:tab w:val="left" w:pos="1134"/>
              </w:tabs>
              <w:spacing w:after="120"/>
              <w:jc w:val="center"/>
              <w:rPr>
                <w:rFonts w:eastAsia="Times New Roman" w:cs="Arial"/>
                <w:b/>
                <w:noProof/>
                <w:sz w:val="24"/>
                <w:szCs w:val="24"/>
                <w:lang w:val="sr-Cyrl-RS" w:eastAsia="sr-Cyrl-CS"/>
              </w:rPr>
            </w:pPr>
            <w:r w:rsidRPr="00A14DF4">
              <w:rPr>
                <w:rFonts w:eastAsia="Times New Roman" w:cs="Arial"/>
                <w:b/>
                <w:noProof/>
                <w:sz w:val="24"/>
                <w:szCs w:val="24"/>
                <w:lang w:val="sr-Cyrl-RS" w:eastAsia="sr-Cyrl-CS"/>
              </w:rPr>
              <w:t xml:space="preserve">  </w:t>
            </w:r>
            <w:r w:rsidR="00487D83" w:rsidRPr="00A14DF4">
              <w:rPr>
                <w:rFonts w:eastAsia="Times New Roman" w:cs="Arial"/>
                <w:b/>
                <w:noProof/>
                <w:sz w:val="24"/>
                <w:szCs w:val="24"/>
                <w:lang w:val="sr-Cyrl-RS" w:eastAsia="sr-Cyrl-CS"/>
              </w:rPr>
              <w:t>Бранкица Јанковић</w:t>
            </w:r>
          </w:p>
        </w:tc>
      </w:tr>
    </w:tbl>
    <w:p w:rsidR="00D6066F" w:rsidRPr="00A14DF4" w:rsidRDefault="00D6066F" w:rsidP="007C656E">
      <w:pPr>
        <w:rPr>
          <w:rFonts w:cs="Arial"/>
          <w:noProof/>
          <w:lang w:val="sr-Cyrl-RS"/>
        </w:rPr>
      </w:pPr>
    </w:p>
    <w:sectPr w:rsidR="00D6066F" w:rsidRPr="00A14DF4" w:rsidSect="00721C4C">
      <w:footerReference w:type="default" r:id="rId9"/>
      <w:footerReference w:type="first" r:id="rId10"/>
      <w:pgSz w:w="11906" w:h="16838"/>
      <w:pgMar w:top="1304" w:right="1021" w:bottom="1304" w:left="1021" w:header="709"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BCC" w:rsidRDefault="00AF1BCC" w:rsidP="000E0A17">
      <w:pPr>
        <w:spacing w:after="0"/>
      </w:pPr>
      <w:r>
        <w:separator/>
      </w:r>
    </w:p>
  </w:endnote>
  <w:endnote w:type="continuationSeparator" w:id="0">
    <w:p w:rsidR="00AF1BCC" w:rsidRDefault="00AF1BCC" w:rsidP="000E0A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B45" w:rsidRDefault="000E0A17">
    <w:pPr>
      <w:pStyle w:val="Footer"/>
    </w:pPr>
    <w:r>
      <w:rPr>
        <w:noProof/>
      </w:rPr>
      <mc:AlternateContent>
        <mc:Choice Requires="wps">
          <w:drawing>
            <wp:anchor distT="152400" distB="152400" distL="152400" distR="152400" simplePos="0" relativeHeight="251659264" behindDoc="0" locked="0" layoutInCell="1" allowOverlap="1">
              <wp:simplePos x="0" y="0"/>
              <wp:positionH relativeFrom="page">
                <wp:posOffset>711200</wp:posOffset>
              </wp:positionH>
              <wp:positionV relativeFrom="page">
                <wp:posOffset>9858375</wp:posOffset>
              </wp:positionV>
              <wp:extent cx="6165850" cy="571500"/>
              <wp:effectExtent l="0" t="0" r="0" b="0"/>
              <wp:wrapSquare wrapText="bothSides"/>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58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6C5B45" w:rsidRDefault="0034565F" w:rsidP="009F1163">
                          <w:pPr>
                            <w:pStyle w:val="FreeFormAA"/>
                            <w:spacing w:line="288" w:lineRule="auto"/>
                            <w:rPr>
                              <w:rFonts w:ascii="Arial Bold" w:hAnsi="Arial Bold"/>
                              <w:spacing w:val="-1"/>
                              <w:sz w:val="16"/>
                            </w:rPr>
                          </w:pPr>
                          <w:r>
                            <w:rPr>
                              <w:rFonts w:ascii="Arial" w:hAnsi="Arial"/>
                              <w:spacing w:val="-1"/>
                              <w:sz w:val="16"/>
                            </w:rPr>
                            <w:br/>
                          </w:r>
                          <w:proofErr w:type="spellStart"/>
                          <w:r>
                            <w:rPr>
                              <w:rFonts w:ascii="Arial" w:hAnsi="Arial"/>
                              <w:spacing w:val="-1"/>
                              <w:sz w:val="16"/>
                            </w:rPr>
                            <w:t>Повереник</w:t>
                          </w:r>
                          <w:proofErr w:type="spellEnd"/>
                          <w:r>
                            <w:rPr>
                              <w:rFonts w:ascii="Arial" w:hAnsi="Arial"/>
                              <w:spacing w:val="-1"/>
                              <w:sz w:val="16"/>
                            </w:rPr>
                            <w:t xml:space="preserve"> </w:t>
                          </w:r>
                          <w:proofErr w:type="spellStart"/>
                          <w:r>
                            <w:rPr>
                              <w:rFonts w:ascii="Arial" w:hAnsi="Arial"/>
                              <w:spacing w:val="-1"/>
                              <w:sz w:val="16"/>
                            </w:rPr>
                            <w:t>за</w:t>
                          </w:r>
                          <w:proofErr w:type="spellEnd"/>
                          <w:r>
                            <w:rPr>
                              <w:rFonts w:ascii="Arial" w:hAnsi="Arial"/>
                              <w:spacing w:val="-1"/>
                              <w:sz w:val="16"/>
                            </w:rPr>
                            <w:t xml:space="preserve"> </w:t>
                          </w:r>
                          <w:proofErr w:type="spellStart"/>
                          <w:r>
                            <w:rPr>
                              <w:rFonts w:ascii="Arial" w:hAnsi="Arial"/>
                              <w:spacing w:val="-1"/>
                              <w:sz w:val="16"/>
                            </w:rPr>
                            <w:t>заштиту</w:t>
                          </w:r>
                          <w:proofErr w:type="spellEnd"/>
                          <w:r>
                            <w:rPr>
                              <w:rFonts w:ascii="Arial" w:hAnsi="Arial"/>
                              <w:spacing w:val="-1"/>
                              <w:sz w:val="16"/>
                            </w:rPr>
                            <w:t xml:space="preserve"> </w:t>
                          </w:r>
                          <w:proofErr w:type="spellStart"/>
                          <w:r>
                            <w:rPr>
                              <w:rFonts w:ascii="Arial" w:hAnsi="Arial"/>
                              <w:spacing w:val="-1"/>
                              <w:sz w:val="16"/>
                            </w:rPr>
                            <w:t>равноправности</w:t>
                          </w:r>
                          <w:proofErr w:type="spellEnd"/>
                          <w:r>
                            <w:rPr>
                              <w:rFonts w:ascii="Arial" w:hAnsi="Arial"/>
                              <w:spacing w:val="-1"/>
                              <w:sz w:val="16"/>
                            </w:rPr>
                            <w:t xml:space="preserve">  </w:t>
                          </w:r>
                          <w:r>
                            <w:rPr>
                              <w:rFonts w:ascii="Arial" w:hAnsi="Arial"/>
                              <w:spacing w:val="-1"/>
                              <w:sz w:val="16"/>
                            </w:rPr>
                            <w:tab/>
                          </w:r>
                          <w:r>
                            <w:rPr>
                              <w:rFonts w:ascii="Arial" w:hAnsi="Arial"/>
                              <w:spacing w:val="-1"/>
                              <w:sz w:val="16"/>
                            </w:rPr>
                            <w:tab/>
                            <w:t xml:space="preserve">             </w:t>
                          </w:r>
                          <w:proofErr w:type="spellStart"/>
                          <w:r>
                            <w:rPr>
                              <w:rFonts w:ascii="Arial Bold" w:hAnsi="Arial Bold"/>
                              <w:spacing w:val="-1"/>
                              <w:sz w:val="16"/>
                            </w:rPr>
                            <w:t>Tел</w:t>
                          </w:r>
                          <w:proofErr w:type="spellEnd"/>
                          <w:r>
                            <w:rPr>
                              <w:rFonts w:ascii="Arial Bold" w:hAnsi="Arial Bold"/>
                              <w:spacing w:val="-1"/>
                              <w:sz w:val="16"/>
                            </w:rPr>
                            <w:t xml:space="preserve">/ </w:t>
                          </w:r>
                          <w:proofErr w:type="spellStart"/>
                          <w:r>
                            <w:rPr>
                              <w:rFonts w:ascii="Arial Bold" w:hAnsi="Arial Bold"/>
                              <w:spacing w:val="-1"/>
                              <w:sz w:val="16"/>
                            </w:rPr>
                            <w:t>Факс</w:t>
                          </w:r>
                          <w:proofErr w:type="spellEnd"/>
                          <w:r>
                            <w:rPr>
                              <w:rFonts w:ascii="Arial Bold" w:hAnsi="Arial Bold"/>
                              <w:spacing w:val="-1"/>
                              <w:sz w:val="16"/>
                            </w:rPr>
                            <w:t>:</w:t>
                          </w:r>
                          <w:r>
                            <w:rPr>
                              <w:rFonts w:ascii="Arial" w:hAnsi="Arial"/>
                              <w:spacing w:val="-1"/>
                              <w:sz w:val="16"/>
                            </w:rPr>
                            <w:t xml:space="preserve"> +381 11 243 81 84</w:t>
                          </w:r>
                          <w:r>
                            <w:rPr>
                              <w:rFonts w:ascii="Arial" w:hAnsi="Arial"/>
                              <w:spacing w:val="-1"/>
                              <w:sz w:val="16"/>
                            </w:rPr>
                            <w:tab/>
                            <w:t xml:space="preserve">               </w:t>
                          </w:r>
                          <w:hyperlink r:id="rId1" w:history="1">
                            <w:r>
                              <w:rPr>
                                <w:rFonts w:ascii="Arial" w:hAnsi="Arial"/>
                                <w:spacing w:val="-1"/>
                                <w:sz w:val="16"/>
                              </w:rPr>
                              <w:t>www.ravnopravnost.gov.rs</w:t>
                            </w:r>
                          </w:hyperlink>
                        </w:p>
                        <w:p w:rsidR="006C5B45" w:rsidRPr="00721C4C" w:rsidRDefault="0034565F" w:rsidP="009F1163">
                          <w:pPr>
                            <w:pStyle w:val="FreeFormAA"/>
                            <w:spacing w:line="288" w:lineRule="auto"/>
                            <w:rPr>
                              <w:rFonts w:ascii="Arial" w:eastAsia="Times New Roman" w:hAnsi="Arial" w:cs="Arial"/>
                              <w:color w:val="auto"/>
                              <w:sz w:val="16"/>
                              <w:szCs w:val="16"/>
                              <w:lang w:val="sr-Cyrl-CS"/>
                            </w:rPr>
                          </w:pPr>
                          <w:proofErr w:type="spellStart"/>
                          <w:r>
                            <w:rPr>
                              <w:rFonts w:ascii="Arial Bold" w:hAnsi="Arial Bold"/>
                              <w:spacing w:val="-1"/>
                              <w:sz w:val="16"/>
                            </w:rPr>
                            <w:t>Адреса</w:t>
                          </w:r>
                          <w:proofErr w:type="spellEnd"/>
                          <w:r>
                            <w:rPr>
                              <w:rFonts w:ascii="Arial Bold" w:hAnsi="Arial Bold"/>
                              <w:spacing w:val="-1"/>
                              <w:sz w:val="16"/>
                            </w:rPr>
                            <w:t>:</w:t>
                          </w:r>
                          <w:r>
                            <w:rPr>
                              <w:rFonts w:ascii="Arial" w:hAnsi="Arial"/>
                              <w:spacing w:val="-1"/>
                              <w:sz w:val="16"/>
                            </w:rPr>
                            <w:t xml:space="preserve"> </w:t>
                          </w:r>
                          <w:r>
                            <w:rPr>
                              <w:rFonts w:ascii="Arial" w:hAnsi="Arial"/>
                              <w:spacing w:val="-1"/>
                              <w:sz w:val="16"/>
                              <w:lang w:val="sr-Cyrl-RS"/>
                            </w:rPr>
                            <w:t>Булевар краља Александра</w:t>
                          </w:r>
                          <w:r>
                            <w:rPr>
                              <w:rFonts w:ascii="Arial" w:hAnsi="Arial"/>
                              <w:spacing w:val="-1"/>
                              <w:sz w:val="16"/>
                            </w:rPr>
                            <w:t xml:space="preserve"> </w:t>
                          </w:r>
                          <w:r>
                            <w:rPr>
                              <w:rFonts w:ascii="Arial" w:hAnsi="Arial"/>
                              <w:spacing w:val="-1"/>
                              <w:sz w:val="16"/>
                              <w:lang w:val="sr-Cyrl-RS"/>
                            </w:rPr>
                            <w:t>84</w:t>
                          </w:r>
                          <w:r>
                            <w:rPr>
                              <w:rFonts w:ascii="Arial" w:hAnsi="Arial"/>
                              <w:spacing w:val="-1"/>
                              <w:sz w:val="16"/>
                            </w:rPr>
                            <w:t xml:space="preserve">, 11000 </w:t>
                          </w:r>
                          <w:proofErr w:type="spellStart"/>
                          <w:r>
                            <w:rPr>
                              <w:rFonts w:ascii="Arial" w:hAnsi="Arial"/>
                              <w:spacing w:val="-1"/>
                              <w:sz w:val="16"/>
                            </w:rPr>
                            <w:t>Београд</w:t>
                          </w:r>
                          <w:proofErr w:type="spellEnd"/>
                          <w:r>
                            <w:rPr>
                              <w:rFonts w:ascii="Arial" w:hAnsi="Arial"/>
                              <w:spacing w:val="-1"/>
                              <w:sz w:val="16"/>
                            </w:rPr>
                            <w:t xml:space="preserve">, </w:t>
                          </w:r>
                          <w:proofErr w:type="spellStart"/>
                          <w:r>
                            <w:rPr>
                              <w:rFonts w:ascii="Arial" w:hAnsi="Arial"/>
                              <w:spacing w:val="-1"/>
                              <w:sz w:val="16"/>
                            </w:rPr>
                            <w:t>Република</w:t>
                          </w:r>
                          <w:proofErr w:type="spellEnd"/>
                          <w:r>
                            <w:rPr>
                              <w:rFonts w:ascii="Arial" w:hAnsi="Arial"/>
                              <w:spacing w:val="-1"/>
                              <w:sz w:val="16"/>
                            </w:rPr>
                            <w:t xml:space="preserve"> </w:t>
                          </w:r>
                          <w:proofErr w:type="spellStart"/>
                          <w:r>
                            <w:rPr>
                              <w:rFonts w:ascii="Arial" w:hAnsi="Arial"/>
                              <w:spacing w:val="-1"/>
                              <w:sz w:val="16"/>
                            </w:rPr>
                            <w:t>Србија</w:t>
                          </w:r>
                          <w:proofErr w:type="spellEnd"/>
                          <w:r>
                            <w:rPr>
                              <w:rFonts w:ascii="Arial" w:hAnsi="Arial"/>
                              <w:spacing w:val="-1"/>
                              <w:sz w:val="16"/>
                            </w:rPr>
                            <w:t xml:space="preserve">           </w:t>
                          </w:r>
                          <w:hyperlink r:id="rId2" w:history="1">
                            <w:r>
                              <w:rPr>
                                <w:rFonts w:ascii="Arial" w:hAnsi="Arial"/>
                                <w:spacing w:val="-1"/>
                                <w:sz w:val="16"/>
                              </w:rPr>
                              <w:t>poverenik@ravnopravnost.gov.rs</w:t>
                            </w:r>
                          </w:hyperlink>
                          <w:r w:rsidRPr="00721C4C">
                            <w:rPr>
                              <w:rFonts w:ascii="Arial" w:hAnsi="Arial" w:cs="Arial"/>
                              <w:sz w:val="16"/>
                              <w:szCs w:val="16"/>
                            </w:rPr>
                            <w:tab/>
                          </w:r>
                          <w:r w:rsidRPr="00721C4C">
                            <w:rPr>
                              <w:rFonts w:ascii="Arial" w:hAnsi="Arial" w:cs="Arial"/>
                              <w:sz w:val="16"/>
                              <w:szCs w:val="16"/>
                            </w:rPr>
                            <w:tab/>
                          </w:r>
                          <w:r w:rsidRPr="00721C4C">
                            <w:rPr>
                              <w:rFonts w:ascii="Arial" w:hAnsi="Arial" w:cs="Arial"/>
                              <w:sz w:val="16"/>
                              <w:szCs w:val="16"/>
                            </w:rPr>
                            <w:tab/>
                          </w:r>
                          <w:r w:rsidRPr="00721C4C">
                            <w:rPr>
                              <w:rFonts w:ascii="Arial" w:hAnsi="Arial" w:cs="Arial"/>
                              <w:sz w:val="16"/>
                              <w:szCs w:val="16"/>
                            </w:rPr>
                            <w:fldChar w:fldCharType="begin"/>
                          </w:r>
                          <w:r w:rsidRPr="00721C4C">
                            <w:rPr>
                              <w:rFonts w:ascii="Arial" w:hAnsi="Arial" w:cs="Arial"/>
                              <w:sz w:val="16"/>
                              <w:szCs w:val="16"/>
                            </w:rPr>
                            <w:instrText xml:space="preserve"> PAGE   \* MERGEFORMAT </w:instrText>
                          </w:r>
                          <w:r w:rsidRPr="00721C4C">
                            <w:rPr>
                              <w:rFonts w:ascii="Arial" w:hAnsi="Arial" w:cs="Arial"/>
                              <w:sz w:val="16"/>
                              <w:szCs w:val="16"/>
                            </w:rPr>
                            <w:fldChar w:fldCharType="separate"/>
                          </w:r>
                          <w:r w:rsidR="00921210">
                            <w:rPr>
                              <w:rFonts w:ascii="Arial" w:hAnsi="Arial" w:cs="Arial"/>
                              <w:noProof/>
                              <w:sz w:val="16"/>
                              <w:szCs w:val="16"/>
                            </w:rPr>
                            <w:t>4</w:t>
                          </w:r>
                          <w:r w:rsidRPr="00721C4C">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56pt;margin-top:776.25pt;width:485.5pt;height:45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" filled="f" stroked="f" strokeweight="1pt">
              <v:path arrowok="t"/>
              <v:textbox inset="0,0,0,0">
                <w:txbxContent>
                  <w:p w:rsidR="006C5B45" w:rsidRDefault="0034565F" w:rsidP="009F1163">
                    <w:pPr>
                      <w:pStyle w:val="FreeFormAA"/>
                      <w:spacing w:line="288" w:lineRule="auto"/>
                      <w:rPr>
                        <w:rFonts w:ascii="Arial Bold" w:hAnsi="Arial Bold"/>
                        <w:spacing w:val="-1"/>
                        <w:sz w:val="16"/>
                      </w:rPr>
                    </w:pPr>
                    <w:r>
                      <w:rPr>
                        <w:rFonts w:ascii="Arial" w:hAnsi="Arial"/>
                        <w:spacing w:val="-1"/>
                        <w:sz w:val="16"/>
                      </w:rPr>
                      <w:br/>
                    </w:r>
                    <w:proofErr w:type="spellStart"/>
                    <w:r>
                      <w:rPr>
                        <w:rFonts w:ascii="Arial" w:hAnsi="Arial"/>
                        <w:spacing w:val="-1"/>
                        <w:sz w:val="16"/>
                      </w:rPr>
                      <w:t>Повереник</w:t>
                    </w:r>
                    <w:proofErr w:type="spellEnd"/>
                    <w:r>
                      <w:rPr>
                        <w:rFonts w:ascii="Arial" w:hAnsi="Arial"/>
                        <w:spacing w:val="-1"/>
                        <w:sz w:val="16"/>
                      </w:rPr>
                      <w:t xml:space="preserve"> </w:t>
                    </w:r>
                    <w:proofErr w:type="spellStart"/>
                    <w:r>
                      <w:rPr>
                        <w:rFonts w:ascii="Arial" w:hAnsi="Arial"/>
                        <w:spacing w:val="-1"/>
                        <w:sz w:val="16"/>
                      </w:rPr>
                      <w:t>за</w:t>
                    </w:r>
                    <w:proofErr w:type="spellEnd"/>
                    <w:r>
                      <w:rPr>
                        <w:rFonts w:ascii="Arial" w:hAnsi="Arial"/>
                        <w:spacing w:val="-1"/>
                        <w:sz w:val="16"/>
                      </w:rPr>
                      <w:t xml:space="preserve"> </w:t>
                    </w:r>
                    <w:proofErr w:type="spellStart"/>
                    <w:r>
                      <w:rPr>
                        <w:rFonts w:ascii="Arial" w:hAnsi="Arial"/>
                        <w:spacing w:val="-1"/>
                        <w:sz w:val="16"/>
                      </w:rPr>
                      <w:t>заштиту</w:t>
                    </w:r>
                    <w:proofErr w:type="spellEnd"/>
                    <w:r>
                      <w:rPr>
                        <w:rFonts w:ascii="Arial" w:hAnsi="Arial"/>
                        <w:spacing w:val="-1"/>
                        <w:sz w:val="16"/>
                      </w:rPr>
                      <w:t xml:space="preserve"> </w:t>
                    </w:r>
                    <w:proofErr w:type="spellStart"/>
                    <w:r>
                      <w:rPr>
                        <w:rFonts w:ascii="Arial" w:hAnsi="Arial"/>
                        <w:spacing w:val="-1"/>
                        <w:sz w:val="16"/>
                      </w:rPr>
                      <w:t>равноправности</w:t>
                    </w:r>
                    <w:proofErr w:type="spellEnd"/>
                    <w:r>
                      <w:rPr>
                        <w:rFonts w:ascii="Arial" w:hAnsi="Arial"/>
                        <w:spacing w:val="-1"/>
                        <w:sz w:val="16"/>
                      </w:rPr>
                      <w:t xml:space="preserve">  </w:t>
                    </w:r>
                    <w:r>
                      <w:rPr>
                        <w:rFonts w:ascii="Arial" w:hAnsi="Arial"/>
                        <w:spacing w:val="-1"/>
                        <w:sz w:val="16"/>
                      </w:rPr>
                      <w:tab/>
                    </w:r>
                    <w:r>
                      <w:rPr>
                        <w:rFonts w:ascii="Arial" w:hAnsi="Arial"/>
                        <w:spacing w:val="-1"/>
                        <w:sz w:val="16"/>
                      </w:rPr>
                      <w:tab/>
                      <w:t xml:space="preserve">             </w:t>
                    </w:r>
                    <w:proofErr w:type="spellStart"/>
                    <w:r>
                      <w:rPr>
                        <w:rFonts w:ascii="Arial Bold" w:hAnsi="Arial Bold"/>
                        <w:spacing w:val="-1"/>
                        <w:sz w:val="16"/>
                      </w:rPr>
                      <w:t>Tел</w:t>
                    </w:r>
                    <w:proofErr w:type="spellEnd"/>
                    <w:r>
                      <w:rPr>
                        <w:rFonts w:ascii="Arial Bold" w:hAnsi="Arial Bold"/>
                        <w:spacing w:val="-1"/>
                        <w:sz w:val="16"/>
                      </w:rPr>
                      <w:t xml:space="preserve">/ </w:t>
                    </w:r>
                    <w:proofErr w:type="spellStart"/>
                    <w:r>
                      <w:rPr>
                        <w:rFonts w:ascii="Arial Bold" w:hAnsi="Arial Bold"/>
                        <w:spacing w:val="-1"/>
                        <w:sz w:val="16"/>
                      </w:rPr>
                      <w:t>Факс</w:t>
                    </w:r>
                    <w:proofErr w:type="spellEnd"/>
                    <w:r>
                      <w:rPr>
                        <w:rFonts w:ascii="Arial Bold" w:hAnsi="Arial Bold"/>
                        <w:spacing w:val="-1"/>
                        <w:sz w:val="16"/>
                      </w:rPr>
                      <w:t>:</w:t>
                    </w:r>
                    <w:r>
                      <w:rPr>
                        <w:rFonts w:ascii="Arial" w:hAnsi="Arial"/>
                        <w:spacing w:val="-1"/>
                        <w:sz w:val="16"/>
                      </w:rPr>
                      <w:t xml:space="preserve"> +381 11 243 81 84</w:t>
                    </w:r>
                    <w:r>
                      <w:rPr>
                        <w:rFonts w:ascii="Arial" w:hAnsi="Arial"/>
                        <w:spacing w:val="-1"/>
                        <w:sz w:val="16"/>
                      </w:rPr>
                      <w:tab/>
                      <w:t xml:space="preserve">               </w:t>
                    </w:r>
                    <w:hyperlink r:id="rId3" w:history="1">
                      <w:r>
                        <w:rPr>
                          <w:rFonts w:ascii="Arial" w:hAnsi="Arial"/>
                          <w:spacing w:val="-1"/>
                          <w:sz w:val="16"/>
                        </w:rPr>
                        <w:t>www.ravnopravnost.gov.rs</w:t>
                      </w:r>
                    </w:hyperlink>
                  </w:p>
                  <w:p w:rsidR="006C5B45" w:rsidRPr="00721C4C" w:rsidRDefault="0034565F" w:rsidP="009F1163">
                    <w:pPr>
                      <w:pStyle w:val="FreeFormAA"/>
                      <w:spacing w:line="288" w:lineRule="auto"/>
                      <w:rPr>
                        <w:rFonts w:ascii="Arial" w:eastAsia="Times New Roman" w:hAnsi="Arial" w:cs="Arial"/>
                        <w:color w:val="auto"/>
                        <w:sz w:val="16"/>
                        <w:szCs w:val="16"/>
                        <w:lang w:val="sr-Cyrl-CS"/>
                      </w:rPr>
                    </w:pPr>
                    <w:proofErr w:type="spellStart"/>
                    <w:r>
                      <w:rPr>
                        <w:rFonts w:ascii="Arial Bold" w:hAnsi="Arial Bold"/>
                        <w:spacing w:val="-1"/>
                        <w:sz w:val="16"/>
                      </w:rPr>
                      <w:t>Адреса</w:t>
                    </w:r>
                    <w:proofErr w:type="spellEnd"/>
                    <w:r>
                      <w:rPr>
                        <w:rFonts w:ascii="Arial Bold" w:hAnsi="Arial Bold"/>
                        <w:spacing w:val="-1"/>
                        <w:sz w:val="16"/>
                      </w:rPr>
                      <w:t>:</w:t>
                    </w:r>
                    <w:r>
                      <w:rPr>
                        <w:rFonts w:ascii="Arial" w:hAnsi="Arial"/>
                        <w:spacing w:val="-1"/>
                        <w:sz w:val="16"/>
                      </w:rPr>
                      <w:t xml:space="preserve"> </w:t>
                    </w:r>
                    <w:r>
                      <w:rPr>
                        <w:rFonts w:ascii="Arial" w:hAnsi="Arial"/>
                        <w:spacing w:val="-1"/>
                        <w:sz w:val="16"/>
                        <w:lang w:val="sr-Cyrl-RS"/>
                      </w:rPr>
                      <w:t>Булевар краља Александра</w:t>
                    </w:r>
                    <w:r>
                      <w:rPr>
                        <w:rFonts w:ascii="Arial" w:hAnsi="Arial"/>
                        <w:spacing w:val="-1"/>
                        <w:sz w:val="16"/>
                      </w:rPr>
                      <w:t xml:space="preserve"> </w:t>
                    </w:r>
                    <w:r>
                      <w:rPr>
                        <w:rFonts w:ascii="Arial" w:hAnsi="Arial"/>
                        <w:spacing w:val="-1"/>
                        <w:sz w:val="16"/>
                        <w:lang w:val="sr-Cyrl-RS"/>
                      </w:rPr>
                      <w:t>84</w:t>
                    </w:r>
                    <w:r>
                      <w:rPr>
                        <w:rFonts w:ascii="Arial" w:hAnsi="Arial"/>
                        <w:spacing w:val="-1"/>
                        <w:sz w:val="16"/>
                      </w:rPr>
                      <w:t xml:space="preserve">, 11000 </w:t>
                    </w:r>
                    <w:proofErr w:type="spellStart"/>
                    <w:r>
                      <w:rPr>
                        <w:rFonts w:ascii="Arial" w:hAnsi="Arial"/>
                        <w:spacing w:val="-1"/>
                        <w:sz w:val="16"/>
                      </w:rPr>
                      <w:t>Београд</w:t>
                    </w:r>
                    <w:proofErr w:type="spellEnd"/>
                    <w:r>
                      <w:rPr>
                        <w:rFonts w:ascii="Arial" w:hAnsi="Arial"/>
                        <w:spacing w:val="-1"/>
                        <w:sz w:val="16"/>
                      </w:rPr>
                      <w:t xml:space="preserve">, </w:t>
                    </w:r>
                    <w:proofErr w:type="spellStart"/>
                    <w:r>
                      <w:rPr>
                        <w:rFonts w:ascii="Arial" w:hAnsi="Arial"/>
                        <w:spacing w:val="-1"/>
                        <w:sz w:val="16"/>
                      </w:rPr>
                      <w:t>Република</w:t>
                    </w:r>
                    <w:proofErr w:type="spellEnd"/>
                    <w:r>
                      <w:rPr>
                        <w:rFonts w:ascii="Arial" w:hAnsi="Arial"/>
                        <w:spacing w:val="-1"/>
                        <w:sz w:val="16"/>
                      </w:rPr>
                      <w:t xml:space="preserve"> </w:t>
                    </w:r>
                    <w:proofErr w:type="spellStart"/>
                    <w:r>
                      <w:rPr>
                        <w:rFonts w:ascii="Arial" w:hAnsi="Arial"/>
                        <w:spacing w:val="-1"/>
                        <w:sz w:val="16"/>
                      </w:rPr>
                      <w:t>Србија</w:t>
                    </w:r>
                    <w:proofErr w:type="spellEnd"/>
                    <w:r>
                      <w:rPr>
                        <w:rFonts w:ascii="Arial" w:hAnsi="Arial"/>
                        <w:spacing w:val="-1"/>
                        <w:sz w:val="16"/>
                      </w:rPr>
                      <w:t xml:space="preserve">           </w:t>
                    </w:r>
                    <w:hyperlink r:id="rId4" w:history="1">
                      <w:r>
                        <w:rPr>
                          <w:rFonts w:ascii="Arial" w:hAnsi="Arial"/>
                          <w:spacing w:val="-1"/>
                          <w:sz w:val="16"/>
                        </w:rPr>
                        <w:t>poverenik@ravnopravnost.gov.rs</w:t>
                      </w:r>
                    </w:hyperlink>
                    <w:r w:rsidRPr="00721C4C">
                      <w:rPr>
                        <w:rFonts w:ascii="Arial" w:hAnsi="Arial" w:cs="Arial"/>
                        <w:sz w:val="16"/>
                        <w:szCs w:val="16"/>
                      </w:rPr>
                      <w:tab/>
                    </w:r>
                    <w:r w:rsidRPr="00721C4C">
                      <w:rPr>
                        <w:rFonts w:ascii="Arial" w:hAnsi="Arial" w:cs="Arial"/>
                        <w:sz w:val="16"/>
                        <w:szCs w:val="16"/>
                      </w:rPr>
                      <w:tab/>
                    </w:r>
                    <w:r w:rsidRPr="00721C4C">
                      <w:rPr>
                        <w:rFonts w:ascii="Arial" w:hAnsi="Arial" w:cs="Arial"/>
                        <w:sz w:val="16"/>
                        <w:szCs w:val="16"/>
                      </w:rPr>
                      <w:tab/>
                    </w:r>
                    <w:r w:rsidRPr="00721C4C">
                      <w:rPr>
                        <w:rFonts w:ascii="Arial" w:hAnsi="Arial" w:cs="Arial"/>
                        <w:sz w:val="16"/>
                        <w:szCs w:val="16"/>
                      </w:rPr>
                      <w:fldChar w:fldCharType="begin"/>
                    </w:r>
                    <w:r w:rsidRPr="00721C4C">
                      <w:rPr>
                        <w:rFonts w:ascii="Arial" w:hAnsi="Arial" w:cs="Arial"/>
                        <w:sz w:val="16"/>
                        <w:szCs w:val="16"/>
                      </w:rPr>
                      <w:instrText xml:space="preserve"> PAGE   \* MERGEFORMAT </w:instrText>
                    </w:r>
                    <w:r w:rsidRPr="00721C4C">
                      <w:rPr>
                        <w:rFonts w:ascii="Arial" w:hAnsi="Arial" w:cs="Arial"/>
                        <w:sz w:val="16"/>
                        <w:szCs w:val="16"/>
                      </w:rPr>
                      <w:fldChar w:fldCharType="separate"/>
                    </w:r>
                    <w:r w:rsidR="00921210">
                      <w:rPr>
                        <w:rFonts w:ascii="Arial" w:hAnsi="Arial" w:cs="Arial"/>
                        <w:noProof/>
                        <w:sz w:val="16"/>
                        <w:szCs w:val="16"/>
                      </w:rPr>
                      <w:t>4</w:t>
                    </w:r>
                    <w:r w:rsidRPr="00721C4C">
                      <w:rPr>
                        <w:rFonts w:ascii="Arial" w:hAnsi="Arial" w:cs="Arial"/>
                        <w:sz w:val="16"/>
                        <w:szCs w:val="16"/>
                      </w:rPr>
                      <w:fldChar w:fldCharType="end"/>
                    </w:r>
                  </w:p>
                </w:txbxContent>
              </v:textbox>
              <w10:wrap type="square" anchorx="page" anchory="page"/>
            </v:rect>
          </w:pict>
        </mc:Fallback>
      </mc:AlternateContent>
    </w:r>
    <w:r>
      <w:rPr>
        <w:noProof/>
      </w:rPr>
      <w:drawing>
        <wp:anchor distT="0" distB="0" distL="114300" distR="114300" simplePos="0" relativeHeight="251660288" behindDoc="0" locked="0" layoutInCell="1" allowOverlap="1">
          <wp:simplePos x="0" y="0"/>
          <wp:positionH relativeFrom="page">
            <wp:posOffset>457200</wp:posOffset>
          </wp:positionH>
          <wp:positionV relativeFrom="page">
            <wp:posOffset>9458325</wp:posOffset>
          </wp:positionV>
          <wp:extent cx="6642100" cy="523875"/>
          <wp:effectExtent l="0" t="0" r="635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2100" cy="5238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C4C" w:rsidRDefault="000E0A17">
    <w:pPr>
      <w:pStyle w:val="Footer"/>
    </w:pPr>
    <w:r>
      <w:rPr>
        <w:noProof/>
      </w:rPr>
      <w:drawing>
        <wp:anchor distT="0" distB="0" distL="114300" distR="114300" simplePos="0" relativeHeight="251662336" behindDoc="0" locked="0" layoutInCell="1" allowOverlap="1">
          <wp:simplePos x="0" y="0"/>
          <wp:positionH relativeFrom="page">
            <wp:posOffset>457835</wp:posOffset>
          </wp:positionH>
          <wp:positionV relativeFrom="page">
            <wp:posOffset>9457690</wp:posOffset>
          </wp:positionV>
          <wp:extent cx="6642100" cy="523875"/>
          <wp:effectExtent l="0" t="0" r="635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210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152400" distB="152400" distL="152400" distR="152400" simplePos="0" relativeHeight="251661312" behindDoc="0" locked="0" layoutInCell="1" allowOverlap="1">
              <wp:simplePos x="0" y="0"/>
              <wp:positionH relativeFrom="page">
                <wp:posOffset>711835</wp:posOffset>
              </wp:positionH>
              <wp:positionV relativeFrom="page">
                <wp:posOffset>9857740</wp:posOffset>
              </wp:positionV>
              <wp:extent cx="6165850" cy="571500"/>
              <wp:effectExtent l="0" t="0" r="0" b="635"/>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58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721C4C" w:rsidRDefault="0034565F" w:rsidP="00721C4C">
                          <w:pPr>
                            <w:pStyle w:val="FreeFormAA"/>
                            <w:spacing w:line="288" w:lineRule="auto"/>
                            <w:rPr>
                              <w:rFonts w:ascii="Arial Bold" w:hAnsi="Arial Bold"/>
                              <w:spacing w:val="-1"/>
                              <w:sz w:val="16"/>
                            </w:rPr>
                          </w:pPr>
                          <w:r>
                            <w:rPr>
                              <w:rFonts w:ascii="Arial" w:hAnsi="Arial"/>
                              <w:spacing w:val="-1"/>
                              <w:sz w:val="16"/>
                            </w:rPr>
                            <w:br/>
                          </w:r>
                          <w:proofErr w:type="spellStart"/>
                          <w:r>
                            <w:rPr>
                              <w:rFonts w:ascii="Arial" w:hAnsi="Arial"/>
                              <w:spacing w:val="-1"/>
                              <w:sz w:val="16"/>
                            </w:rPr>
                            <w:t>Повереник</w:t>
                          </w:r>
                          <w:proofErr w:type="spellEnd"/>
                          <w:r>
                            <w:rPr>
                              <w:rFonts w:ascii="Arial" w:hAnsi="Arial"/>
                              <w:spacing w:val="-1"/>
                              <w:sz w:val="16"/>
                            </w:rPr>
                            <w:t xml:space="preserve"> </w:t>
                          </w:r>
                          <w:proofErr w:type="spellStart"/>
                          <w:r>
                            <w:rPr>
                              <w:rFonts w:ascii="Arial" w:hAnsi="Arial"/>
                              <w:spacing w:val="-1"/>
                              <w:sz w:val="16"/>
                            </w:rPr>
                            <w:t>за</w:t>
                          </w:r>
                          <w:proofErr w:type="spellEnd"/>
                          <w:r>
                            <w:rPr>
                              <w:rFonts w:ascii="Arial" w:hAnsi="Arial"/>
                              <w:spacing w:val="-1"/>
                              <w:sz w:val="16"/>
                            </w:rPr>
                            <w:t xml:space="preserve"> </w:t>
                          </w:r>
                          <w:proofErr w:type="spellStart"/>
                          <w:r>
                            <w:rPr>
                              <w:rFonts w:ascii="Arial" w:hAnsi="Arial"/>
                              <w:spacing w:val="-1"/>
                              <w:sz w:val="16"/>
                            </w:rPr>
                            <w:t>заштиту</w:t>
                          </w:r>
                          <w:proofErr w:type="spellEnd"/>
                          <w:r>
                            <w:rPr>
                              <w:rFonts w:ascii="Arial" w:hAnsi="Arial"/>
                              <w:spacing w:val="-1"/>
                              <w:sz w:val="16"/>
                            </w:rPr>
                            <w:t xml:space="preserve"> </w:t>
                          </w:r>
                          <w:proofErr w:type="spellStart"/>
                          <w:r>
                            <w:rPr>
                              <w:rFonts w:ascii="Arial" w:hAnsi="Arial"/>
                              <w:spacing w:val="-1"/>
                              <w:sz w:val="16"/>
                            </w:rPr>
                            <w:t>равноправности</w:t>
                          </w:r>
                          <w:proofErr w:type="spellEnd"/>
                          <w:r>
                            <w:rPr>
                              <w:rFonts w:ascii="Arial" w:hAnsi="Arial"/>
                              <w:spacing w:val="-1"/>
                              <w:sz w:val="16"/>
                            </w:rPr>
                            <w:t xml:space="preserve">  </w:t>
                          </w:r>
                          <w:r>
                            <w:rPr>
                              <w:rFonts w:ascii="Arial" w:hAnsi="Arial"/>
                              <w:spacing w:val="-1"/>
                              <w:sz w:val="16"/>
                            </w:rPr>
                            <w:tab/>
                          </w:r>
                          <w:r>
                            <w:rPr>
                              <w:rFonts w:ascii="Arial" w:hAnsi="Arial"/>
                              <w:spacing w:val="-1"/>
                              <w:sz w:val="16"/>
                            </w:rPr>
                            <w:tab/>
                            <w:t xml:space="preserve">             </w:t>
                          </w:r>
                          <w:proofErr w:type="spellStart"/>
                          <w:r>
                            <w:rPr>
                              <w:rFonts w:ascii="Arial Bold" w:hAnsi="Arial Bold"/>
                              <w:spacing w:val="-1"/>
                              <w:sz w:val="16"/>
                            </w:rPr>
                            <w:t>Tел</w:t>
                          </w:r>
                          <w:proofErr w:type="spellEnd"/>
                          <w:r>
                            <w:rPr>
                              <w:rFonts w:ascii="Arial Bold" w:hAnsi="Arial Bold"/>
                              <w:spacing w:val="-1"/>
                              <w:sz w:val="16"/>
                            </w:rPr>
                            <w:t xml:space="preserve">/ </w:t>
                          </w:r>
                          <w:proofErr w:type="spellStart"/>
                          <w:r>
                            <w:rPr>
                              <w:rFonts w:ascii="Arial Bold" w:hAnsi="Arial Bold"/>
                              <w:spacing w:val="-1"/>
                              <w:sz w:val="16"/>
                            </w:rPr>
                            <w:t>Факс</w:t>
                          </w:r>
                          <w:proofErr w:type="spellEnd"/>
                          <w:r>
                            <w:rPr>
                              <w:rFonts w:ascii="Arial Bold" w:hAnsi="Arial Bold"/>
                              <w:spacing w:val="-1"/>
                              <w:sz w:val="16"/>
                            </w:rPr>
                            <w:t>:</w:t>
                          </w:r>
                          <w:r>
                            <w:rPr>
                              <w:rFonts w:ascii="Arial" w:hAnsi="Arial"/>
                              <w:spacing w:val="-1"/>
                              <w:sz w:val="16"/>
                            </w:rPr>
                            <w:t xml:space="preserve"> +381 11 243 81 84</w:t>
                          </w:r>
                          <w:r>
                            <w:rPr>
                              <w:rFonts w:ascii="Arial" w:hAnsi="Arial"/>
                              <w:spacing w:val="-1"/>
                              <w:sz w:val="16"/>
                            </w:rPr>
                            <w:tab/>
                            <w:t xml:space="preserve">               </w:t>
                          </w:r>
                          <w:hyperlink r:id="rId2" w:history="1">
                            <w:r>
                              <w:rPr>
                                <w:rFonts w:ascii="Arial" w:hAnsi="Arial"/>
                                <w:spacing w:val="-1"/>
                                <w:sz w:val="16"/>
                              </w:rPr>
                              <w:t>www.ravnopravnost.gov.rs</w:t>
                            </w:r>
                          </w:hyperlink>
                        </w:p>
                        <w:p w:rsidR="00721C4C" w:rsidRPr="00721C4C" w:rsidRDefault="0034565F" w:rsidP="00721C4C">
                          <w:pPr>
                            <w:pStyle w:val="FreeFormAA"/>
                            <w:spacing w:line="288" w:lineRule="auto"/>
                            <w:rPr>
                              <w:rFonts w:ascii="Arial" w:eastAsia="Times New Roman" w:hAnsi="Arial" w:cs="Arial"/>
                              <w:color w:val="auto"/>
                              <w:sz w:val="16"/>
                              <w:szCs w:val="16"/>
                              <w:lang w:val="sr-Cyrl-CS"/>
                            </w:rPr>
                          </w:pPr>
                          <w:proofErr w:type="spellStart"/>
                          <w:r>
                            <w:rPr>
                              <w:rFonts w:ascii="Arial Bold" w:hAnsi="Arial Bold"/>
                              <w:spacing w:val="-1"/>
                              <w:sz w:val="16"/>
                            </w:rPr>
                            <w:t>Адреса</w:t>
                          </w:r>
                          <w:proofErr w:type="spellEnd"/>
                          <w:r>
                            <w:rPr>
                              <w:rFonts w:ascii="Arial Bold" w:hAnsi="Arial Bold"/>
                              <w:spacing w:val="-1"/>
                              <w:sz w:val="16"/>
                            </w:rPr>
                            <w:t>:</w:t>
                          </w:r>
                          <w:r>
                            <w:rPr>
                              <w:rFonts w:ascii="Arial" w:hAnsi="Arial"/>
                              <w:spacing w:val="-1"/>
                              <w:sz w:val="16"/>
                            </w:rPr>
                            <w:t xml:space="preserve"> </w:t>
                          </w:r>
                          <w:r>
                            <w:rPr>
                              <w:rFonts w:ascii="Arial" w:hAnsi="Arial"/>
                              <w:spacing w:val="-1"/>
                              <w:sz w:val="16"/>
                              <w:lang w:val="sr-Cyrl-RS"/>
                            </w:rPr>
                            <w:t>Булевар краља Александра</w:t>
                          </w:r>
                          <w:r>
                            <w:rPr>
                              <w:rFonts w:ascii="Arial" w:hAnsi="Arial"/>
                              <w:spacing w:val="-1"/>
                              <w:sz w:val="16"/>
                            </w:rPr>
                            <w:t xml:space="preserve"> </w:t>
                          </w:r>
                          <w:r>
                            <w:rPr>
                              <w:rFonts w:ascii="Arial" w:hAnsi="Arial"/>
                              <w:spacing w:val="-1"/>
                              <w:sz w:val="16"/>
                              <w:lang w:val="sr-Cyrl-RS"/>
                            </w:rPr>
                            <w:t>84</w:t>
                          </w:r>
                          <w:r>
                            <w:rPr>
                              <w:rFonts w:ascii="Arial" w:hAnsi="Arial"/>
                              <w:spacing w:val="-1"/>
                              <w:sz w:val="16"/>
                            </w:rPr>
                            <w:t xml:space="preserve">, 11000 </w:t>
                          </w:r>
                          <w:proofErr w:type="spellStart"/>
                          <w:r>
                            <w:rPr>
                              <w:rFonts w:ascii="Arial" w:hAnsi="Arial"/>
                              <w:spacing w:val="-1"/>
                              <w:sz w:val="16"/>
                            </w:rPr>
                            <w:t>Београд</w:t>
                          </w:r>
                          <w:proofErr w:type="spellEnd"/>
                          <w:r>
                            <w:rPr>
                              <w:rFonts w:ascii="Arial" w:hAnsi="Arial"/>
                              <w:spacing w:val="-1"/>
                              <w:sz w:val="16"/>
                            </w:rPr>
                            <w:t xml:space="preserve">, </w:t>
                          </w:r>
                          <w:proofErr w:type="spellStart"/>
                          <w:r>
                            <w:rPr>
                              <w:rFonts w:ascii="Arial" w:hAnsi="Arial"/>
                              <w:spacing w:val="-1"/>
                              <w:sz w:val="16"/>
                            </w:rPr>
                            <w:t>Република</w:t>
                          </w:r>
                          <w:proofErr w:type="spellEnd"/>
                          <w:r>
                            <w:rPr>
                              <w:rFonts w:ascii="Arial" w:hAnsi="Arial"/>
                              <w:spacing w:val="-1"/>
                              <w:sz w:val="16"/>
                            </w:rPr>
                            <w:t xml:space="preserve"> </w:t>
                          </w:r>
                          <w:proofErr w:type="spellStart"/>
                          <w:r>
                            <w:rPr>
                              <w:rFonts w:ascii="Arial" w:hAnsi="Arial"/>
                              <w:spacing w:val="-1"/>
                              <w:sz w:val="16"/>
                            </w:rPr>
                            <w:t>Србија</w:t>
                          </w:r>
                          <w:proofErr w:type="spellEnd"/>
                          <w:r>
                            <w:rPr>
                              <w:rFonts w:ascii="Arial" w:hAnsi="Arial"/>
                              <w:spacing w:val="-1"/>
                              <w:sz w:val="16"/>
                            </w:rPr>
                            <w:t xml:space="preserve">           </w:t>
                          </w:r>
                          <w:hyperlink r:id="rId3" w:history="1">
                            <w:r>
                              <w:rPr>
                                <w:rFonts w:ascii="Arial" w:hAnsi="Arial"/>
                                <w:spacing w:val="-1"/>
                                <w:sz w:val="16"/>
                              </w:rPr>
                              <w:t>poverenik@ravnopravnost.gov.rs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56.05pt;margin-top:776.2pt;width:485.5pt;height:45pt;z-index:25166131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" filled="f" stroked="f" strokeweight="1pt">
              <v:path arrowok="t"/>
              <v:textbox inset="0,0,0,0">
                <w:txbxContent>
                  <w:p w:rsidR="00721C4C" w:rsidRDefault="0034565F" w:rsidP="00721C4C">
                    <w:pPr>
                      <w:pStyle w:val="FreeFormAA"/>
                      <w:spacing w:line="288" w:lineRule="auto"/>
                      <w:rPr>
                        <w:rFonts w:ascii="Arial Bold" w:hAnsi="Arial Bold"/>
                        <w:spacing w:val="-1"/>
                        <w:sz w:val="16"/>
                      </w:rPr>
                    </w:pPr>
                    <w:r>
                      <w:rPr>
                        <w:rFonts w:ascii="Arial" w:hAnsi="Arial"/>
                        <w:spacing w:val="-1"/>
                        <w:sz w:val="16"/>
                      </w:rPr>
                      <w:br/>
                    </w:r>
                    <w:proofErr w:type="spellStart"/>
                    <w:r>
                      <w:rPr>
                        <w:rFonts w:ascii="Arial" w:hAnsi="Arial"/>
                        <w:spacing w:val="-1"/>
                        <w:sz w:val="16"/>
                      </w:rPr>
                      <w:t>Повереник</w:t>
                    </w:r>
                    <w:proofErr w:type="spellEnd"/>
                    <w:r>
                      <w:rPr>
                        <w:rFonts w:ascii="Arial" w:hAnsi="Arial"/>
                        <w:spacing w:val="-1"/>
                        <w:sz w:val="16"/>
                      </w:rPr>
                      <w:t xml:space="preserve"> </w:t>
                    </w:r>
                    <w:proofErr w:type="spellStart"/>
                    <w:r>
                      <w:rPr>
                        <w:rFonts w:ascii="Arial" w:hAnsi="Arial"/>
                        <w:spacing w:val="-1"/>
                        <w:sz w:val="16"/>
                      </w:rPr>
                      <w:t>за</w:t>
                    </w:r>
                    <w:proofErr w:type="spellEnd"/>
                    <w:r>
                      <w:rPr>
                        <w:rFonts w:ascii="Arial" w:hAnsi="Arial"/>
                        <w:spacing w:val="-1"/>
                        <w:sz w:val="16"/>
                      </w:rPr>
                      <w:t xml:space="preserve"> </w:t>
                    </w:r>
                    <w:proofErr w:type="spellStart"/>
                    <w:r>
                      <w:rPr>
                        <w:rFonts w:ascii="Arial" w:hAnsi="Arial"/>
                        <w:spacing w:val="-1"/>
                        <w:sz w:val="16"/>
                      </w:rPr>
                      <w:t>заштиту</w:t>
                    </w:r>
                    <w:proofErr w:type="spellEnd"/>
                    <w:r>
                      <w:rPr>
                        <w:rFonts w:ascii="Arial" w:hAnsi="Arial"/>
                        <w:spacing w:val="-1"/>
                        <w:sz w:val="16"/>
                      </w:rPr>
                      <w:t xml:space="preserve"> </w:t>
                    </w:r>
                    <w:proofErr w:type="spellStart"/>
                    <w:r>
                      <w:rPr>
                        <w:rFonts w:ascii="Arial" w:hAnsi="Arial"/>
                        <w:spacing w:val="-1"/>
                        <w:sz w:val="16"/>
                      </w:rPr>
                      <w:t>равноправности</w:t>
                    </w:r>
                    <w:proofErr w:type="spellEnd"/>
                    <w:r>
                      <w:rPr>
                        <w:rFonts w:ascii="Arial" w:hAnsi="Arial"/>
                        <w:spacing w:val="-1"/>
                        <w:sz w:val="16"/>
                      </w:rPr>
                      <w:t xml:space="preserve">  </w:t>
                    </w:r>
                    <w:r>
                      <w:rPr>
                        <w:rFonts w:ascii="Arial" w:hAnsi="Arial"/>
                        <w:spacing w:val="-1"/>
                        <w:sz w:val="16"/>
                      </w:rPr>
                      <w:tab/>
                    </w:r>
                    <w:r>
                      <w:rPr>
                        <w:rFonts w:ascii="Arial" w:hAnsi="Arial"/>
                        <w:spacing w:val="-1"/>
                        <w:sz w:val="16"/>
                      </w:rPr>
                      <w:tab/>
                      <w:t xml:space="preserve">             </w:t>
                    </w:r>
                    <w:proofErr w:type="spellStart"/>
                    <w:r>
                      <w:rPr>
                        <w:rFonts w:ascii="Arial Bold" w:hAnsi="Arial Bold"/>
                        <w:spacing w:val="-1"/>
                        <w:sz w:val="16"/>
                      </w:rPr>
                      <w:t>Tел</w:t>
                    </w:r>
                    <w:proofErr w:type="spellEnd"/>
                    <w:r>
                      <w:rPr>
                        <w:rFonts w:ascii="Arial Bold" w:hAnsi="Arial Bold"/>
                        <w:spacing w:val="-1"/>
                        <w:sz w:val="16"/>
                      </w:rPr>
                      <w:t xml:space="preserve">/ </w:t>
                    </w:r>
                    <w:proofErr w:type="spellStart"/>
                    <w:r>
                      <w:rPr>
                        <w:rFonts w:ascii="Arial Bold" w:hAnsi="Arial Bold"/>
                        <w:spacing w:val="-1"/>
                        <w:sz w:val="16"/>
                      </w:rPr>
                      <w:t>Факс</w:t>
                    </w:r>
                    <w:proofErr w:type="spellEnd"/>
                    <w:r>
                      <w:rPr>
                        <w:rFonts w:ascii="Arial Bold" w:hAnsi="Arial Bold"/>
                        <w:spacing w:val="-1"/>
                        <w:sz w:val="16"/>
                      </w:rPr>
                      <w:t>:</w:t>
                    </w:r>
                    <w:r>
                      <w:rPr>
                        <w:rFonts w:ascii="Arial" w:hAnsi="Arial"/>
                        <w:spacing w:val="-1"/>
                        <w:sz w:val="16"/>
                      </w:rPr>
                      <w:t xml:space="preserve"> +381 11 243 81 84</w:t>
                    </w:r>
                    <w:r>
                      <w:rPr>
                        <w:rFonts w:ascii="Arial" w:hAnsi="Arial"/>
                        <w:spacing w:val="-1"/>
                        <w:sz w:val="16"/>
                      </w:rPr>
                      <w:tab/>
                      <w:t xml:space="preserve">               </w:t>
                    </w:r>
                    <w:hyperlink r:id="rId4" w:history="1">
                      <w:r>
                        <w:rPr>
                          <w:rFonts w:ascii="Arial" w:hAnsi="Arial"/>
                          <w:spacing w:val="-1"/>
                          <w:sz w:val="16"/>
                        </w:rPr>
                        <w:t>www.ravnopravnost.gov.rs</w:t>
                      </w:r>
                    </w:hyperlink>
                  </w:p>
                  <w:p w:rsidR="00721C4C" w:rsidRPr="00721C4C" w:rsidRDefault="0034565F" w:rsidP="00721C4C">
                    <w:pPr>
                      <w:pStyle w:val="FreeFormAA"/>
                      <w:spacing w:line="288" w:lineRule="auto"/>
                      <w:rPr>
                        <w:rFonts w:ascii="Arial" w:eastAsia="Times New Roman" w:hAnsi="Arial" w:cs="Arial"/>
                        <w:color w:val="auto"/>
                        <w:sz w:val="16"/>
                        <w:szCs w:val="16"/>
                        <w:lang w:val="sr-Cyrl-CS"/>
                      </w:rPr>
                    </w:pPr>
                    <w:proofErr w:type="spellStart"/>
                    <w:r>
                      <w:rPr>
                        <w:rFonts w:ascii="Arial Bold" w:hAnsi="Arial Bold"/>
                        <w:spacing w:val="-1"/>
                        <w:sz w:val="16"/>
                      </w:rPr>
                      <w:t>Адреса</w:t>
                    </w:r>
                    <w:proofErr w:type="spellEnd"/>
                    <w:r>
                      <w:rPr>
                        <w:rFonts w:ascii="Arial Bold" w:hAnsi="Arial Bold"/>
                        <w:spacing w:val="-1"/>
                        <w:sz w:val="16"/>
                      </w:rPr>
                      <w:t>:</w:t>
                    </w:r>
                    <w:r>
                      <w:rPr>
                        <w:rFonts w:ascii="Arial" w:hAnsi="Arial"/>
                        <w:spacing w:val="-1"/>
                        <w:sz w:val="16"/>
                      </w:rPr>
                      <w:t xml:space="preserve"> </w:t>
                    </w:r>
                    <w:r>
                      <w:rPr>
                        <w:rFonts w:ascii="Arial" w:hAnsi="Arial"/>
                        <w:spacing w:val="-1"/>
                        <w:sz w:val="16"/>
                        <w:lang w:val="sr-Cyrl-RS"/>
                      </w:rPr>
                      <w:t>Булевар краља Александра</w:t>
                    </w:r>
                    <w:r>
                      <w:rPr>
                        <w:rFonts w:ascii="Arial" w:hAnsi="Arial"/>
                        <w:spacing w:val="-1"/>
                        <w:sz w:val="16"/>
                      </w:rPr>
                      <w:t xml:space="preserve"> </w:t>
                    </w:r>
                    <w:r>
                      <w:rPr>
                        <w:rFonts w:ascii="Arial" w:hAnsi="Arial"/>
                        <w:spacing w:val="-1"/>
                        <w:sz w:val="16"/>
                        <w:lang w:val="sr-Cyrl-RS"/>
                      </w:rPr>
                      <w:t>84</w:t>
                    </w:r>
                    <w:r>
                      <w:rPr>
                        <w:rFonts w:ascii="Arial" w:hAnsi="Arial"/>
                        <w:spacing w:val="-1"/>
                        <w:sz w:val="16"/>
                      </w:rPr>
                      <w:t xml:space="preserve">, 11000 </w:t>
                    </w:r>
                    <w:proofErr w:type="spellStart"/>
                    <w:r>
                      <w:rPr>
                        <w:rFonts w:ascii="Arial" w:hAnsi="Arial"/>
                        <w:spacing w:val="-1"/>
                        <w:sz w:val="16"/>
                      </w:rPr>
                      <w:t>Београд</w:t>
                    </w:r>
                    <w:proofErr w:type="spellEnd"/>
                    <w:r>
                      <w:rPr>
                        <w:rFonts w:ascii="Arial" w:hAnsi="Arial"/>
                        <w:spacing w:val="-1"/>
                        <w:sz w:val="16"/>
                      </w:rPr>
                      <w:t xml:space="preserve">, </w:t>
                    </w:r>
                    <w:proofErr w:type="spellStart"/>
                    <w:r>
                      <w:rPr>
                        <w:rFonts w:ascii="Arial" w:hAnsi="Arial"/>
                        <w:spacing w:val="-1"/>
                        <w:sz w:val="16"/>
                      </w:rPr>
                      <w:t>Република</w:t>
                    </w:r>
                    <w:proofErr w:type="spellEnd"/>
                    <w:r>
                      <w:rPr>
                        <w:rFonts w:ascii="Arial" w:hAnsi="Arial"/>
                        <w:spacing w:val="-1"/>
                        <w:sz w:val="16"/>
                      </w:rPr>
                      <w:t xml:space="preserve"> </w:t>
                    </w:r>
                    <w:proofErr w:type="spellStart"/>
                    <w:r>
                      <w:rPr>
                        <w:rFonts w:ascii="Arial" w:hAnsi="Arial"/>
                        <w:spacing w:val="-1"/>
                        <w:sz w:val="16"/>
                      </w:rPr>
                      <w:t>Србија</w:t>
                    </w:r>
                    <w:proofErr w:type="spellEnd"/>
                    <w:r>
                      <w:rPr>
                        <w:rFonts w:ascii="Arial" w:hAnsi="Arial"/>
                        <w:spacing w:val="-1"/>
                        <w:sz w:val="16"/>
                      </w:rPr>
                      <w:t xml:space="preserve">           </w:t>
                    </w:r>
                    <w:hyperlink r:id="rId5" w:history="1">
                      <w:r>
                        <w:rPr>
                          <w:rFonts w:ascii="Arial" w:hAnsi="Arial"/>
                          <w:spacing w:val="-1"/>
                          <w:sz w:val="16"/>
                        </w:rPr>
                        <w:t>poverenik@ravnopravnost.gov.rs</w:t>
                      </w:r>
                    </w:hyperlink>
                  </w:p>
                </w:txbxContent>
              </v:textbox>
              <w10:wrap type="square"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BCC" w:rsidRDefault="00AF1BCC" w:rsidP="000E0A17">
      <w:pPr>
        <w:spacing w:after="0"/>
      </w:pPr>
      <w:r>
        <w:separator/>
      </w:r>
    </w:p>
  </w:footnote>
  <w:footnote w:type="continuationSeparator" w:id="0">
    <w:p w:rsidR="00AF1BCC" w:rsidRDefault="00AF1BCC" w:rsidP="000E0A17">
      <w:pPr>
        <w:spacing w:after="0"/>
      </w:pPr>
      <w:r>
        <w:continuationSeparator/>
      </w:r>
    </w:p>
  </w:footnote>
  <w:footnote w:id="1">
    <w:p w:rsidR="009C36F1" w:rsidRPr="00F96133" w:rsidRDefault="009C36F1" w:rsidP="009C36F1">
      <w:pPr>
        <w:pStyle w:val="NoSpacing"/>
        <w:rPr>
          <w:rFonts w:cs="Arial"/>
          <w:sz w:val="16"/>
          <w:szCs w:val="16"/>
          <w:lang w:val="sr-Cyrl-RS"/>
        </w:rPr>
      </w:pPr>
      <w:r w:rsidRPr="00F96133">
        <w:rPr>
          <w:rStyle w:val="FootnoteReference"/>
          <w:rFonts w:cs="Arial"/>
          <w:sz w:val="16"/>
          <w:szCs w:val="16"/>
        </w:rPr>
        <w:footnoteRef/>
      </w:r>
      <w:r w:rsidRPr="00F96133">
        <w:rPr>
          <w:rFonts w:cs="Arial"/>
          <w:sz w:val="16"/>
          <w:szCs w:val="16"/>
        </w:rPr>
        <w:t xml:space="preserve"> </w:t>
      </w:r>
      <w:r w:rsidRPr="00F96133">
        <w:rPr>
          <w:rFonts w:cs="Arial"/>
          <w:sz w:val="16"/>
          <w:szCs w:val="16"/>
          <w:lang w:val="sr-Cyrl-RS"/>
        </w:rPr>
        <w:t>Закон о потврђивању Конвенције о правима особа са инвалидитетом, „Службени гласник РС – Међународни уговори“, бр. 42/09</w:t>
      </w:r>
    </w:p>
  </w:footnote>
  <w:footnote w:id="2">
    <w:p w:rsidR="00D6066F" w:rsidRPr="00326766" w:rsidRDefault="00D6066F" w:rsidP="00D6066F">
      <w:pPr>
        <w:pStyle w:val="FootnoteText"/>
        <w:rPr>
          <w:rFonts w:cs="Arial"/>
          <w:sz w:val="16"/>
          <w:szCs w:val="16"/>
        </w:rPr>
      </w:pPr>
      <w:r w:rsidRPr="00326766">
        <w:rPr>
          <w:rStyle w:val="FootnoteReference"/>
          <w:rFonts w:cs="Arial"/>
          <w:sz w:val="16"/>
          <w:szCs w:val="16"/>
        </w:rPr>
        <w:footnoteRef/>
      </w:r>
      <w:r w:rsidRPr="00326766">
        <w:rPr>
          <w:rFonts w:cs="Arial"/>
          <w:sz w:val="16"/>
          <w:szCs w:val="16"/>
        </w:rPr>
        <w:t xml:space="preserve"> </w:t>
      </w:r>
      <w:proofErr w:type="spellStart"/>
      <w:r w:rsidRPr="00326766">
        <w:rPr>
          <w:rFonts w:cs="Arial"/>
          <w:sz w:val="16"/>
          <w:szCs w:val="16"/>
        </w:rPr>
        <w:t>Закон</w:t>
      </w:r>
      <w:proofErr w:type="spellEnd"/>
      <w:r w:rsidRPr="00326766">
        <w:rPr>
          <w:rFonts w:cs="Arial"/>
          <w:sz w:val="16"/>
          <w:szCs w:val="16"/>
        </w:rPr>
        <w:t xml:space="preserve"> о </w:t>
      </w:r>
      <w:proofErr w:type="spellStart"/>
      <w:r w:rsidRPr="00326766">
        <w:rPr>
          <w:rFonts w:cs="Arial"/>
          <w:sz w:val="16"/>
          <w:szCs w:val="16"/>
        </w:rPr>
        <w:t>ратификацији</w:t>
      </w:r>
      <w:proofErr w:type="spellEnd"/>
      <w:r w:rsidRPr="00326766">
        <w:rPr>
          <w:rFonts w:cs="Arial"/>
          <w:sz w:val="16"/>
          <w:szCs w:val="16"/>
        </w:rPr>
        <w:t xml:space="preserve"> </w:t>
      </w:r>
      <w:proofErr w:type="spellStart"/>
      <w:r w:rsidRPr="00326766">
        <w:rPr>
          <w:rFonts w:cs="Arial"/>
          <w:sz w:val="16"/>
          <w:szCs w:val="16"/>
        </w:rPr>
        <w:t>Међународног</w:t>
      </w:r>
      <w:proofErr w:type="spellEnd"/>
      <w:r w:rsidRPr="00326766">
        <w:rPr>
          <w:rFonts w:cs="Arial"/>
          <w:sz w:val="16"/>
          <w:szCs w:val="16"/>
        </w:rPr>
        <w:t xml:space="preserve"> </w:t>
      </w:r>
      <w:proofErr w:type="spellStart"/>
      <w:r w:rsidRPr="00326766">
        <w:rPr>
          <w:rFonts w:cs="Arial"/>
          <w:sz w:val="16"/>
          <w:szCs w:val="16"/>
        </w:rPr>
        <w:t>пакта</w:t>
      </w:r>
      <w:proofErr w:type="spellEnd"/>
      <w:r w:rsidRPr="00326766">
        <w:rPr>
          <w:rFonts w:cs="Arial"/>
          <w:sz w:val="16"/>
          <w:szCs w:val="16"/>
        </w:rPr>
        <w:t xml:space="preserve"> о </w:t>
      </w:r>
      <w:proofErr w:type="spellStart"/>
      <w:r w:rsidRPr="00326766">
        <w:rPr>
          <w:rFonts w:cs="Arial"/>
          <w:sz w:val="16"/>
          <w:szCs w:val="16"/>
        </w:rPr>
        <w:t>грађанским</w:t>
      </w:r>
      <w:proofErr w:type="spellEnd"/>
      <w:r w:rsidRPr="00326766">
        <w:rPr>
          <w:rFonts w:cs="Arial"/>
          <w:sz w:val="16"/>
          <w:szCs w:val="16"/>
        </w:rPr>
        <w:t xml:space="preserve"> и </w:t>
      </w:r>
      <w:proofErr w:type="spellStart"/>
      <w:r w:rsidRPr="00326766">
        <w:rPr>
          <w:rFonts w:cs="Arial"/>
          <w:sz w:val="16"/>
          <w:szCs w:val="16"/>
        </w:rPr>
        <w:t>политичким</w:t>
      </w:r>
      <w:proofErr w:type="spellEnd"/>
      <w:r w:rsidRPr="00326766">
        <w:rPr>
          <w:rFonts w:cs="Arial"/>
          <w:sz w:val="16"/>
          <w:szCs w:val="16"/>
        </w:rPr>
        <w:t xml:space="preserve"> </w:t>
      </w:r>
      <w:proofErr w:type="spellStart"/>
      <w:r w:rsidRPr="00326766">
        <w:rPr>
          <w:rFonts w:cs="Arial"/>
          <w:sz w:val="16"/>
          <w:szCs w:val="16"/>
        </w:rPr>
        <w:t>правима</w:t>
      </w:r>
      <w:proofErr w:type="spellEnd"/>
      <w:r w:rsidRPr="00326766">
        <w:rPr>
          <w:rFonts w:cs="Arial"/>
          <w:sz w:val="16"/>
          <w:szCs w:val="16"/>
        </w:rPr>
        <w:t xml:space="preserve"> („</w:t>
      </w:r>
      <w:proofErr w:type="spellStart"/>
      <w:r w:rsidRPr="00326766">
        <w:rPr>
          <w:rFonts w:cs="Arial"/>
          <w:sz w:val="16"/>
          <w:szCs w:val="16"/>
        </w:rPr>
        <w:t>Службени</w:t>
      </w:r>
      <w:proofErr w:type="spellEnd"/>
      <w:r w:rsidRPr="00326766">
        <w:rPr>
          <w:rFonts w:cs="Arial"/>
          <w:sz w:val="16"/>
          <w:szCs w:val="16"/>
        </w:rPr>
        <w:t xml:space="preserve"> </w:t>
      </w:r>
      <w:proofErr w:type="spellStart"/>
      <w:r w:rsidRPr="00326766">
        <w:rPr>
          <w:rFonts w:cs="Arial"/>
          <w:sz w:val="16"/>
          <w:szCs w:val="16"/>
        </w:rPr>
        <w:t>лист</w:t>
      </w:r>
      <w:proofErr w:type="spellEnd"/>
      <w:r w:rsidRPr="00326766">
        <w:rPr>
          <w:rFonts w:cs="Arial"/>
          <w:sz w:val="16"/>
          <w:szCs w:val="16"/>
        </w:rPr>
        <w:t xml:space="preserve"> </w:t>
      </w:r>
      <w:proofErr w:type="spellStart"/>
      <w:r w:rsidRPr="00326766">
        <w:rPr>
          <w:rFonts w:cs="Arial"/>
          <w:sz w:val="16"/>
          <w:szCs w:val="16"/>
        </w:rPr>
        <w:t>СФРЈˮ</w:t>
      </w:r>
      <w:proofErr w:type="spellEnd"/>
      <w:r w:rsidRPr="00326766">
        <w:rPr>
          <w:rFonts w:cs="Arial"/>
          <w:sz w:val="16"/>
          <w:szCs w:val="16"/>
        </w:rPr>
        <w:t xml:space="preserve">, </w:t>
      </w:r>
      <w:proofErr w:type="spellStart"/>
      <w:r w:rsidRPr="00326766">
        <w:rPr>
          <w:rFonts w:cs="Arial"/>
          <w:sz w:val="16"/>
          <w:szCs w:val="16"/>
        </w:rPr>
        <w:t>број</w:t>
      </w:r>
      <w:proofErr w:type="spellEnd"/>
      <w:r w:rsidRPr="00326766">
        <w:rPr>
          <w:rFonts w:cs="Arial"/>
          <w:sz w:val="16"/>
          <w:szCs w:val="16"/>
        </w:rPr>
        <w:t xml:space="preserve"> 7/71)</w:t>
      </w:r>
    </w:p>
  </w:footnote>
  <w:footnote w:id="3">
    <w:p w:rsidR="00D6066F" w:rsidRPr="00326766" w:rsidRDefault="00D6066F" w:rsidP="00D6066F">
      <w:pPr>
        <w:pStyle w:val="FootnoteText"/>
        <w:rPr>
          <w:rFonts w:cs="Arial"/>
          <w:sz w:val="16"/>
          <w:szCs w:val="16"/>
        </w:rPr>
      </w:pPr>
      <w:r w:rsidRPr="00326766">
        <w:rPr>
          <w:rStyle w:val="FootnoteReference"/>
          <w:rFonts w:cs="Arial"/>
          <w:sz w:val="16"/>
          <w:szCs w:val="16"/>
        </w:rPr>
        <w:footnoteRef/>
      </w:r>
      <w:r w:rsidRPr="00326766">
        <w:rPr>
          <w:rFonts w:cs="Arial"/>
          <w:sz w:val="16"/>
          <w:szCs w:val="16"/>
        </w:rPr>
        <w:t xml:space="preserve"> </w:t>
      </w:r>
      <w:proofErr w:type="spellStart"/>
      <w:r w:rsidRPr="00326766">
        <w:rPr>
          <w:rFonts w:cs="Arial"/>
          <w:sz w:val="16"/>
          <w:szCs w:val="16"/>
        </w:rPr>
        <w:t>Закон</w:t>
      </w:r>
      <w:proofErr w:type="spellEnd"/>
      <w:r w:rsidRPr="00326766">
        <w:rPr>
          <w:rFonts w:cs="Arial"/>
          <w:sz w:val="16"/>
          <w:szCs w:val="16"/>
        </w:rPr>
        <w:t xml:space="preserve"> о </w:t>
      </w:r>
      <w:proofErr w:type="spellStart"/>
      <w:r w:rsidRPr="00326766">
        <w:rPr>
          <w:rFonts w:cs="Arial"/>
          <w:sz w:val="16"/>
          <w:szCs w:val="16"/>
        </w:rPr>
        <w:t>ратификацији</w:t>
      </w:r>
      <w:proofErr w:type="spellEnd"/>
      <w:r w:rsidRPr="00326766">
        <w:rPr>
          <w:rFonts w:cs="Arial"/>
          <w:sz w:val="16"/>
          <w:szCs w:val="16"/>
        </w:rPr>
        <w:t xml:space="preserve"> </w:t>
      </w:r>
      <w:proofErr w:type="spellStart"/>
      <w:r w:rsidRPr="00326766">
        <w:rPr>
          <w:rFonts w:cs="Arial"/>
          <w:sz w:val="16"/>
          <w:szCs w:val="16"/>
        </w:rPr>
        <w:t>Међународне</w:t>
      </w:r>
      <w:proofErr w:type="spellEnd"/>
      <w:r w:rsidRPr="00326766">
        <w:rPr>
          <w:rFonts w:cs="Arial"/>
          <w:sz w:val="16"/>
          <w:szCs w:val="16"/>
        </w:rPr>
        <w:t xml:space="preserve"> </w:t>
      </w:r>
      <w:proofErr w:type="spellStart"/>
      <w:r w:rsidRPr="00326766">
        <w:rPr>
          <w:rFonts w:cs="Arial"/>
          <w:sz w:val="16"/>
          <w:szCs w:val="16"/>
        </w:rPr>
        <w:t>конвенције</w:t>
      </w:r>
      <w:proofErr w:type="spellEnd"/>
      <w:r w:rsidRPr="00326766">
        <w:rPr>
          <w:rFonts w:cs="Arial"/>
          <w:sz w:val="16"/>
          <w:szCs w:val="16"/>
        </w:rPr>
        <w:t xml:space="preserve"> о </w:t>
      </w:r>
      <w:proofErr w:type="spellStart"/>
      <w:r w:rsidRPr="00326766">
        <w:rPr>
          <w:rFonts w:cs="Arial"/>
          <w:sz w:val="16"/>
          <w:szCs w:val="16"/>
        </w:rPr>
        <w:t>укидању</w:t>
      </w:r>
      <w:proofErr w:type="spellEnd"/>
      <w:r w:rsidRPr="00326766">
        <w:rPr>
          <w:rFonts w:cs="Arial"/>
          <w:sz w:val="16"/>
          <w:szCs w:val="16"/>
        </w:rPr>
        <w:t xml:space="preserve"> </w:t>
      </w:r>
      <w:proofErr w:type="spellStart"/>
      <w:r w:rsidRPr="00326766">
        <w:rPr>
          <w:rFonts w:cs="Arial"/>
          <w:sz w:val="16"/>
          <w:szCs w:val="16"/>
        </w:rPr>
        <w:t>свих</w:t>
      </w:r>
      <w:proofErr w:type="spellEnd"/>
      <w:r w:rsidRPr="00326766">
        <w:rPr>
          <w:rFonts w:cs="Arial"/>
          <w:sz w:val="16"/>
          <w:szCs w:val="16"/>
        </w:rPr>
        <w:t xml:space="preserve"> </w:t>
      </w:r>
      <w:proofErr w:type="spellStart"/>
      <w:r w:rsidRPr="00326766">
        <w:rPr>
          <w:rFonts w:cs="Arial"/>
          <w:sz w:val="16"/>
          <w:szCs w:val="16"/>
        </w:rPr>
        <w:t>облика</w:t>
      </w:r>
      <w:proofErr w:type="spellEnd"/>
      <w:r w:rsidRPr="00326766">
        <w:rPr>
          <w:rFonts w:cs="Arial"/>
          <w:sz w:val="16"/>
          <w:szCs w:val="16"/>
        </w:rPr>
        <w:t xml:space="preserve"> </w:t>
      </w:r>
      <w:proofErr w:type="spellStart"/>
      <w:r w:rsidRPr="00326766">
        <w:rPr>
          <w:rFonts w:cs="Arial"/>
          <w:sz w:val="16"/>
          <w:szCs w:val="16"/>
        </w:rPr>
        <w:t>расне</w:t>
      </w:r>
      <w:proofErr w:type="spellEnd"/>
      <w:r w:rsidRPr="00326766">
        <w:rPr>
          <w:rFonts w:cs="Arial"/>
          <w:sz w:val="16"/>
          <w:szCs w:val="16"/>
        </w:rPr>
        <w:t xml:space="preserve"> </w:t>
      </w:r>
      <w:proofErr w:type="spellStart"/>
      <w:r w:rsidRPr="00326766">
        <w:rPr>
          <w:rFonts w:cs="Arial"/>
          <w:sz w:val="16"/>
          <w:szCs w:val="16"/>
        </w:rPr>
        <w:t>дискриминације</w:t>
      </w:r>
      <w:proofErr w:type="spellEnd"/>
      <w:r w:rsidRPr="00326766">
        <w:rPr>
          <w:rFonts w:cs="Arial"/>
          <w:sz w:val="16"/>
          <w:szCs w:val="16"/>
        </w:rPr>
        <w:t xml:space="preserve"> („</w:t>
      </w:r>
      <w:proofErr w:type="spellStart"/>
      <w:r w:rsidRPr="00326766">
        <w:rPr>
          <w:rFonts w:cs="Arial"/>
          <w:sz w:val="16"/>
          <w:szCs w:val="16"/>
        </w:rPr>
        <w:t>Службени</w:t>
      </w:r>
      <w:proofErr w:type="spellEnd"/>
      <w:r w:rsidRPr="00326766">
        <w:rPr>
          <w:rFonts w:cs="Arial"/>
          <w:sz w:val="16"/>
          <w:szCs w:val="16"/>
        </w:rPr>
        <w:t xml:space="preserve"> </w:t>
      </w:r>
      <w:proofErr w:type="spellStart"/>
      <w:r w:rsidRPr="00326766">
        <w:rPr>
          <w:rFonts w:cs="Arial"/>
          <w:sz w:val="16"/>
          <w:szCs w:val="16"/>
        </w:rPr>
        <w:t>лист</w:t>
      </w:r>
      <w:proofErr w:type="spellEnd"/>
      <w:r w:rsidRPr="00326766">
        <w:rPr>
          <w:rFonts w:cs="Arial"/>
          <w:sz w:val="16"/>
          <w:szCs w:val="16"/>
        </w:rPr>
        <w:t xml:space="preserve"> СФРЈ“, </w:t>
      </w:r>
      <w:proofErr w:type="spellStart"/>
      <w:r w:rsidRPr="00326766">
        <w:rPr>
          <w:rFonts w:cs="Arial"/>
          <w:sz w:val="16"/>
          <w:szCs w:val="16"/>
        </w:rPr>
        <w:t>број</w:t>
      </w:r>
      <w:proofErr w:type="spellEnd"/>
      <w:r w:rsidRPr="00326766">
        <w:rPr>
          <w:rFonts w:cs="Arial"/>
          <w:sz w:val="16"/>
          <w:szCs w:val="16"/>
        </w:rPr>
        <w:t xml:space="preserve"> 31/67)</w:t>
      </w:r>
    </w:p>
  </w:footnote>
  <w:footnote w:id="4">
    <w:p w:rsidR="00D6066F" w:rsidRPr="00F61CEC" w:rsidRDefault="00D6066F" w:rsidP="00D6066F">
      <w:pPr>
        <w:pStyle w:val="FootnoteText"/>
        <w:rPr>
          <w:rFonts w:cs="Arial"/>
          <w:sz w:val="16"/>
          <w:szCs w:val="16"/>
        </w:rPr>
      </w:pPr>
      <w:r w:rsidRPr="00F61CEC">
        <w:rPr>
          <w:rStyle w:val="FootnoteReference"/>
          <w:rFonts w:cs="Arial"/>
          <w:sz w:val="16"/>
          <w:szCs w:val="16"/>
        </w:rPr>
        <w:footnoteRef/>
      </w:r>
      <w:r w:rsidRPr="00F61CEC">
        <w:rPr>
          <w:rFonts w:cs="Arial"/>
          <w:sz w:val="16"/>
          <w:szCs w:val="16"/>
        </w:rPr>
        <w:t xml:space="preserve"> „</w:t>
      </w:r>
      <w:r w:rsidRPr="00F61CEC">
        <w:rPr>
          <w:rFonts w:cs="Arial"/>
          <w:sz w:val="16"/>
          <w:szCs w:val="16"/>
          <w:lang w:val="sr-Cyrl-RS"/>
        </w:rPr>
        <w:t>Службени гласник РС“, број 22/09 и 52/21</w:t>
      </w:r>
      <w:r w:rsidRPr="00F61CEC">
        <w:rPr>
          <w:rFonts w:cs="Arial"/>
          <w:sz w:val="16"/>
          <w:szCs w:val="16"/>
        </w:rPr>
        <w:t xml:space="preserve"> </w:t>
      </w:r>
    </w:p>
  </w:footnote>
  <w:footnote w:id="5">
    <w:p w:rsidR="00D6066F" w:rsidRPr="00326766" w:rsidRDefault="00D6066F" w:rsidP="00D6066F">
      <w:pPr>
        <w:pStyle w:val="FootnoteText"/>
        <w:rPr>
          <w:rFonts w:cs="Arial"/>
          <w:sz w:val="16"/>
          <w:szCs w:val="16"/>
        </w:rPr>
      </w:pPr>
      <w:r w:rsidRPr="00F61CEC">
        <w:rPr>
          <w:rStyle w:val="FootnoteReference"/>
          <w:rFonts w:cs="Arial"/>
          <w:sz w:val="16"/>
          <w:szCs w:val="16"/>
        </w:rPr>
        <w:footnoteRef/>
      </w:r>
      <w:r w:rsidRPr="00F61CEC">
        <w:rPr>
          <w:rFonts w:cs="Arial"/>
          <w:sz w:val="16"/>
          <w:szCs w:val="16"/>
        </w:rPr>
        <w:t xml:space="preserve"> „</w:t>
      </w:r>
      <w:proofErr w:type="spellStart"/>
      <w:r w:rsidRPr="00F61CEC">
        <w:rPr>
          <w:rFonts w:cs="Arial"/>
          <w:sz w:val="16"/>
          <w:szCs w:val="16"/>
        </w:rPr>
        <w:t>Службени</w:t>
      </w:r>
      <w:proofErr w:type="spellEnd"/>
      <w:r w:rsidRPr="00F61CEC">
        <w:rPr>
          <w:rFonts w:cs="Arial"/>
          <w:sz w:val="16"/>
          <w:szCs w:val="16"/>
        </w:rPr>
        <w:t xml:space="preserve"> </w:t>
      </w:r>
      <w:proofErr w:type="spellStart"/>
      <w:r w:rsidRPr="00F61CEC">
        <w:rPr>
          <w:rFonts w:cs="Arial"/>
          <w:sz w:val="16"/>
          <w:szCs w:val="16"/>
        </w:rPr>
        <w:t>гласник</w:t>
      </w:r>
      <w:proofErr w:type="spellEnd"/>
      <w:r w:rsidRPr="00F61CEC">
        <w:rPr>
          <w:rFonts w:cs="Arial"/>
          <w:sz w:val="16"/>
          <w:szCs w:val="16"/>
        </w:rPr>
        <w:t xml:space="preserve"> РС”, </w:t>
      </w:r>
      <w:proofErr w:type="spellStart"/>
      <w:r w:rsidRPr="00F61CEC">
        <w:rPr>
          <w:rFonts w:cs="Arial"/>
          <w:sz w:val="16"/>
          <w:szCs w:val="16"/>
        </w:rPr>
        <w:t>бр</w:t>
      </w:r>
      <w:proofErr w:type="spellEnd"/>
      <w:r w:rsidRPr="00F61CEC">
        <w:rPr>
          <w:rFonts w:cs="Arial"/>
          <w:sz w:val="16"/>
          <w:szCs w:val="16"/>
        </w:rPr>
        <w:t>. 33/06 и 13/16</w:t>
      </w:r>
    </w:p>
  </w:footnote>
  <w:footnote w:id="6">
    <w:p w:rsidR="00D6066F" w:rsidRPr="00326766" w:rsidRDefault="00D6066F" w:rsidP="00D6066F">
      <w:pPr>
        <w:pStyle w:val="FootnoteText"/>
        <w:rPr>
          <w:rFonts w:cs="Arial"/>
          <w:sz w:val="16"/>
          <w:szCs w:val="16"/>
        </w:rPr>
      </w:pPr>
      <w:r w:rsidRPr="00326766">
        <w:rPr>
          <w:rStyle w:val="FootnoteReference"/>
          <w:rFonts w:cs="Arial"/>
          <w:sz w:val="16"/>
          <w:szCs w:val="16"/>
        </w:rPr>
        <w:footnoteRef/>
      </w:r>
      <w:r w:rsidRPr="00326766">
        <w:rPr>
          <w:rFonts w:cs="Arial"/>
          <w:sz w:val="16"/>
          <w:szCs w:val="16"/>
        </w:rPr>
        <w:t xml:space="preserve"> </w:t>
      </w:r>
      <w:proofErr w:type="spellStart"/>
      <w:r w:rsidRPr="00326766">
        <w:rPr>
          <w:rFonts w:cs="Arial"/>
          <w:sz w:val="16"/>
          <w:szCs w:val="16"/>
        </w:rPr>
        <w:t>Закон</w:t>
      </w:r>
      <w:proofErr w:type="spellEnd"/>
      <w:r w:rsidRPr="00326766">
        <w:rPr>
          <w:rFonts w:cs="Arial"/>
          <w:sz w:val="16"/>
          <w:szCs w:val="16"/>
        </w:rPr>
        <w:t xml:space="preserve"> о </w:t>
      </w:r>
      <w:proofErr w:type="spellStart"/>
      <w:r w:rsidRPr="00326766">
        <w:rPr>
          <w:rFonts w:cs="Arial"/>
          <w:sz w:val="16"/>
          <w:szCs w:val="16"/>
        </w:rPr>
        <w:t>спречавању</w:t>
      </w:r>
      <w:proofErr w:type="spellEnd"/>
      <w:r w:rsidRPr="00326766">
        <w:rPr>
          <w:rFonts w:cs="Arial"/>
          <w:sz w:val="16"/>
          <w:szCs w:val="16"/>
        </w:rPr>
        <w:t xml:space="preserve"> </w:t>
      </w:r>
      <w:proofErr w:type="spellStart"/>
      <w:r w:rsidRPr="00326766">
        <w:rPr>
          <w:rFonts w:cs="Arial"/>
          <w:sz w:val="16"/>
          <w:szCs w:val="16"/>
        </w:rPr>
        <w:t>дискриминације</w:t>
      </w:r>
      <w:proofErr w:type="spellEnd"/>
      <w:r w:rsidRPr="00326766">
        <w:rPr>
          <w:rFonts w:cs="Arial"/>
          <w:sz w:val="16"/>
          <w:szCs w:val="16"/>
        </w:rPr>
        <w:t xml:space="preserve"> </w:t>
      </w:r>
      <w:proofErr w:type="spellStart"/>
      <w:r w:rsidRPr="00326766">
        <w:rPr>
          <w:rFonts w:cs="Arial"/>
          <w:sz w:val="16"/>
          <w:szCs w:val="16"/>
        </w:rPr>
        <w:t>особа</w:t>
      </w:r>
      <w:proofErr w:type="spellEnd"/>
      <w:r w:rsidRPr="00326766">
        <w:rPr>
          <w:rFonts w:cs="Arial"/>
          <w:sz w:val="16"/>
          <w:szCs w:val="16"/>
        </w:rPr>
        <w:t xml:space="preserve"> </w:t>
      </w:r>
      <w:proofErr w:type="spellStart"/>
      <w:r w:rsidRPr="00326766">
        <w:rPr>
          <w:rFonts w:cs="Arial"/>
          <w:sz w:val="16"/>
          <w:szCs w:val="16"/>
        </w:rPr>
        <w:t>са</w:t>
      </w:r>
      <w:proofErr w:type="spellEnd"/>
      <w:r w:rsidRPr="00326766">
        <w:rPr>
          <w:rFonts w:cs="Arial"/>
          <w:sz w:val="16"/>
          <w:szCs w:val="16"/>
        </w:rPr>
        <w:t xml:space="preserve"> </w:t>
      </w:r>
      <w:proofErr w:type="spellStart"/>
      <w:r w:rsidRPr="00326766">
        <w:rPr>
          <w:rFonts w:cs="Arial"/>
          <w:sz w:val="16"/>
          <w:szCs w:val="16"/>
        </w:rPr>
        <w:t>инвалидитетом</w:t>
      </w:r>
      <w:proofErr w:type="spellEnd"/>
      <w:r w:rsidRPr="00326766">
        <w:rPr>
          <w:rFonts w:cs="Arial"/>
          <w:sz w:val="16"/>
          <w:szCs w:val="16"/>
        </w:rPr>
        <w:t xml:space="preserve"> („</w:t>
      </w:r>
      <w:proofErr w:type="spellStart"/>
      <w:r w:rsidRPr="00326766">
        <w:rPr>
          <w:rFonts w:cs="Arial"/>
          <w:sz w:val="16"/>
          <w:szCs w:val="16"/>
        </w:rPr>
        <w:t>Службени</w:t>
      </w:r>
      <w:proofErr w:type="spellEnd"/>
      <w:r w:rsidRPr="00326766">
        <w:rPr>
          <w:rFonts w:cs="Arial"/>
          <w:sz w:val="16"/>
          <w:szCs w:val="16"/>
        </w:rPr>
        <w:t xml:space="preserve"> </w:t>
      </w:r>
      <w:proofErr w:type="spellStart"/>
      <w:r w:rsidRPr="00326766">
        <w:rPr>
          <w:rFonts w:cs="Arial"/>
          <w:sz w:val="16"/>
          <w:szCs w:val="16"/>
        </w:rPr>
        <w:t>гласник</w:t>
      </w:r>
      <w:proofErr w:type="spellEnd"/>
      <w:r w:rsidRPr="00326766">
        <w:rPr>
          <w:rFonts w:cs="Arial"/>
          <w:sz w:val="16"/>
          <w:szCs w:val="16"/>
        </w:rPr>
        <w:t xml:space="preserve"> РС”, </w:t>
      </w:r>
      <w:proofErr w:type="spellStart"/>
      <w:r w:rsidRPr="00326766">
        <w:rPr>
          <w:rFonts w:cs="Arial"/>
          <w:sz w:val="16"/>
          <w:szCs w:val="16"/>
        </w:rPr>
        <w:t>бр</w:t>
      </w:r>
      <w:proofErr w:type="spellEnd"/>
      <w:r w:rsidRPr="00326766">
        <w:rPr>
          <w:rFonts w:cs="Arial"/>
          <w:sz w:val="16"/>
          <w:szCs w:val="16"/>
        </w:rPr>
        <w:t xml:space="preserve">. 33/06 и 13/16), </w:t>
      </w:r>
      <w:proofErr w:type="spellStart"/>
      <w:r w:rsidRPr="00326766">
        <w:rPr>
          <w:rFonts w:cs="Arial"/>
          <w:sz w:val="16"/>
          <w:szCs w:val="16"/>
        </w:rPr>
        <w:t>члан</w:t>
      </w:r>
      <w:proofErr w:type="spellEnd"/>
      <w:r w:rsidRPr="00326766">
        <w:rPr>
          <w:rFonts w:cs="Arial"/>
          <w:sz w:val="16"/>
          <w:szCs w:val="16"/>
        </w:rPr>
        <w:t xml:space="preserve"> 13. </w:t>
      </w:r>
      <w:proofErr w:type="spellStart"/>
      <w:proofErr w:type="gramStart"/>
      <w:r w:rsidRPr="00326766">
        <w:rPr>
          <w:rFonts w:cs="Arial"/>
          <w:sz w:val="16"/>
          <w:szCs w:val="16"/>
        </w:rPr>
        <w:t>став</w:t>
      </w:r>
      <w:proofErr w:type="spellEnd"/>
      <w:proofErr w:type="gramEnd"/>
      <w:r w:rsidRPr="00326766">
        <w:rPr>
          <w:rFonts w:cs="Arial"/>
          <w:sz w:val="16"/>
          <w:szCs w:val="16"/>
        </w:rPr>
        <w:t xml:space="preserve"> 3.</w:t>
      </w:r>
    </w:p>
  </w:footnote>
  <w:footnote w:id="7">
    <w:p w:rsidR="00D6066F" w:rsidRPr="005C0523" w:rsidRDefault="00D6066F" w:rsidP="00F920B0">
      <w:pPr>
        <w:pStyle w:val="FootnoteText"/>
        <w:jc w:val="left"/>
        <w:rPr>
          <w:rFonts w:cs="Arial"/>
          <w:sz w:val="16"/>
          <w:szCs w:val="16"/>
          <w:lang w:val="sr-Cyrl-CS"/>
        </w:rPr>
      </w:pPr>
      <w:r w:rsidRPr="005C0523">
        <w:rPr>
          <w:rStyle w:val="FootnoteReference"/>
          <w:rFonts w:cs="Arial"/>
          <w:sz w:val="16"/>
          <w:szCs w:val="16"/>
        </w:rPr>
        <w:footnoteRef/>
      </w:r>
      <w:r w:rsidRPr="005C0523">
        <w:rPr>
          <w:rFonts w:cs="Arial"/>
          <w:sz w:val="16"/>
          <w:szCs w:val="16"/>
        </w:rPr>
        <w:t xml:space="preserve"> </w:t>
      </w:r>
      <w:r w:rsidRPr="005C0523">
        <w:rPr>
          <w:rFonts w:cs="Arial"/>
          <w:sz w:val="16"/>
          <w:szCs w:val="16"/>
          <w:lang w:val="sr-Cyrl-RS"/>
        </w:rPr>
        <w:t>„Службени</w:t>
      </w:r>
      <w:r w:rsidRPr="005C0523">
        <w:rPr>
          <w:rFonts w:cs="Arial"/>
          <w:sz w:val="16"/>
          <w:szCs w:val="16"/>
        </w:rPr>
        <w:t xml:space="preserve"> </w:t>
      </w:r>
      <w:proofErr w:type="spellStart"/>
      <w:r w:rsidRPr="005C0523">
        <w:rPr>
          <w:rFonts w:cs="Arial"/>
          <w:sz w:val="16"/>
          <w:szCs w:val="16"/>
        </w:rPr>
        <w:t>гласник</w:t>
      </w:r>
      <w:proofErr w:type="spellEnd"/>
      <w:r w:rsidRPr="005C0523">
        <w:rPr>
          <w:rFonts w:cs="Arial"/>
          <w:sz w:val="16"/>
          <w:szCs w:val="16"/>
        </w:rPr>
        <w:t xml:space="preserve"> РС</w:t>
      </w:r>
      <w:r w:rsidRPr="005C0523">
        <w:rPr>
          <w:rFonts w:cs="Arial"/>
          <w:sz w:val="16"/>
          <w:szCs w:val="16"/>
          <w:lang w:val="sr-Cyrl-RS"/>
        </w:rPr>
        <w:t>“</w:t>
      </w:r>
      <w:r w:rsidR="00806530">
        <w:rPr>
          <w:rFonts w:cs="Arial"/>
          <w:sz w:val="16"/>
          <w:szCs w:val="16"/>
        </w:rPr>
        <w:t xml:space="preserve">, </w:t>
      </w:r>
      <w:proofErr w:type="spellStart"/>
      <w:r w:rsidR="00806530">
        <w:rPr>
          <w:rFonts w:cs="Arial"/>
          <w:sz w:val="16"/>
          <w:szCs w:val="16"/>
        </w:rPr>
        <w:t>бр</w:t>
      </w:r>
      <w:proofErr w:type="spellEnd"/>
      <w:r w:rsidR="00806530">
        <w:rPr>
          <w:rFonts w:cs="Arial"/>
          <w:sz w:val="16"/>
          <w:szCs w:val="16"/>
        </w:rPr>
        <w:t>. 25/19 и 92/</w:t>
      </w:r>
      <w:r w:rsidRPr="005C0523">
        <w:rPr>
          <w:rFonts w:cs="Arial"/>
          <w:sz w:val="16"/>
          <w:szCs w:val="16"/>
        </w:rPr>
        <w:t xml:space="preserve">23 - </w:t>
      </w:r>
      <w:proofErr w:type="spellStart"/>
      <w:r w:rsidRPr="005C0523">
        <w:rPr>
          <w:rFonts w:cs="Arial"/>
          <w:sz w:val="16"/>
          <w:szCs w:val="16"/>
        </w:rPr>
        <w:t>аутентично</w:t>
      </w:r>
      <w:proofErr w:type="spellEnd"/>
      <w:r w:rsidRPr="005C0523">
        <w:rPr>
          <w:rFonts w:cs="Arial"/>
          <w:sz w:val="16"/>
          <w:szCs w:val="16"/>
        </w:rPr>
        <w:t xml:space="preserve"> </w:t>
      </w:r>
      <w:proofErr w:type="spellStart"/>
      <w:r w:rsidRPr="005C0523">
        <w:rPr>
          <w:rFonts w:cs="Arial"/>
          <w:sz w:val="16"/>
          <w:szCs w:val="16"/>
        </w:rPr>
        <w:t>тумачење</w:t>
      </w:r>
      <w:proofErr w:type="spellEnd"/>
    </w:p>
  </w:footnote>
  <w:footnote w:id="8">
    <w:p w:rsidR="00F60433" w:rsidRPr="005C0523" w:rsidRDefault="00F60433">
      <w:pPr>
        <w:pStyle w:val="FootnoteText"/>
        <w:rPr>
          <w:sz w:val="16"/>
          <w:szCs w:val="16"/>
          <w:lang w:val="sr-Cyrl-RS"/>
        </w:rPr>
      </w:pPr>
      <w:r w:rsidRPr="005C0523">
        <w:rPr>
          <w:rStyle w:val="FootnoteReference"/>
          <w:sz w:val="16"/>
          <w:szCs w:val="16"/>
        </w:rPr>
        <w:footnoteRef/>
      </w:r>
      <w:r w:rsidRPr="005C0523">
        <w:rPr>
          <w:sz w:val="16"/>
          <w:szCs w:val="16"/>
        </w:rPr>
        <w:t xml:space="preserve"> „</w:t>
      </w:r>
      <w:proofErr w:type="spellStart"/>
      <w:r w:rsidRPr="005C0523">
        <w:rPr>
          <w:sz w:val="16"/>
          <w:szCs w:val="16"/>
        </w:rPr>
        <w:t>Службени</w:t>
      </w:r>
      <w:proofErr w:type="spellEnd"/>
      <w:r w:rsidRPr="005C0523">
        <w:rPr>
          <w:sz w:val="16"/>
          <w:szCs w:val="16"/>
        </w:rPr>
        <w:t xml:space="preserve"> </w:t>
      </w:r>
      <w:proofErr w:type="spellStart"/>
      <w:r w:rsidRPr="005C0523">
        <w:rPr>
          <w:sz w:val="16"/>
          <w:szCs w:val="16"/>
        </w:rPr>
        <w:t>гласник</w:t>
      </w:r>
      <w:proofErr w:type="spellEnd"/>
      <w:r w:rsidRPr="005C0523">
        <w:rPr>
          <w:sz w:val="16"/>
          <w:szCs w:val="16"/>
        </w:rPr>
        <w:t xml:space="preserve"> РС”, </w:t>
      </w:r>
      <w:proofErr w:type="spellStart"/>
      <w:r w:rsidRPr="005C0523">
        <w:rPr>
          <w:sz w:val="16"/>
          <w:szCs w:val="16"/>
        </w:rPr>
        <w:t>бр</w:t>
      </w:r>
      <w:proofErr w:type="spellEnd"/>
      <w:r w:rsidRPr="005C0523">
        <w:rPr>
          <w:sz w:val="16"/>
          <w:szCs w:val="16"/>
        </w:rPr>
        <w:t xml:space="preserve">. 45/13 и 25/19 – </w:t>
      </w:r>
      <w:proofErr w:type="spellStart"/>
      <w:r w:rsidRPr="005C0523">
        <w:rPr>
          <w:sz w:val="16"/>
          <w:szCs w:val="16"/>
        </w:rPr>
        <w:t>др</w:t>
      </w:r>
      <w:proofErr w:type="spellEnd"/>
      <w:r w:rsidRPr="005C0523">
        <w:rPr>
          <w:sz w:val="16"/>
          <w:szCs w:val="16"/>
        </w:rPr>
        <w:t xml:space="preserve">. </w:t>
      </w:r>
      <w:proofErr w:type="spellStart"/>
      <w:r w:rsidRPr="005C0523">
        <w:rPr>
          <w:sz w:val="16"/>
          <w:szCs w:val="16"/>
        </w:rPr>
        <w:t>закон</w:t>
      </w:r>
      <w:proofErr w:type="spellEnd"/>
    </w:p>
  </w:footnote>
  <w:footnote w:id="9">
    <w:p w:rsidR="003B789D" w:rsidRPr="005C0523" w:rsidRDefault="003B789D" w:rsidP="00F920B0">
      <w:pPr>
        <w:pStyle w:val="FootnoteText"/>
        <w:jc w:val="left"/>
        <w:rPr>
          <w:rFonts w:cs="Arial"/>
          <w:sz w:val="16"/>
          <w:szCs w:val="16"/>
          <w:lang w:val="sr-Cyrl-RS"/>
        </w:rPr>
      </w:pPr>
      <w:r w:rsidRPr="005C0523">
        <w:rPr>
          <w:rStyle w:val="FootnoteReference"/>
          <w:rFonts w:cs="Arial"/>
          <w:sz w:val="16"/>
          <w:szCs w:val="16"/>
        </w:rPr>
        <w:footnoteRef/>
      </w:r>
      <w:r w:rsidRPr="005C0523">
        <w:rPr>
          <w:rFonts w:cs="Arial"/>
          <w:sz w:val="16"/>
          <w:szCs w:val="16"/>
        </w:rPr>
        <w:t xml:space="preserve"> </w:t>
      </w:r>
      <w:hyperlink r:id="rId1" w:history="1">
        <w:r w:rsidRPr="005C0523">
          <w:rPr>
            <w:rStyle w:val="Hyperlink"/>
            <w:rFonts w:cs="Arial"/>
            <w:sz w:val="16"/>
            <w:szCs w:val="16"/>
          </w:rPr>
          <w:t>https://ravnopravnost.gov.rs/izvestaji/</w:t>
        </w:r>
      </w:hyperlink>
    </w:p>
  </w:footnote>
  <w:footnote w:id="10">
    <w:p w:rsidR="00F920B0" w:rsidRPr="005C0523" w:rsidRDefault="00F920B0" w:rsidP="00F920B0">
      <w:pPr>
        <w:pStyle w:val="FootnoteText"/>
        <w:jc w:val="left"/>
        <w:rPr>
          <w:sz w:val="16"/>
          <w:szCs w:val="16"/>
          <w:lang w:val="sr-Cyrl-RS"/>
        </w:rPr>
      </w:pPr>
      <w:r w:rsidRPr="005C0523">
        <w:rPr>
          <w:rStyle w:val="FootnoteReference"/>
          <w:sz w:val="16"/>
          <w:szCs w:val="16"/>
        </w:rPr>
        <w:footnoteRef/>
      </w:r>
      <w:r w:rsidRPr="005C0523">
        <w:rPr>
          <w:sz w:val="16"/>
          <w:szCs w:val="16"/>
        </w:rPr>
        <w:t xml:space="preserve"> „</w:t>
      </w:r>
      <w:proofErr w:type="spellStart"/>
      <w:r w:rsidRPr="005C0523">
        <w:rPr>
          <w:sz w:val="16"/>
          <w:szCs w:val="16"/>
        </w:rPr>
        <w:t>Службени</w:t>
      </w:r>
      <w:proofErr w:type="spellEnd"/>
      <w:r w:rsidRPr="005C0523">
        <w:rPr>
          <w:sz w:val="16"/>
          <w:szCs w:val="16"/>
        </w:rPr>
        <w:t xml:space="preserve"> </w:t>
      </w:r>
      <w:proofErr w:type="spellStart"/>
      <w:r w:rsidRPr="005C0523">
        <w:rPr>
          <w:sz w:val="16"/>
          <w:szCs w:val="16"/>
        </w:rPr>
        <w:t>гласник</w:t>
      </w:r>
      <w:proofErr w:type="spellEnd"/>
      <w:r w:rsidRPr="005C0523">
        <w:rPr>
          <w:sz w:val="16"/>
          <w:szCs w:val="16"/>
        </w:rPr>
        <w:t xml:space="preserve"> РС”, </w:t>
      </w:r>
      <w:proofErr w:type="spellStart"/>
      <w:r w:rsidRPr="005C0523">
        <w:rPr>
          <w:sz w:val="16"/>
          <w:szCs w:val="16"/>
        </w:rPr>
        <w:t>број</w:t>
      </w:r>
      <w:proofErr w:type="spellEnd"/>
      <w:r w:rsidRPr="005C0523">
        <w:rPr>
          <w:sz w:val="16"/>
          <w:szCs w:val="16"/>
        </w:rPr>
        <w:t xml:space="preserve"> 61/18.</w:t>
      </w:r>
    </w:p>
  </w:footnote>
  <w:footnote w:id="11">
    <w:p w:rsidR="005C0523" w:rsidRPr="005C0523" w:rsidRDefault="005C0523">
      <w:pPr>
        <w:pStyle w:val="FootnoteText"/>
        <w:rPr>
          <w:lang w:val="sr-Cyrl-RS"/>
        </w:rPr>
      </w:pPr>
      <w:r w:rsidRPr="005C0523">
        <w:rPr>
          <w:rStyle w:val="FootnoteReference"/>
          <w:sz w:val="16"/>
          <w:szCs w:val="16"/>
        </w:rPr>
        <w:footnoteRef/>
      </w:r>
      <w:r w:rsidRPr="005C0523">
        <w:rPr>
          <w:sz w:val="16"/>
          <w:szCs w:val="16"/>
        </w:rPr>
        <w:t xml:space="preserve"> </w:t>
      </w:r>
      <w:r w:rsidRPr="005C0523">
        <w:rPr>
          <w:sz w:val="16"/>
          <w:szCs w:val="16"/>
          <w:lang w:val="sr-Cyrl-RS"/>
        </w:rPr>
        <w:t>„Службени</w:t>
      </w:r>
      <w:r w:rsidRPr="005C0523">
        <w:rPr>
          <w:sz w:val="16"/>
          <w:szCs w:val="16"/>
        </w:rPr>
        <w:t xml:space="preserve"> </w:t>
      </w:r>
      <w:proofErr w:type="spellStart"/>
      <w:r w:rsidRPr="005C0523">
        <w:rPr>
          <w:sz w:val="16"/>
          <w:szCs w:val="16"/>
        </w:rPr>
        <w:t>гласник</w:t>
      </w:r>
      <w:proofErr w:type="spellEnd"/>
      <w:r w:rsidRPr="005C0523">
        <w:rPr>
          <w:sz w:val="16"/>
          <w:szCs w:val="16"/>
        </w:rPr>
        <w:t xml:space="preserve"> РС</w:t>
      </w:r>
      <w:r w:rsidRPr="005C0523">
        <w:rPr>
          <w:sz w:val="16"/>
          <w:szCs w:val="16"/>
          <w:lang w:val="sr-Cyrl-RS"/>
        </w:rPr>
        <w:t>“</w:t>
      </w:r>
      <w:r w:rsidRPr="005C0523">
        <w:rPr>
          <w:sz w:val="16"/>
          <w:szCs w:val="16"/>
        </w:rPr>
        <w:t xml:space="preserve">, </w:t>
      </w:r>
      <w:proofErr w:type="spellStart"/>
      <w:r w:rsidRPr="005C0523">
        <w:rPr>
          <w:sz w:val="16"/>
          <w:szCs w:val="16"/>
        </w:rPr>
        <w:t>бр</w:t>
      </w:r>
      <w:proofErr w:type="spellEnd"/>
      <w:r w:rsidRPr="005C0523">
        <w:rPr>
          <w:sz w:val="16"/>
          <w:szCs w:val="16"/>
        </w:rPr>
        <w:t xml:space="preserve">. </w:t>
      </w:r>
      <w:r w:rsidRPr="005C0523">
        <w:rPr>
          <w:sz w:val="16"/>
          <w:szCs w:val="16"/>
          <w:lang w:val="sr-Cyrl-RS"/>
        </w:rPr>
        <w:t>12</w:t>
      </w:r>
      <w:r w:rsidRPr="005C0523">
        <w:rPr>
          <w:sz w:val="16"/>
          <w:szCs w:val="16"/>
        </w:rPr>
        <w:t>/</w:t>
      </w:r>
      <w:r w:rsidRPr="005C0523">
        <w:rPr>
          <w:sz w:val="16"/>
          <w:szCs w:val="16"/>
          <w:lang w:val="sr-Cyrl-RS"/>
        </w:rPr>
        <w:t>22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A17"/>
    <w:rsid w:val="000B310C"/>
    <w:rsid w:val="000E0A17"/>
    <w:rsid w:val="001366D1"/>
    <w:rsid w:val="00144D48"/>
    <w:rsid w:val="00160AA2"/>
    <w:rsid w:val="002C6DA8"/>
    <w:rsid w:val="0034565F"/>
    <w:rsid w:val="00355693"/>
    <w:rsid w:val="003B0011"/>
    <w:rsid w:val="003B0D91"/>
    <w:rsid w:val="003B789D"/>
    <w:rsid w:val="00417938"/>
    <w:rsid w:val="004322C7"/>
    <w:rsid w:val="00455169"/>
    <w:rsid w:val="00487D83"/>
    <w:rsid w:val="00490A8F"/>
    <w:rsid w:val="004D5856"/>
    <w:rsid w:val="004D625B"/>
    <w:rsid w:val="00523526"/>
    <w:rsid w:val="00563D92"/>
    <w:rsid w:val="005A2E7A"/>
    <w:rsid w:val="005C0523"/>
    <w:rsid w:val="0071235C"/>
    <w:rsid w:val="00731603"/>
    <w:rsid w:val="007C4B3E"/>
    <w:rsid w:val="007C656E"/>
    <w:rsid w:val="00806530"/>
    <w:rsid w:val="00921210"/>
    <w:rsid w:val="009C36F1"/>
    <w:rsid w:val="009C46E1"/>
    <w:rsid w:val="00A12322"/>
    <w:rsid w:val="00A14DF4"/>
    <w:rsid w:val="00AC13FF"/>
    <w:rsid w:val="00AF1BCC"/>
    <w:rsid w:val="00B07134"/>
    <w:rsid w:val="00B776A7"/>
    <w:rsid w:val="00B95280"/>
    <w:rsid w:val="00BD1386"/>
    <w:rsid w:val="00C208AE"/>
    <w:rsid w:val="00C602B4"/>
    <w:rsid w:val="00C6564E"/>
    <w:rsid w:val="00C806A5"/>
    <w:rsid w:val="00CE0278"/>
    <w:rsid w:val="00CE2475"/>
    <w:rsid w:val="00D01433"/>
    <w:rsid w:val="00D302E0"/>
    <w:rsid w:val="00D6066F"/>
    <w:rsid w:val="00DD2FDA"/>
    <w:rsid w:val="00DD3A2F"/>
    <w:rsid w:val="00DE3B1B"/>
    <w:rsid w:val="00EC607A"/>
    <w:rsid w:val="00ED5E4A"/>
    <w:rsid w:val="00EF0429"/>
    <w:rsid w:val="00F60433"/>
    <w:rsid w:val="00F87B0D"/>
    <w:rsid w:val="00F920B0"/>
    <w:rsid w:val="00F93D9B"/>
    <w:rsid w:val="00FE14F9"/>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0F7397E-D305-4300-95E0-B7F8E346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A17"/>
    <w:pPr>
      <w:spacing w:after="240" w:line="240" w:lineRule="auto"/>
      <w:jc w:val="both"/>
    </w:pPr>
    <w:rPr>
      <w:rFonts w:ascii="Arial" w:eastAsia="Calibri" w:hAnsi="Arial"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E0A17"/>
    <w:pPr>
      <w:tabs>
        <w:tab w:val="center" w:pos="4536"/>
        <w:tab w:val="right" w:pos="9072"/>
      </w:tabs>
      <w:spacing w:after="0"/>
    </w:pPr>
  </w:style>
  <w:style w:type="character" w:customStyle="1" w:styleId="FooterChar">
    <w:name w:val="Footer Char"/>
    <w:basedOn w:val="DefaultParagraphFont"/>
    <w:link w:val="Footer"/>
    <w:uiPriority w:val="99"/>
    <w:rsid w:val="000E0A17"/>
    <w:rPr>
      <w:rFonts w:ascii="Arial" w:eastAsia="Calibri" w:hAnsi="Arial" w:cs="Times New Roman"/>
      <w:lang w:val="en-US"/>
    </w:rPr>
  </w:style>
  <w:style w:type="paragraph" w:customStyle="1" w:styleId="FreeFormAA">
    <w:name w:val="Free Form A A"/>
    <w:rsid w:val="000E0A17"/>
    <w:pPr>
      <w:spacing w:after="0" w:line="240" w:lineRule="auto"/>
    </w:pPr>
    <w:rPr>
      <w:rFonts w:ascii="Helvetica" w:eastAsia="ヒラギノ角ゴ Pro W3" w:hAnsi="Helvetica" w:cs="Times New Roman"/>
      <w:color w:val="000000"/>
      <w:sz w:val="24"/>
      <w:szCs w:val="20"/>
      <w:lang w:val="en-US" w:eastAsia="sr-Cyrl-CS"/>
    </w:rPr>
  </w:style>
  <w:style w:type="paragraph" w:styleId="FootnoteText">
    <w:name w:val="footnote text"/>
    <w:basedOn w:val="Normal"/>
    <w:link w:val="FootnoteTextChar"/>
    <w:uiPriority w:val="99"/>
    <w:semiHidden/>
    <w:unhideWhenUsed/>
    <w:rsid w:val="000E0A17"/>
    <w:pPr>
      <w:spacing w:after="0"/>
    </w:pPr>
    <w:rPr>
      <w:sz w:val="20"/>
      <w:szCs w:val="20"/>
    </w:rPr>
  </w:style>
  <w:style w:type="character" w:customStyle="1" w:styleId="FootnoteTextChar">
    <w:name w:val="Footnote Text Char"/>
    <w:basedOn w:val="DefaultParagraphFont"/>
    <w:link w:val="FootnoteText"/>
    <w:uiPriority w:val="99"/>
    <w:semiHidden/>
    <w:rsid w:val="000E0A17"/>
    <w:rPr>
      <w:rFonts w:ascii="Arial" w:eastAsia="Calibri" w:hAnsi="Arial" w:cs="Times New Roman"/>
      <w:sz w:val="20"/>
      <w:szCs w:val="20"/>
      <w:lang w:val="en-US"/>
    </w:rPr>
  </w:style>
  <w:style w:type="character" w:styleId="FootnoteReference">
    <w:name w:val="footnote reference"/>
    <w:aliases w:val="BVI fnr,Footnotes refss,ftref,16 Point,Superscript 6 Point,Footnote Reference Number,nota pié di pagina,Times 10 Point, Exposant 3 Point,Footnote symbol,Footnote reference number,Exposant 3 Point,EN Footnote Reference,note TESI,Ref"/>
    <w:link w:val="BVIfnrCharCharCharChar1CharChar"/>
    <w:uiPriority w:val="99"/>
    <w:unhideWhenUsed/>
    <w:qFormat/>
    <w:rsid w:val="000E0A17"/>
    <w:rPr>
      <w:vertAlign w:val="superscript"/>
    </w:rPr>
  </w:style>
  <w:style w:type="paragraph" w:customStyle="1" w:styleId="Body">
    <w:name w:val="Body"/>
    <w:rsid w:val="000E0A17"/>
    <w:pPr>
      <w:spacing w:after="0" w:line="240" w:lineRule="auto"/>
    </w:pPr>
    <w:rPr>
      <w:rFonts w:ascii="Helvetica" w:eastAsia="ヒラギノ角ゴ Pro W3" w:hAnsi="Helvetica" w:cs="Times New Roman"/>
      <w:color w:val="000000"/>
      <w:sz w:val="24"/>
      <w:szCs w:val="20"/>
      <w:lang w:val="en-US" w:eastAsia="sr-Cyrl-CS"/>
    </w:rPr>
  </w:style>
  <w:style w:type="paragraph" w:styleId="NormalWeb">
    <w:name w:val="Normal (Web)"/>
    <w:basedOn w:val="Normal"/>
    <w:uiPriority w:val="99"/>
    <w:unhideWhenUsed/>
    <w:rsid w:val="000E0A17"/>
    <w:pPr>
      <w:spacing w:before="100" w:beforeAutospacing="1" w:after="100" w:afterAutospacing="1"/>
      <w:jc w:val="left"/>
    </w:pPr>
    <w:rPr>
      <w:rFonts w:ascii="Times New Roman" w:eastAsia="Times New Roman" w:hAnsi="Times New Roman"/>
      <w:sz w:val="24"/>
      <w:szCs w:val="24"/>
      <w:lang w:val="sr-Latn-CS" w:eastAsia="sr-Latn-CS"/>
    </w:rPr>
  </w:style>
  <w:style w:type="character" w:styleId="Hyperlink">
    <w:name w:val="Hyperlink"/>
    <w:uiPriority w:val="99"/>
    <w:unhideWhenUsed/>
    <w:rsid w:val="000E0A17"/>
    <w:rPr>
      <w:color w:val="0000FF"/>
      <w:u w:val="single"/>
    </w:rPr>
  </w:style>
  <w:style w:type="paragraph" w:styleId="ListParagraph">
    <w:name w:val="List Paragraph"/>
    <w:basedOn w:val="Normal"/>
    <w:uiPriority w:val="34"/>
    <w:qFormat/>
    <w:rsid w:val="000E0A17"/>
    <w:pPr>
      <w:spacing w:after="0"/>
      <w:ind w:left="720"/>
      <w:contextualSpacing/>
      <w:jc w:val="left"/>
    </w:pPr>
    <w:rPr>
      <w:rFonts w:ascii="Times New Roman" w:eastAsia="Times New Roman" w:hAnsi="Times New Roman"/>
      <w:sz w:val="24"/>
      <w:szCs w:val="24"/>
    </w:rPr>
  </w:style>
  <w:style w:type="paragraph" w:customStyle="1" w:styleId="Normal1">
    <w:name w:val="Normal1"/>
    <w:basedOn w:val="Normal"/>
    <w:rsid w:val="000E0A17"/>
    <w:pPr>
      <w:spacing w:before="100" w:beforeAutospacing="1" w:after="100" w:afterAutospacing="1"/>
      <w:jc w:val="left"/>
    </w:pPr>
    <w:rPr>
      <w:rFonts w:eastAsia="Times New Roman" w:cs="Arial"/>
    </w:rPr>
  </w:style>
  <w:style w:type="paragraph" w:styleId="NoSpacing">
    <w:name w:val="No Spacing"/>
    <w:uiPriority w:val="1"/>
    <w:qFormat/>
    <w:rsid w:val="009C36F1"/>
    <w:pPr>
      <w:spacing w:after="0" w:line="240" w:lineRule="auto"/>
      <w:jc w:val="both"/>
    </w:pPr>
    <w:rPr>
      <w:rFonts w:ascii="Arial" w:eastAsia="Calibri" w:hAnsi="Arial" w:cs="Times New Roman"/>
      <w:lang w:val="en-US"/>
    </w:rPr>
  </w:style>
  <w:style w:type="paragraph" w:customStyle="1" w:styleId="BVIfnrCharCharCharChar1CharChar">
    <w:name w:val="BVI fnr Char Char Char Char1 Char Char"/>
    <w:aliases w:val="Footnotes refss Char Char Char Char1 Char Char,ftref Char Char Char Char1 Char Char,16 Point Char Char Char Char1 Char Char,Superscript 6 Point Char Char Char Char1 Char Char Char"/>
    <w:basedOn w:val="Normal"/>
    <w:link w:val="FootnoteReference"/>
    <w:uiPriority w:val="99"/>
    <w:rsid w:val="009C36F1"/>
    <w:pPr>
      <w:spacing w:after="160" w:line="240" w:lineRule="exact"/>
      <w:jc w:val="left"/>
    </w:pPr>
    <w:rPr>
      <w:rFonts w:asciiTheme="minorHAnsi" w:eastAsiaTheme="minorHAnsi" w:hAnsiTheme="minorHAnsi" w:cstheme="minorBidi"/>
      <w:vertAlign w:val="superscript"/>
      <w:lang w:val="sr-Latn-CS"/>
    </w:rPr>
  </w:style>
  <w:style w:type="paragraph" w:styleId="BalloonText">
    <w:name w:val="Balloon Text"/>
    <w:basedOn w:val="Normal"/>
    <w:link w:val="BalloonTextChar"/>
    <w:uiPriority w:val="99"/>
    <w:semiHidden/>
    <w:unhideWhenUsed/>
    <w:rsid w:val="00563D9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D92"/>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ravnopravnost.gov.rs" TargetMode="External"/><Relationship Id="rId2" Type="http://schemas.openxmlformats.org/officeDocument/2006/relationships/hyperlink" Target="mailto:poverenik@ravnopravnost.gov.rs" TargetMode="External"/><Relationship Id="rId1" Type="http://schemas.openxmlformats.org/officeDocument/2006/relationships/hyperlink" Target="http://www.ravnopravnost.gov.rs" TargetMode="External"/><Relationship Id="rId5" Type="http://schemas.openxmlformats.org/officeDocument/2006/relationships/image" Target="media/image3.jpeg"/><Relationship Id="rId4" Type="http://schemas.openxmlformats.org/officeDocument/2006/relationships/hyperlink" Target="mailto:poverenik@ravnopravnost.gov.r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poverenik@ravnopravnost.gov.rs" TargetMode="External"/><Relationship Id="rId2" Type="http://schemas.openxmlformats.org/officeDocument/2006/relationships/hyperlink" Target="http://www.ravnopravnost.gov.rs" TargetMode="External"/><Relationship Id="rId1" Type="http://schemas.openxmlformats.org/officeDocument/2006/relationships/image" Target="media/image3.jpeg"/><Relationship Id="rId5" Type="http://schemas.openxmlformats.org/officeDocument/2006/relationships/hyperlink" Target="mailto:poverenik@ravnopravnost.gov.rs" TargetMode="External"/><Relationship Id="rId4" Type="http://schemas.openxmlformats.org/officeDocument/2006/relationships/hyperlink" Target="http://www.ravnopravnost.gov.r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avnopravnost.gov.rs/izvest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31997-D53C-436E-BA70-DB2C5F025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1381</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kancelarija</dc:creator>
  <cp:lastModifiedBy>Korisnik</cp:lastModifiedBy>
  <cp:revision>3</cp:revision>
  <cp:lastPrinted>2025-02-13T14:48:00Z</cp:lastPrinted>
  <dcterms:created xsi:type="dcterms:W3CDTF">2026-02-11T12:12:00Z</dcterms:created>
  <dcterms:modified xsi:type="dcterms:W3CDTF">2026-02-11T12:18:00Z</dcterms:modified>
</cp:coreProperties>
</file>