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28"/>
        <w:gridCol w:w="938"/>
        <w:gridCol w:w="3948"/>
        <w:gridCol w:w="3778"/>
      </w:tblGrid>
      <w:tr w:rsidR="00CD4531" w:rsidRPr="00335FFB" w:rsidTr="005D5097">
        <w:tc>
          <w:tcPr>
            <w:tcW w:w="2339" w:type="dxa"/>
            <w:gridSpan w:val="3"/>
          </w:tcPr>
          <w:p w:rsidR="00CD4531" w:rsidRPr="007E6699" w:rsidRDefault="00CD4531" w:rsidP="00394020">
            <w:pPr>
              <w:spacing w:after="0" w:line="240" w:lineRule="auto"/>
              <w:rPr>
                <w:lang w:val="en-US"/>
              </w:rPr>
            </w:pPr>
            <w:bookmarkStart w:id="0" w:name="_GoBack"/>
            <w:bookmarkEnd w:id="0"/>
            <w:r>
              <w:rPr>
                <w:noProof/>
                <w:lang w:val="sr-Cyrl-RS" w:eastAsia="sr-Cyrl-RS"/>
              </w:rPr>
              <w:drawing>
                <wp:anchor distT="152400" distB="152400" distL="152400" distR="152400" simplePos="0" relativeHeight="251656192" behindDoc="0" locked="0" layoutInCell="1" allowOverlap="1">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w:t>
            </w:r>
          </w:p>
        </w:tc>
        <w:tc>
          <w:tcPr>
            <w:tcW w:w="3960" w:type="dxa"/>
          </w:tcPr>
          <w:p w:rsidR="00CD4531" w:rsidRPr="00335FFB" w:rsidRDefault="00CD4531" w:rsidP="00394020">
            <w:pPr>
              <w:spacing w:after="0" w:line="240" w:lineRule="auto"/>
            </w:pPr>
          </w:p>
        </w:tc>
        <w:tc>
          <w:tcPr>
            <w:tcW w:w="3781" w:type="dxa"/>
          </w:tcPr>
          <w:p w:rsidR="00CD4531" w:rsidRPr="00335FFB" w:rsidRDefault="00CD4531" w:rsidP="00394020">
            <w:pPr>
              <w:spacing w:after="0" w:line="240" w:lineRule="auto"/>
              <w:jc w:val="center"/>
            </w:pPr>
            <w:r>
              <w:rPr>
                <w:noProof/>
                <w:lang w:val="sr-Cyrl-RS" w:eastAsia="sr-Cyrl-RS"/>
              </w:rPr>
              <w:drawing>
                <wp:anchor distT="152400" distB="152400" distL="152400" distR="152400" simplePos="0" relativeHeight="251658240" behindDoc="0" locked="0" layoutInCell="1" allowOverlap="1">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5097" w:rsidRPr="00346A26" w:rsidTr="005D5097">
        <w:tc>
          <w:tcPr>
            <w:tcW w:w="388" w:type="dxa"/>
          </w:tcPr>
          <w:p w:rsidR="005D5097" w:rsidRPr="007D62F6" w:rsidRDefault="005D5097" w:rsidP="005D5097">
            <w:pPr>
              <w:spacing w:after="0" w:line="240" w:lineRule="auto"/>
              <w:rPr>
                <w:rFonts w:ascii="Arial" w:hAnsi="Arial" w:cs="Arial"/>
                <w:sz w:val="18"/>
                <w:szCs w:val="18"/>
              </w:rPr>
            </w:pPr>
          </w:p>
        </w:tc>
        <w:tc>
          <w:tcPr>
            <w:tcW w:w="1012" w:type="dxa"/>
            <w:noWrap/>
            <w:tcMar>
              <w:left w:w="0" w:type="dxa"/>
              <w:right w:w="0" w:type="dxa"/>
            </w:tcMar>
          </w:tcPr>
          <w:p w:rsidR="005D5097" w:rsidRPr="00346A26" w:rsidRDefault="005D5097" w:rsidP="005D5097">
            <w:pPr>
              <w:spacing w:after="0" w:line="240" w:lineRule="auto"/>
              <w:jc w:val="center"/>
              <w:rPr>
                <w:rFonts w:ascii="Arial" w:hAnsi="Arial" w:cs="Arial"/>
                <w:sz w:val="18"/>
                <w:szCs w:val="18"/>
                <w:lang w:val="sr-Cyrl-RS"/>
              </w:rPr>
            </w:pPr>
            <w:r w:rsidRPr="00346A26">
              <w:rPr>
                <w:rFonts w:ascii="Arial" w:hAnsi="Arial" w:cs="Arial"/>
                <w:sz w:val="18"/>
                <w:szCs w:val="18"/>
                <w:lang w:val="sr-Cyrl-RS"/>
              </w:rPr>
              <w:t>ЕС</w:t>
            </w:r>
          </w:p>
          <w:p w:rsidR="005D5097" w:rsidRPr="00346A26" w:rsidRDefault="00346A26" w:rsidP="00346A26">
            <w:pPr>
              <w:spacing w:after="0" w:line="240" w:lineRule="auto"/>
              <w:jc w:val="center"/>
              <w:rPr>
                <w:rFonts w:ascii="Arial" w:hAnsi="Arial" w:cs="Arial"/>
                <w:sz w:val="18"/>
                <w:szCs w:val="18"/>
                <w:lang w:val="sr-Cyrl-RS"/>
              </w:rPr>
            </w:pPr>
            <w:r>
              <w:rPr>
                <w:rFonts w:ascii="Arial" w:hAnsi="Arial" w:cs="Arial"/>
                <w:sz w:val="18"/>
                <w:szCs w:val="18"/>
                <w:lang w:val="sr-Cyrl-RS"/>
              </w:rPr>
              <w:t>465</w:t>
            </w:r>
            <w:r w:rsidR="005D5097" w:rsidRPr="00346A26">
              <w:rPr>
                <w:rFonts w:ascii="Arial" w:hAnsi="Arial" w:cs="Arial"/>
                <w:sz w:val="18"/>
                <w:szCs w:val="18"/>
                <w:lang w:val="sr-Cyrl-RS"/>
              </w:rPr>
              <w:t>/2</w:t>
            </w:r>
            <w:r>
              <w:rPr>
                <w:rFonts w:ascii="Arial" w:hAnsi="Arial" w:cs="Arial"/>
                <w:sz w:val="18"/>
                <w:szCs w:val="18"/>
                <w:lang w:val="sr-Cyrl-RS"/>
              </w:rPr>
              <w:t>5</w:t>
            </w:r>
          </w:p>
        </w:tc>
        <w:tc>
          <w:tcPr>
            <w:tcW w:w="939" w:type="dxa"/>
          </w:tcPr>
          <w:p w:rsidR="005D5097" w:rsidRPr="00346A26" w:rsidRDefault="005D5097" w:rsidP="005D5097">
            <w:pPr>
              <w:spacing w:after="0" w:line="240" w:lineRule="auto"/>
              <w:rPr>
                <w:rFonts w:ascii="Arial" w:hAnsi="Arial" w:cs="Arial"/>
                <w:sz w:val="18"/>
                <w:szCs w:val="18"/>
              </w:rPr>
            </w:pPr>
          </w:p>
        </w:tc>
        <w:tc>
          <w:tcPr>
            <w:tcW w:w="3960" w:type="dxa"/>
          </w:tcPr>
          <w:p w:rsidR="005D5097" w:rsidRPr="00346A26" w:rsidRDefault="005D5097" w:rsidP="005D5097">
            <w:pPr>
              <w:spacing w:after="0" w:line="240" w:lineRule="auto"/>
              <w:rPr>
                <w:sz w:val="18"/>
                <w:szCs w:val="18"/>
              </w:rPr>
            </w:pPr>
          </w:p>
        </w:tc>
        <w:tc>
          <w:tcPr>
            <w:tcW w:w="3781" w:type="dxa"/>
          </w:tcPr>
          <w:p w:rsidR="005D5097" w:rsidRPr="00346A26" w:rsidRDefault="005D5097" w:rsidP="005D5097">
            <w:pPr>
              <w:spacing w:after="0" w:line="240" w:lineRule="auto"/>
              <w:jc w:val="center"/>
              <w:rPr>
                <w:sz w:val="18"/>
                <w:szCs w:val="18"/>
              </w:rPr>
            </w:pPr>
          </w:p>
        </w:tc>
      </w:tr>
    </w:tbl>
    <w:p w:rsidR="00CD4531" w:rsidRPr="005071DE" w:rsidRDefault="005D5097" w:rsidP="00CD4531">
      <w:pPr>
        <w:spacing w:after="240" w:line="240" w:lineRule="auto"/>
        <w:mirrorIndents/>
        <w:jc w:val="both"/>
        <w:rPr>
          <w:rFonts w:ascii="Arial" w:eastAsia="ヒラギノ角ゴ Pro W3" w:hAnsi="Arial" w:cs="Arial"/>
          <w:color w:val="000000"/>
          <w:lang w:val="sr-Cyrl-RS" w:eastAsia="sr-Cyrl-CS"/>
        </w:rPr>
      </w:pPr>
      <w:r w:rsidRPr="00346A26">
        <w:rPr>
          <w:rFonts w:ascii="Arial" w:hAnsi="Arial"/>
          <w:spacing w:val="-1"/>
          <w:sz w:val="18"/>
          <w:szCs w:val="18"/>
        </w:rPr>
        <w:t xml:space="preserve">бр. </w:t>
      </w:r>
      <w:r w:rsidRPr="00346A26">
        <w:rPr>
          <w:rFonts w:ascii="Arial" w:hAnsi="Arial"/>
          <w:spacing w:val="-1"/>
          <w:sz w:val="18"/>
          <w:szCs w:val="18"/>
          <w:lang w:val="sr-Cyrl-RS"/>
        </w:rPr>
        <w:t>011-00-000</w:t>
      </w:r>
      <w:r w:rsidR="00346A26">
        <w:rPr>
          <w:rFonts w:ascii="Arial" w:hAnsi="Arial"/>
          <w:spacing w:val="-1"/>
          <w:sz w:val="18"/>
          <w:szCs w:val="18"/>
          <w:lang w:val="sr-Cyrl-RS"/>
        </w:rPr>
        <w:t>21</w:t>
      </w:r>
      <w:r w:rsidRPr="00346A26">
        <w:rPr>
          <w:rFonts w:ascii="Arial" w:hAnsi="Arial"/>
          <w:spacing w:val="-1"/>
          <w:sz w:val="18"/>
          <w:szCs w:val="18"/>
          <w:lang w:val="sr-Cyrl-RS"/>
        </w:rPr>
        <w:t>/202</w:t>
      </w:r>
      <w:r w:rsidR="00346A26">
        <w:rPr>
          <w:rFonts w:ascii="Arial" w:hAnsi="Arial"/>
          <w:spacing w:val="-1"/>
          <w:sz w:val="18"/>
          <w:szCs w:val="18"/>
          <w:lang w:val="sr-Cyrl-RS"/>
        </w:rPr>
        <w:t>5</w:t>
      </w:r>
      <w:r w:rsidRPr="00346A26">
        <w:rPr>
          <w:rFonts w:ascii="Arial" w:hAnsi="Arial"/>
          <w:spacing w:val="-1"/>
          <w:sz w:val="18"/>
          <w:szCs w:val="18"/>
          <w:lang w:val="sr-Cyrl-RS"/>
        </w:rPr>
        <w:t xml:space="preserve">-02   </w:t>
      </w:r>
      <w:r w:rsidRPr="00346A26">
        <w:rPr>
          <w:rFonts w:ascii="Arial" w:hAnsi="Arial"/>
          <w:spacing w:val="-1"/>
          <w:sz w:val="18"/>
          <w:szCs w:val="18"/>
        </w:rPr>
        <w:t xml:space="preserve">датум:  </w:t>
      </w:r>
      <w:r w:rsidR="00346A26">
        <w:rPr>
          <w:rFonts w:ascii="Arial" w:hAnsi="Arial"/>
          <w:spacing w:val="-1"/>
          <w:sz w:val="18"/>
          <w:szCs w:val="18"/>
          <w:lang w:val="sr-Cyrl-RS"/>
        </w:rPr>
        <w:t>28</w:t>
      </w:r>
      <w:r w:rsidRPr="00346A26">
        <w:rPr>
          <w:rFonts w:ascii="Arial" w:hAnsi="Arial"/>
          <w:spacing w:val="-1"/>
          <w:sz w:val="18"/>
          <w:szCs w:val="18"/>
          <w:lang w:val="sr-Cyrl-RS"/>
        </w:rPr>
        <w:t>.</w:t>
      </w:r>
      <w:r w:rsidR="00346A26">
        <w:rPr>
          <w:rFonts w:ascii="Arial" w:hAnsi="Arial"/>
          <w:spacing w:val="-1"/>
          <w:sz w:val="18"/>
          <w:szCs w:val="18"/>
          <w:lang w:val="sr-Cyrl-RS"/>
        </w:rPr>
        <w:t>05</w:t>
      </w:r>
      <w:r w:rsidRPr="00346A26">
        <w:rPr>
          <w:rFonts w:ascii="Arial" w:hAnsi="Arial"/>
          <w:spacing w:val="-1"/>
          <w:sz w:val="18"/>
          <w:szCs w:val="18"/>
          <w:lang w:val="sr-Cyrl-RS"/>
        </w:rPr>
        <w:t>.202</w:t>
      </w:r>
      <w:r w:rsidR="00346A26">
        <w:rPr>
          <w:rFonts w:ascii="Arial" w:hAnsi="Arial"/>
          <w:spacing w:val="-1"/>
          <w:sz w:val="18"/>
          <w:szCs w:val="18"/>
          <w:lang w:val="sr-Cyrl-RS"/>
        </w:rPr>
        <w:t>5.</w:t>
      </w:r>
    </w:p>
    <w:p w:rsidR="00CB094B" w:rsidRDefault="00CB094B" w:rsidP="005B79CB">
      <w:pPr>
        <w:spacing w:after="240" w:line="240" w:lineRule="auto"/>
        <w:mirrorIndents/>
        <w:jc w:val="both"/>
        <w:rPr>
          <w:rFonts w:ascii="Arial" w:eastAsia="ヒラギノ角ゴ Pro W3" w:hAnsi="Arial" w:cs="Arial"/>
          <w:color w:val="000000"/>
          <w:lang w:val="sr-Cyrl-RS" w:eastAsia="sr-Cyrl-CS"/>
        </w:rPr>
      </w:pPr>
    </w:p>
    <w:p w:rsidR="00696B90" w:rsidRDefault="00CD4531" w:rsidP="005B79CB">
      <w:pPr>
        <w:spacing w:after="240" w:line="240" w:lineRule="auto"/>
        <w:mirrorIndents/>
        <w:jc w:val="both"/>
        <w:rPr>
          <w:rFonts w:ascii="Arial" w:hAnsi="Arial" w:cs="Arial"/>
          <w:b/>
        </w:rPr>
      </w:pPr>
      <w:r w:rsidRPr="005071DE">
        <w:rPr>
          <w:rFonts w:ascii="Arial" w:eastAsia="ヒラギノ角ゴ Pro W3" w:hAnsi="Arial" w:cs="Arial"/>
          <w:color w:val="000000"/>
          <w:lang w:val="sr-Cyrl-RS" w:eastAsia="sr-Cyrl-CS"/>
        </w:rPr>
        <w:t>Поступајући у оквиру законом прописане надлежности</w:t>
      </w:r>
      <w:r w:rsidRPr="005071DE">
        <w:rPr>
          <w:rStyle w:val="FootnoteReference"/>
          <w:rFonts w:ascii="Arial" w:eastAsia="ヒラギノ角ゴ Pro W3" w:hAnsi="Arial" w:cs="Arial"/>
          <w:color w:val="000000"/>
          <w:lang w:val="sr-Cyrl-RS" w:eastAsia="sr-Cyrl-CS"/>
        </w:rPr>
        <w:footnoteReference w:id="1"/>
      </w:r>
      <w:r w:rsidRPr="005071DE">
        <w:rPr>
          <w:rFonts w:ascii="Arial" w:eastAsia="ヒラギノ角ゴ Pro W3" w:hAnsi="Arial" w:cs="Arial"/>
          <w:color w:val="000000"/>
          <w:lang w:val="sr-Cyrl-RS" w:eastAsia="sr-Cyrl-CS"/>
        </w:rPr>
        <w:t>, Поверени</w:t>
      </w:r>
      <w:r w:rsidRPr="005071DE">
        <w:rPr>
          <w:rFonts w:ascii="Arial" w:eastAsia="ヒラギノ角ゴ Pro W3" w:hAnsi="Arial" w:cs="Arial"/>
          <w:color w:val="000000"/>
          <w:lang w:eastAsia="sr-Cyrl-CS"/>
        </w:rPr>
        <w:t>к</w:t>
      </w:r>
      <w:r w:rsidRPr="005071DE">
        <w:rPr>
          <w:rFonts w:ascii="Arial" w:eastAsia="ヒラギノ角ゴ Pro W3" w:hAnsi="Arial" w:cs="Arial"/>
          <w:color w:val="000000"/>
          <w:lang w:val="sr-Cyrl-RS" w:eastAsia="sr-Cyrl-CS"/>
        </w:rPr>
        <w:t xml:space="preserve"> за заштиту равноправности,  дај</w:t>
      </w:r>
    </w:p>
    <w:p w:rsidR="00762CF2" w:rsidRPr="00CB094B" w:rsidRDefault="00762CF2" w:rsidP="00CD4531">
      <w:pPr>
        <w:pStyle w:val="Body"/>
        <w:tabs>
          <w:tab w:val="left" w:pos="9072"/>
        </w:tabs>
        <w:spacing w:after="120"/>
        <w:jc w:val="center"/>
        <w:rPr>
          <w:rFonts w:ascii="Arial" w:hAnsi="Arial" w:cs="Arial"/>
          <w:b/>
          <w:sz w:val="22"/>
          <w:szCs w:val="22"/>
          <w:lang w:val="sr-Cyrl-RS"/>
        </w:rPr>
      </w:pPr>
    </w:p>
    <w:p w:rsidR="00CD4531" w:rsidRPr="00CB094B" w:rsidRDefault="00CD4531" w:rsidP="00CD4531">
      <w:pPr>
        <w:pStyle w:val="Body"/>
        <w:tabs>
          <w:tab w:val="left" w:pos="9072"/>
        </w:tabs>
        <w:spacing w:after="120"/>
        <w:jc w:val="center"/>
        <w:rPr>
          <w:rFonts w:ascii="Arial" w:hAnsi="Arial" w:cs="Arial"/>
          <w:b/>
          <w:sz w:val="22"/>
          <w:szCs w:val="22"/>
          <w:lang w:val="sr-Cyrl-RS"/>
        </w:rPr>
      </w:pPr>
      <w:r w:rsidRPr="00CB094B">
        <w:rPr>
          <w:rFonts w:ascii="Arial" w:hAnsi="Arial" w:cs="Arial"/>
          <w:b/>
          <w:sz w:val="22"/>
          <w:szCs w:val="22"/>
          <w:lang w:val="sr-Cyrl-RS"/>
        </w:rPr>
        <w:t>МИШЉЕЊЕ</w:t>
      </w:r>
    </w:p>
    <w:p w:rsidR="00CD4531" w:rsidRPr="005071DE" w:rsidRDefault="00CD4531" w:rsidP="00CD4531">
      <w:pPr>
        <w:pStyle w:val="Body"/>
        <w:tabs>
          <w:tab w:val="left" w:pos="9072"/>
        </w:tabs>
        <w:spacing w:after="120"/>
        <w:jc w:val="center"/>
        <w:rPr>
          <w:rFonts w:ascii="Arial" w:hAnsi="Arial" w:cs="Arial"/>
          <w:b/>
          <w:sz w:val="22"/>
          <w:szCs w:val="22"/>
          <w:lang w:val="sr-Cyrl-CS"/>
        </w:rPr>
      </w:pPr>
      <w:r>
        <w:rPr>
          <w:rFonts w:ascii="Arial" w:hAnsi="Arial" w:cs="Arial"/>
          <w:b/>
          <w:sz w:val="22"/>
          <w:szCs w:val="22"/>
          <w:lang w:val="sr-Cyrl-CS"/>
        </w:rPr>
        <w:t xml:space="preserve">      </w:t>
      </w:r>
      <w:r w:rsidRPr="005071DE">
        <w:rPr>
          <w:rFonts w:ascii="Arial" w:hAnsi="Arial" w:cs="Arial"/>
          <w:b/>
          <w:sz w:val="22"/>
          <w:szCs w:val="22"/>
          <w:lang w:val="sr-Cyrl-CS"/>
        </w:rPr>
        <w:t xml:space="preserve">на Нацрт Закона о </w:t>
      </w:r>
      <w:r w:rsidR="00EC0A74">
        <w:rPr>
          <w:rFonts w:ascii="Arial" w:hAnsi="Arial" w:cs="Arial"/>
          <w:b/>
          <w:sz w:val="22"/>
          <w:szCs w:val="22"/>
          <w:lang w:val="sr-Cyrl-CS"/>
        </w:rPr>
        <w:t>информационој безбедности</w:t>
      </w:r>
    </w:p>
    <w:p w:rsidR="00CD4531" w:rsidRPr="005071DE" w:rsidRDefault="00CD4531" w:rsidP="00CD4531">
      <w:pPr>
        <w:pStyle w:val="Body"/>
        <w:tabs>
          <w:tab w:val="left" w:pos="9072"/>
        </w:tabs>
        <w:spacing w:after="120"/>
        <w:rPr>
          <w:rFonts w:ascii="Arial" w:hAnsi="Arial" w:cs="Arial"/>
          <w:b/>
          <w:sz w:val="22"/>
          <w:szCs w:val="22"/>
          <w:lang w:val="sr-Cyrl-CS"/>
        </w:rPr>
      </w:pPr>
    </w:p>
    <w:p w:rsidR="008C79CA" w:rsidRDefault="001337D5" w:rsidP="00517801">
      <w:pPr>
        <w:pStyle w:val="Body"/>
        <w:tabs>
          <w:tab w:val="left" w:pos="9072"/>
        </w:tabs>
        <w:spacing w:after="120" w:line="276" w:lineRule="auto"/>
        <w:jc w:val="both"/>
        <w:rPr>
          <w:rFonts w:ascii="Arial" w:hAnsi="Arial" w:cs="Arial"/>
          <w:sz w:val="22"/>
          <w:szCs w:val="22"/>
          <w:lang w:val="sr-Cyrl-CS"/>
        </w:rPr>
      </w:pPr>
      <w:r>
        <w:rPr>
          <w:rFonts w:ascii="Arial" w:hAnsi="Arial" w:cs="Arial"/>
          <w:sz w:val="22"/>
          <w:szCs w:val="22"/>
          <w:lang w:val="sr-Cyrl-RS"/>
        </w:rPr>
        <w:t>Министарство</w:t>
      </w:r>
      <w:r w:rsidRPr="001337D5">
        <w:rPr>
          <w:rFonts w:ascii="Arial" w:hAnsi="Arial" w:cs="Arial"/>
          <w:sz w:val="22"/>
          <w:szCs w:val="22"/>
          <w:lang w:val="sr-Cyrl-CS"/>
        </w:rPr>
        <w:t xml:space="preserve"> </w:t>
      </w:r>
      <w:r>
        <w:rPr>
          <w:rFonts w:ascii="Arial" w:hAnsi="Arial" w:cs="Arial"/>
          <w:sz w:val="22"/>
          <w:szCs w:val="22"/>
          <w:lang w:val="sr-Cyrl-RS"/>
        </w:rPr>
        <w:t>информисања и телекомуникација доставило је Поверенику за заштиту равноправности Нацрт закона о информационој безбедности (у даљем тексту: Нацрт закона), са образложењем и Изјавом Владе</w:t>
      </w:r>
      <w:r w:rsidRPr="001337D5">
        <w:rPr>
          <w:rFonts w:ascii="Arial" w:hAnsi="Arial" w:cs="Arial"/>
          <w:sz w:val="22"/>
          <w:szCs w:val="22"/>
          <w:lang w:val="sr-Cyrl-CS"/>
        </w:rPr>
        <w:t>.</w:t>
      </w:r>
      <w:r>
        <w:rPr>
          <w:rFonts w:ascii="Arial" w:hAnsi="Arial" w:cs="Arial"/>
          <w:sz w:val="22"/>
          <w:szCs w:val="22"/>
          <w:lang w:val="sr-Cyrl-CS"/>
        </w:rPr>
        <w:t xml:space="preserve"> </w:t>
      </w:r>
    </w:p>
    <w:p w:rsidR="008C79CA" w:rsidRPr="008C79CA" w:rsidRDefault="008C79CA" w:rsidP="00517801">
      <w:pPr>
        <w:pStyle w:val="Body"/>
        <w:tabs>
          <w:tab w:val="left" w:pos="9072"/>
        </w:tabs>
        <w:spacing w:after="120" w:line="276" w:lineRule="auto"/>
        <w:jc w:val="both"/>
        <w:rPr>
          <w:rFonts w:ascii="Arial" w:hAnsi="Arial" w:cs="Arial"/>
          <w:sz w:val="22"/>
          <w:szCs w:val="22"/>
          <w:lang w:val="sr-Cyrl-RS"/>
        </w:rPr>
      </w:pPr>
      <w:r w:rsidRPr="008C79CA">
        <w:rPr>
          <w:rFonts w:ascii="Arial" w:hAnsi="Arial" w:cs="Arial"/>
          <w:sz w:val="22"/>
          <w:szCs w:val="22"/>
          <w:lang w:val="sr-Cyrl-RS"/>
        </w:rPr>
        <w:t xml:space="preserve">Са аспекта делокруга рада Повереника за заштиту равноправности, обавештавамо вас да немамо примедаба </w:t>
      </w:r>
      <w:r w:rsidR="009C41C4">
        <w:rPr>
          <w:rFonts w:ascii="Arial" w:hAnsi="Arial" w:cs="Arial"/>
          <w:sz w:val="22"/>
          <w:szCs w:val="22"/>
          <w:lang w:val="sr-Cyrl-RS"/>
        </w:rPr>
        <w:t>на конкретне одредбе чланова достављеног текста</w:t>
      </w:r>
      <w:r w:rsidRPr="008C79CA">
        <w:rPr>
          <w:rFonts w:ascii="Arial" w:hAnsi="Arial" w:cs="Arial"/>
          <w:sz w:val="22"/>
          <w:szCs w:val="22"/>
          <w:lang w:val="sr-Cyrl-RS"/>
        </w:rPr>
        <w:t xml:space="preserve"> Нацрта закона</w:t>
      </w:r>
      <w:r>
        <w:rPr>
          <w:rFonts w:ascii="Arial" w:hAnsi="Arial" w:cs="Arial"/>
          <w:sz w:val="22"/>
          <w:szCs w:val="22"/>
          <w:lang w:val="sr-Cyrl-RS"/>
        </w:rPr>
        <w:t xml:space="preserve">, но, имајући у виду важност усаглашавања овог законског текста са тековинама Европске уније, указујемо на следеће: </w:t>
      </w:r>
    </w:p>
    <w:p w:rsidR="00D80F81" w:rsidRPr="00286B64" w:rsidRDefault="001337D5" w:rsidP="00517801">
      <w:pPr>
        <w:pStyle w:val="Default"/>
        <w:spacing w:line="276" w:lineRule="auto"/>
        <w:jc w:val="both"/>
        <w:rPr>
          <w:rFonts w:ascii="Arial" w:hAnsi="Arial" w:cs="Arial"/>
          <w:sz w:val="22"/>
          <w:szCs w:val="22"/>
          <w:lang w:val="sr-Cyrl-RS"/>
        </w:rPr>
      </w:pPr>
      <w:r>
        <w:rPr>
          <w:rFonts w:ascii="Arial" w:hAnsi="Arial" w:cs="Arial"/>
          <w:sz w:val="22"/>
          <w:szCs w:val="22"/>
          <w:lang w:val="sr-Cyrl-RS"/>
        </w:rPr>
        <w:t xml:space="preserve">Повереник за заштиту равноправности је анализирао текст Нацрта закона, као и </w:t>
      </w:r>
      <w:r w:rsidR="00897549">
        <w:rPr>
          <w:rFonts w:ascii="Arial" w:hAnsi="Arial" w:cs="Arial"/>
          <w:sz w:val="22"/>
          <w:szCs w:val="22"/>
          <w:lang w:val="sr-Cyrl-RS"/>
        </w:rPr>
        <w:t>О</w:t>
      </w:r>
      <w:r>
        <w:rPr>
          <w:rFonts w:ascii="Arial" w:hAnsi="Arial" w:cs="Arial"/>
          <w:sz w:val="22"/>
          <w:szCs w:val="22"/>
          <w:lang w:val="sr-Cyrl-RS"/>
        </w:rPr>
        <w:t>бразложење за доношење овог закона</w:t>
      </w:r>
      <w:r w:rsidR="00F7057F">
        <w:rPr>
          <w:rFonts w:ascii="Arial" w:hAnsi="Arial" w:cs="Arial"/>
          <w:sz w:val="22"/>
          <w:szCs w:val="22"/>
          <w:lang w:val="sr-Cyrl-RS"/>
        </w:rPr>
        <w:t>, имајући у виду важност унапређења равноправности и отклањања потенцијалне могућности за било који облик дискриминације</w:t>
      </w:r>
      <w:r w:rsidR="00394020">
        <w:rPr>
          <w:rFonts w:ascii="Arial" w:hAnsi="Arial" w:cs="Arial"/>
          <w:sz w:val="22"/>
          <w:szCs w:val="22"/>
          <w:lang w:val="sr-Cyrl-RS"/>
        </w:rPr>
        <w:t xml:space="preserve"> у овој сфери друштвених односа</w:t>
      </w:r>
      <w:r>
        <w:rPr>
          <w:rFonts w:ascii="Arial" w:hAnsi="Arial" w:cs="Arial"/>
          <w:sz w:val="22"/>
          <w:szCs w:val="22"/>
          <w:lang w:val="sr-Cyrl-RS"/>
        </w:rPr>
        <w:t xml:space="preserve">.  Предлагач </w:t>
      </w:r>
      <w:r w:rsidR="00897549">
        <w:rPr>
          <w:rFonts w:ascii="Arial" w:hAnsi="Arial" w:cs="Arial"/>
          <w:sz w:val="22"/>
          <w:szCs w:val="22"/>
          <w:lang w:val="sr-Cyrl-RS"/>
        </w:rPr>
        <w:t xml:space="preserve">Нацрта </w:t>
      </w:r>
      <w:r>
        <w:rPr>
          <w:rFonts w:ascii="Arial" w:hAnsi="Arial" w:cs="Arial"/>
          <w:sz w:val="22"/>
          <w:szCs w:val="22"/>
          <w:lang w:val="sr-Cyrl-RS"/>
        </w:rPr>
        <w:t xml:space="preserve">закона у Образложењу наводи да се важећи </w:t>
      </w:r>
      <w:r w:rsidRPr="00897549">
        <w:rPr>
          <w:rFonts w:ascii="Arial" w:hAnsi="Arial" w:cs="Arial"/>
          <w:i/>
          <w:sz w:val="22"/>
          <w:szCs w:val="22"/>
          <w:lang w:val="sr-Cyrl-RS"/>
        </w:rPr>
        <w:t>„Закон о информационој безбедности ослања на директиву ЕУ 2016/1148</w:t>
      </w:r>
      <w:r w:rsidR="00897549" w:rsidRPr="00897549">
        <w:rPr>
          <w:rFonts w:ascii="Arial" w:hAnsi="Arial" w:cs="Arial"/>
          <w:i/>
          <w:sz w:val="22"/>
          <w:szCs w:val="22"/>
          <w:lang w:val="sr-Cyrl-RS"/>
        </w:rPr>
        <w:t xml:space="preserve"> Европског парламента и Савета од 6.јула 2016. године  која се тиче мера за високи заједнички ниво безбедности мрежа и информационих система (у даљем тексту: НИС1). </w:t>
      </w:r>
      <w:r w:rsidR="00897549" w:rsidRPr="00286B64">
        <w:rPr>
          <w:rFonts w:ascii="Arial" w:hAnsi="Arial" w:cs="Arial"/>
          <w:i/>
          <w:sz w:val="22"/>
          <w:szCs w:val="22"/>
          <w:lang w:val="sr-Cyrl-RS"/>
        </w:rPr>
        <w:t xml:space="preserve">У процесу испуњавања услова за пуноправно чланство у Европској унији, </w:t>
      </w:r>
      <w:r w:rsidR="00897549" w:rsidRPr="00286B64">
        <w:rPr>
          <w:rFonts w:ascii="Arial" w:hAnsi="Arial" w:cs="Arial"/>
          <w:b/>
          <w:i/>
          <w:sz w:val="22"/>
          <w:szCs w:val="22"/>
          <w:lang w:val="sr-Cyrl-RS"/>
        </w:rPr>
        <w:t>Република Србија је дужна да своје законодавство усклади са правним тековинама Европске уније у области информационе безбедности</w:t>
      </w:r>
      <w:r w:rsidR="00897549" w:rsidRPr="00286B64">
        <w:rPr>
          <w:rFonts w:ascii="Arial" w:hAnsi="Arial" w:cs="Arial"/>
          <w:i/>
          <w:sz w:val="22"/>
          <w:szCs w:val="22"/>
          <w:lang w:val="sr-Cyrl-RS"/>
        </w:rPr>
        <w:t>. У међувремену, ЕУ је свој регулаторни оквир употпунила и ревидирала усвајањем нове Директиве (ЕУ) 2022/2055 Европског парламента и Савета од дана 14. децембра 2022. године о мерама за висок заједнички ниво сајбер безбедности (у даљем тексту НИС2). У том смислу, први разлог доношења новог закона лежи у потреби да се регулаторни оквир усагласи са оквиром који је на снази у ЕУ како би се благовремено испратили развојни трендови у овој области и омогућило да се употреба ИКТ у Републици Србији одвија у складу са најсавременијим регулаторним тенденцијама</w:t>
      </w:r>
      <w:r w:rsidR="00897549">
        <w:rPr>
          <w:rFonts w:ascii="Arial" w:hAnsi="Arial" w:cs="Arial"/>
          <w:i/>
          <w:sz w:val="22"/>
          <w:szCs w:val="22"/>
          <w:lang w:val="sr-Cyrl-RS"/>
        </w:rPr>
        <w:t>“</w:t>
      </w:r>
      <w:r w:rsidR="00897549" w:rsidRPr="00286B64">
        <w:rPr>
          <w:rFonts w:ascii="Arial" w:hAnsi="Arial" w:cs="Arial"/>
          <w:sz w:val="22"/>
          <w:szCs w:val="22"/>
          <w:lang w:val="sr-Cyrl-RS"/>
        </w:rPr>
        <w:t>.</w:t>
      </w:r>
    </w:p>
    <w:p w:rsidR="00897549" w:rsidRPr="00286B64" w:rsidRDefault="00897549" w:rsidP="00517801">
      <w:pPr>
        <w:pStyle w:val="Default"/>
        <w:spacing w:line="276" w:lineRule="auto"/>
        <w:jc w:val="both"/>
        <w:rPr>
          <w:rFonts w:ascii="Arial" w:hAnsi="Arial" w:cs="Arial"/>
          <w:sz w:val="22"/>
          <w:szCs w:val="22"/>
          <w:lang w:val="sr-Cyrl-RS"/>
        </w:rPr>
      </w:pPr>
    </w:p>
    <w:p w:rsidR="00897549" w:rsidRDefault="00897549" w:rsidP="00517801">
      <w:pPr>
        <w:pStyle w:val="Default"/>
        <w:spacing w:line="276" w:lineRule="auto"/>
        <w:jc w:val="both"/>
        <w:rPr>
          <w:rFonts w:ascii="Arial" w:hAnsi="Arial" w:cs="Arial"/>
          <w:sz w:val="22"/>
          <w:szCs w:val="22"/>
          <w:lang w:val="sr-Cyrl-RS"/>
        </w:rPr>
      </w:pPr>
      <w:r>
        <w:rPr>
          <w:rFonts w:ascii="Arial" w:hAnsi="Arial" w:cs="Arial"/>
          <w:sz w:val="22"/>
          <w:szCs w:val="22"/>
          <w:lang w:val="sr-Cyrl-RS"/>
        </w:rPr>
        <w:t>Нацртом закона о информационој безбедности, како је у Обрзложењу наведено, уређују се, између осталог, основне о</w:t>
      </w:r>
      <w:r w:rsidRPr="00286B64">
        <w:rPr>
          <w:rFonts w:ascii="Arial" w:hAnsi="Arial" w:cs="Arial"/>
          <w:sz w:val="22"/>
          <w:szCs w:val="22"/>
          <w:lang w:val="sr-Cyrl-RS"/>
        </w:rPr>
        <w:t>дредбе којима се уређује предмет закона као и значење појединих појмова који се користе у закону</w:t>
      </w:r>
      <w:r>
        <w:rPr>
          <w:rFonts w:ascii="Arial" w:hAnsi="Arial" w:cs="Arial"/>
          <w:sz w:val="22"/>
          <w:szCs w:val="22"/>
          <w:lang w:val="sr-Cyrl-RS"/>
        </w:rPr>
        <w:t xml:space="preserve">, </w:t>
      </w:r>
      <w:r w:rsidRPr="00286B64">
        <w:rPr>
          <w:rFonts w:ascii="Arial" w:hAnsi="Arial" w:cs="Arial"/>
          <w:sz w:val="22"/>
          <w:szCs w:val="22"/>
          <w:lang w:val="sr-Cyrl-RS"/>
        </w:rPr>
        <w:t>безбедност</w:t>
      </w:r>
      <w:r>
        <w:rPr>
          <w:rFonts w:ascii="Arial" w:hAnsi="Arial" w:cs="Arial"/>
          <w:sz w:val="22"/>
          <w:szCs w:val="22"/>
          <w:lang w:val="sr-Cyrl-RS"/>
        </w:rPr>
        <w:t xml:space="preserve"> информационо комуникационог</w:t>
      </w:r>
      <w:r w:rsidRPr="00286B64">
        <w:rPr>
          <w:rFonts w:ascii="Arial" w:hAnsi="Arial" w:cs="Arial"/>
          <w:sz w:val="22"/>
          <w:szCs w:val="22"/>
          <w:lang w:val="sr-Cyrl-RS"/>
        </w:rPr>
        <w:t xml:space="preserve"> система</w:t>
      </w:r>
      <w:r>
        <w:rPr>
          <w:rFonts w:ascii="Arial" w:hAnsi="Arial" w:cs="Arial"/>
          <w:sz w:val="22"/>
          <w:szCs w:val="22"/>
          <w:lang w:val="sr-Cyrl-RS"/>
        </w:rPr>
        <w:t xml:space="preserve"> (ИКТ)</w:t>
      </w:r>
      <w:r w:rsidRPr="00286B64">
        <w:rPr>
          <w:rFonts w:ascii="Arial" w:hAnsi="Arial" w:cs="Arial"/>
          <w:sz w:val="22"/>
          <w:szCs w:val="22"/>
          <w:lang w:val="sr-Cyrl-RS"/>
        </w:rPr>
        <w:t xml:space="preserve"> од посебног значаја</w:t>
      </w:r>
      <w:r>
        <w:rPr>
          <w:rFonts w:ascii="Arial" w:hAnsi="Arial" w:cs="Arial"/>
          <w:sz w:val="22"/>
          <w:szCs w:val="22"/>
          <w:lang w:val="sr-Cyrl-RS"/>
        </w:rPr>
        <w:t xml:space="preserve">, </w:t>
      </w:r>
      <w:r w:rsidRPr="00286B64">
        <w:rPr>
          <w:rFonts w:ascii="Arial" w:hAnsi="Arial" w:cs="Arial"/>
          <w:sz w:val="22"/>
          <w:szCs w:val="22"/>
          <w:lang w:val="sr-Cyrl-RS"/>
        </w:rPr>
        <w:t xml:space="preserve">правни положај и надлежности органа надлежних за превенцију и заштиту од </w:t>
      </w:r>
      <w:r w:rsidRPr="00286B64">
        <w:rPr>
          <w:rFonts w:ascii="Arial" w:hAnsi="Arial" w:cs="Arial"/>
          <w:sz w:val="22"/>
          <w:szCs w:val="22"/>
          <w:lang w:val="sr-Cyrl-RS"/>
        </w:rPr>
        <w:lastRenderedPageBreak/>
        <w:t>безбедносних ризика у ИКТ системима у Републици Србији</w:t>
      </w:r>
      <w:r>
        <w:rPr>
          <w:rFonts w:ascii="Arial" w:hAnsi="Arial" w:cs="Arial"/>
          <w:sz w:val="22"/>
          <w:szCs w:val="22"/>
          <w:lang w:val="sr-Cyrl-RS"/>
        </w:rPr>
        <w:t xml:space="preserve">, </w:t>
      </w:r>
      <w:r w:rsidRPr="00286B64">
        <w:rPr>
          <w:rFonts w:ascii="Arial" w:hAnsi="Arial" w:cs="Arial"/>
          <w:sz w:val="22"/>
          <w:szCs w:val="22"/>
          <w:lang w:val="sr-Cyrl-RS"/>
        </w:rPr>
        <w:t>криптобезбедност и заштита од компромитујућег електромагнетног зрачења</w:t>
      </w:r>
      <w:r>
        <w:rPr>
          <w:rFonts w:ascii="Arial" w:hAnsi="Arial" w:cs="Arial"/>
          <w:sz w:val="22"/>
          <w:szCs w:val="22"/>
          <w:lang w:val="sr-Cyrl-RS"/>
        </w:rPr>
        <w:t>, н</w:t>
      </w:r>
      <w:r w:rsidRPr="00286B64">
        <w:rPr>
          <w:rFonts w:ascii="Arial" w:hAnsi="Arial" w:cs="Arial"/>
          <w:sz w:val="22"/>
          <w:szCs w:val="22"/>
          <w:lang w:val="sr-Cyrl-RS"/>
        </w:rPr>
        <w:t>адлежности и одговорности субјеката за надзор над спровођењем закона</w:t>
      </w:r>
      <w:r>
        <w:rPr>
          <w:rFonts w:ascii="Arial" w:hAnsi="Arial" w:cs="Arial"/>
          <w:sz w:val="22"/>
          <w:szCs w:val="22"/>
          <w:lang w:val="sr-Cyrl-RS"/>
        </w:rPr>
        <w:t xml:space="preserve">.  Имајући у виду неопходност усаглашавања одредаба са стандардима Европске уније у овој области, као и успешно укључење Републике Србије у јединствено европско дигитално тржиште, Повереник сматра да предлагач Нацрта закона </w:t>
      </w:r>
      <w:r w:rsidR="00394020">
        <w:rPr>
          <w:rFonts w:ascii="Arial" w:hAnsi="Arial" w:cs="Arial"/>
          <w:sz w:val="22"/>
          <w:szCs w:val="22"/>
          <w:lang w:val="sr-Cyrl-RS"/>
        </w:rPr>
        <w:t>треба</w:t>
      </w:r>
      <w:r>
        <w:rPr>
          <w:rFonts w:ascii="Arial" w:hAnsi="Arial" w:cs="Arial"/>
          <w:sz w:val="22"/>
          <w:szCs w:val="22"/>
          <w:lang w:val="sr-Cyrl-RS"/>
        </w:rPr>
        <w:t xml:space="preserve"> узети у обзир и следеће:</w:t>
      </w:r>
    </w:p>
    <w:p w:rsidR="00602F00" w:rsidRDefault="00602F00" w:rsidP="00517801">
      <w:pPr>
        <w:tabs>
          <w:tab w:val="left" w:pos="450"/>
        </w:tabs>
        <w:autoSpaceDE w:val="0"/>
        <w:autoSpaceDN w:val="0"/>
        <w:adjustRightInd w:val="0"/>
        <w:spacing w:before="120"/>
        <w:jc w:val="both"/>
        <w:rPr>
          <w:rFonts w:ascii="Arial" w:hAnsi="Arial" w:cs="Arial"/>
          <w:lang w:val="sr-Cyrl-RS"/>
        </w:rPr>
      </w:pPr>
      <w:r w:rsidRPr="00A96581">
        <w:rPr>
          <w:rFonts w:ascii="Arial" w:hAnsi="Arial" w:cs="Arial"/>
          <w:lang w:val="sr-Cyrl-RS"/>
        </w:rPr>
        <w:t>Поједине земље Европске уније су усвојиле законска решења према којима се друштвене мреже обавезују да уклањају садржаје који представљају говор мржње или друге незаконите садржаје са својих платформи, а у случају да то не учине биће санкционисане</w:t>
      </w:r>
      <w:r w:rsidRPr="00A96581">
        <w:rPr>
          <w:rFonts w:ascii="Arial" w:hAnsi="Arial" w:cs="Arial"/>
          <w:vertAlign w:val="superscript"/>
          <w:lang w:val="sr-Cyrl-RS"/>
        </w:rPr>
        <w:footnoteReference w:id="2"/>
      </w:r>
      <w:r w:rsidRPr="00A96581">
        <w:rPr>
          <w:rFonts w:ascii="Arial" w:hAnsi="Arial" w:cs="Arial"/>
          <w:lang w:val="sr-Cyrl-RS"/>
        </w:rPr>
        <w:t xml:space="preserve">. Поред тога, </w:t>
      </w:r>
      <w:r w:rsidRPr="00602F00">
        <w:rPr>
          <w:rFonts w:ascii="Arial" w:hAnsi="Arial" w:cs="Arial"/>
          <w:b/>
          <w:lang w:val="sr-Cyrl-RS"/>
        </w:rPr>
        <w:t>Препоруком Европске комисије 2018/334 од 1. марта 2018. године о мерама за сузбијање незаконитих садржаја на интернету</w:t>
      </w:r>
      <w:r w:rsidRPr="00A96581">
        <w:rPr>
          <w:rFonts w:ascii="Arial" w:hAnsi="Arial" w:cs="Arial"/>
          <w:vertAlign w:val="superscript"/>
          <w:lang w:val="sr-Cyrl-RS"/>
        </w:rPr>
        <w:footnoteReference w:id="3"/>
      </w:r>
      <w:r w:rsidRPr="00A96581">
        <w:rPr>
          <w:rFonts w:ascii="Arial" w:hAnsi="Arial" w:cs="Arial"/>
          <w:lang w:val="sr-Cyrl-RS"/>
        </w:rPr>
        <w:t xml:space="preserve"> предвиђено је да би требало утврдити одредбе о механизмима за слање обавештења о незаконитим садржајима на интернету, а који би били лако доступни и једноставни за коришћење, а путем којих би корисници могли да доставе прецизне информације на основу којих би се донела одлука о томе да ли се тај садржај сматра незаконитим, да ли треба омогућити приступ том садржају или га треба уклонити.</w:t>
      </w:r>
      <w:r w:rsidRPr="00A96581">
        <w:rPr>
          <w:rFonts w:ascii="Arial" w:hAnsi="Arial" w:cs="Arial"/>
          <w:vertAlign w:val="superscript"/>
          <w:lang w:val="sr-Cyrl-RS"/>
        </w:rPr>
        <w:footnoteReference w:id="4"/>
      </w:r>
      <w:r w:rsidRPr="00A96581">
        <w:rPr>
          <w:rFonts w:ascii="Arial" w:hAnsi="Arial" w:cs="Arial"/>
          <w:lang w:val="sr-Cyrl-RS"/>
        </w:rPr>
        <w:t xml:space="preserve"> У документу се препоручују и проактивне мере које би имаоци интернет платформи требало да предузимају, и то пропорционалне и специфичне проактивне мере повезане са незаконитим садржајима, а које могу да укључују аутоматске поступке за откривање тих незаконитих садржаја</w:t>
      </w:r>
      <w:r w:rsidRPr="00A96581">
        <w:rPr>
          <w:rFonts w:ascii="Arial" w:hAnsi="Arial" w:cs="Arial"/>
          <w:vertAlign w:val="superscript"/>
          <w:lang w:val="sr-Cyrl-RS"/>
        </w:rPr>
        <w:footnoteReference w:id="5"/>
      </w:r>
      <w:r w:rsidRPr="00A96581">
        <w:rPr>
          <w:rFonts w:ascii="Arial" w:hAnsi="Arial" w:cs="Arial"/>
          <w:lang w:val="sr-Cyrl-RS"/>
        </w:rPr>
        <w:t xml:space="preserve">. </w:t>
      </w:r>
    </w:p>
    <w:p w:rsidR="00602F00" w:rsidRPr="00A96581" w:rsidRDefault="00602F00" w:rsidP="00517801">
      <w:pPr>
        <w:tabs>
          <w:tab w:val="left" w:pos="450"/>
        </w:tabs>
        <w:autoSpaceDE w:val="0"/>
        <w:autoSpaceDN w:val="0"/>
        <w:adjustRightInd w:val="0"/>
        <w:spacing w:before="120"/>
        <w:jc w:val="both"/>
        <w:rPr>
          <w:rFonts w:ascii="Arial" w:hAnsi="Arial" w:cs="Arial"/>
          <w:sz w:val="27"/>
          <w:szCs w:val="27"/>
          <w:shd w:val="clear" w:color="auto" w:fill="FFFFFF"/>
          <w:lang w:val="sr-Cyrl-RS"/>
        </w:rPr>
      </w:pPr>
      <w:r w:rsidRPr="00602F00">
        <w:rPr>
          <w:rFonts w:ascii="Arial" w:hAnsi="Arial" w:cs="Arial"/>
          <w:b/>
          <w:lang w:val="sr-Cyrl-RS"/>
        </w:rPr>
        <w:t xml:space="preserve">Такође, Кодексом Европске комисије и ИТ предузећа о поступању у борби против незаконитог говора мржње на интернету </w:t>
      </w:r>
      <w:r w:rsidRPr="00A96581">
        <w:rPr>
          <w:rFonts w:ascii="Arial" w:hAnsi="Arial" w:cs="Arial"/>
          <w:lang w:val="sr-Cyrl-RS"/>
        </w:rPr>
        <w:t>којим је предвиђено да инернет предузећа (Facebook, Twitter, Youtube), која су укључена у интернет форум Европске уније, заједно са другим платформама, сносе колективну одговорност за промовисање и омогућавање слободе изражавања на интернету. Према овом Кодексу наведена интернет предузећа и државе Европске уније, прихватају обавезу сузбијања незаконитог говора на интернету, при чему интернет предузећа наглашавају да је овај Кодекс намењен усмеравању њихових активности и предузимању вођства у сузбијању ширења незаконитог говора мржње на интернету. Овим Кодексом се утврђују обавезе попут тога да интернет предузећа треба да успоставе јасне и делотворне поступке за испитивање обавештења о незаконитом говору мржње у оквиру својих услуга, како би се онемогућио приступ таквом садржају или да такав садржај уклоне. Уколико интернет предузеће оцени да је такав садржај незаконит, уклониће га у року од 24 часа од пријема обавештења о томе.</w:t>
      </w:r>
      <w:r w:rsidRPr="00A96581">
        <w:rPr>
          <w:rFonts w:ascii="Arial" w:hAnsi="Arial" w:cs="Arial"/>
          <w:vertAlign w:val="superscript"/>
          <w:lang w:val="sr-Cyrl-RS"/>
        </w:rPr>
        <w:t xml:space="preserve"> </w:t>
      </w:r>
      <w:r w:rsidRPr="00A96581">
        <w:rPr>
          <w:rFonts w:ascii="Arial" w:hAnsi="Arial" w:cs="Arial"/>
          <w:vertAlign w:val="superscript"/>
          <w:lang w:val="sr-Cyrl-RS"/>
        </w:rPr>
        <w:footnoteReference w:id="6"/>
      </w:r>
      <w:r w:rsidRPr="00A96581">
        <w:rPr>
          <w:rFonts w:ascii="Arial" w:hAnsi="Arial" w:cs="Arial"/>
          <w:lang w:val="sr-Cyrl-RS"/>
        </w:rPr>
        <w:t xml:space="preserve"> Европска комисија је, у вези са овим Кодексом израдила, 2019. године, својеврсну анализу, односно процену учинка Кодекса. У овом документу наведено је да је употреба Кодекса свакако утицала на достизање брзог прогреса у уклањању незаконитог садржаја са интернета. Такође, од значаја у овом документу јесу и наведени конкретни механизми који могу утицати на смањење незаконитог садржаја, а посебно говора мржње са интернета. Неки од тих механизама су перманентно одржавање едукативних тренинга за запослене и друге који креирају медијску слику, укључење у партнерства и активности са институцијама и цивилним друштвом ради подизања свести о незаконитом садржају у медијима, као и рад на промовисању оваквих едукативних садржаја за медије и сл. Ови механизми могу представљати смернице, односно активности за сваки медиј, а у циљу превенције говора мржње</w:t>
      </w:r>
      <w:r>
        <w:rPr>
          <w:rFonts w:ascii="Arial" w:hAnsi="Arial" w:cs="Arial"/>
          <w:lang w:val="sr-Cyrl-RS"/>
        </w:rPr>
        <w:t>.</w:t>
      </w:r>
    </w:p>
    <w:p w:rsidR="00602F00" w:rsidRPr="00A96581" w:rsidRDefault="00602F00" w:rsidP="00517801">
      <w:pPr>
        <w:tabs>
          <w:tab w:val="left" w:pos="450"/>
        </w:tabs>
        <w:autoSpaceDE w:val="0"/>
        <w:autoSpaceDN w:val="0"/>
        <w:adjustRightInd w:val="0"/>
        <w:spacing w:before="120"/>
        <w:jc w:val="both"/>
        <w:rPr>
          <w:rFonts w:ascii="Arial" w:hAnsi="Arial" w:cs="Arial"/>
          <w:lang w:val="sr-Cyrl-RS"/>
        </w:rPr>
      </w:pPr>
      <w:r>
        <w:rPr>
          <w:rFonts w:ascii="Arial" w:hAnsi="Arial" w:cs="Arial"/>
          <w:lang w:val="sr-Cyrl-RS"/>
        </w:rPr>
        <w:lastRenderedPageBreak/>
        <w:t xml:space="preserve">Повереник подсећа и на </w:t>
      </w:r>
      <w:r w:rsidRPr="00394020">
        <w:rPr>
          <w:rFonts w:ascii="Arial" w:hAnsi="Arial" w:cs="Arial"/>
          <w:b/>
          <w:lang w:val="sr-Cyrl-RS"/>
        </w:rPr>
        <w:t>уредбу 2022/2065 Европског парламента и Савета из 2022.године</w:t>
      </w:r>
      <w:r w:rsidRPr="00A96581">
        <w:rPr>
          <w:rFonts w:ascii="Arial" w:hAnsi="Arial" w:cs="Arial"/>
          <w:vertAlign w:val="superscript"/>
          <w:lang w:val="sr-Cyrl-RS"/>
        </w:rPr>
        <w:footnoteReference w:id="7"/>
      </w:r>
      <w:r w:rsidRPr="00A96581">
        <w:rPr>
          <w:rFonts w:ascii="Arial" w:hAnsi="Arial" w:cs="Arial"/>
          <w:lang w:val="sr-Cyrl-RS"/>
        </w:rPr>
        <w:t xml:space="preserve"> (ДСА) о јединственом тржишту дигиталних услуга и измени Директиве 2000/31/ЕЗ (Акт о дигиталним услугама) </w:t>
      </w:r>
      <w:r w:rsidR="00C859DD">
        <w:rPr>
          <w:rFonts w:ascii="Arial" w:hAnsi="Arial" w:cs="Arial"/>
          <w:lang w:val="sr-Cyrl-RS"/>
        </w:rPr>
        <w:t xml:space="preserve">чији је циљ допринети правилном функционисању унутрашњег тржишта услуга посредовања утврђивањем усклађених правила за сигурно, предвидљиво и поуздано интернетско окружење (чл.1.). Овом уредбом је, </w:t>
      </w:r>
      <w:r w:rsidRPr="00A96581">
        <w:rPr>
          <w:rFonts w:ascii="Arial" w:hAnsi="Arial" w:cs="Arial"/>
          <w:lang w:val="sr-Cyrl-RS"/>
        </w:rPr>
        <w:t>између осталог, прописано да имаоци великих интернетских платформи и великих интернетских корисника морају прилагодити садржај, укључујући и брзину и квалитет обраде вести које се односе на одређене врсте незаконитог садржаја, и према потреби хитно уклањати или онемогућавати приступ пријављеном садржају, посебно у погледу незаконитог говора мржње или сајбернасиља</w:t>
      </w:r>
      <w:r w:rsidRPr="00A96581">
        <w:rPr>
          <w:rFonts w:ascii="Arial" w:hAnsi="Arial" w:cs="Arial"/>
          <w:vertAlign w:val="superscript"/>
          <w:lang w:val="sr-Cyrl-RS"/>
        </w:rPr>
        <w:footnoteReference w:id="8"/>
      </w:r>
      <w:r w:rsidRPr="00A96581">
        <w:rPr>
          <w:rFonts w:ascii="Arial" w:hAnsi="Arial" w:cs="Arial"/>
          <w:lang w:val="sr-Cyrl-RS"/>
        </w:rPr>
        <w:t>.</w:t>
      </w:r>
    </w:p>
    <w:p w:rsidR="00897549" w:rsidRDefault="00C859DD" w:rsidP="00517801">
      <w:pPr>
        <w:autoSpaceDE w:val="0"/>
        <w:autoSpaceDN w:val="0"/>
        <w:adjustRightInd w:val="0"/>
        <w:spacing w:after="49"/>
        <w:jc w:val="both"/>
        <w:rPr>
          <w:rFonts w:ascii="Arial" w:hAnsi="Arial" w:cs="Arial"/>
          <w:lang w:val="sr-Cyrl-RS"/>
        </w:rPr>
      </w:pPr>
      <w:r>
        <w:rPr>
          <w:rFonts w:ascii="Arial" w:hAnsi="Arial" w:cs="Arial"/>
          <w:lang w:val="sr-Cyrl-RS"/>
        </w:rPr>
        <w:t xml:space="preserve">Такође, за потпуно сагледавање стандарда у области информационе безбедности у области дигиталног тржишта од значаја је и </w:t>
      </w:r>
      <w:r w:rsidRPr="00394020">
        <w:rPr>
          <w:rFonts w:ascii="Arial" w:hAnsi="Arial" w:cs="Arial"/>
          <w:b/>
          <w:lang w:val="sr-Cyrl-RS"/>
        </w:rPr>
        <w:t>директива ЕУ 2015/1535</w:t>
      </w:r>
      <w:r>
        <w:rPr>
          <w:rFonts w:ascii="Arial" w:hAnsi="Arial" w:cs="Arial"/>
          <w:lang w:val="sr-Cyrl-RS"/>
        </w:rPr>
        <w:t xml:space="preserve"> Европског парламента и Савета о утврђивању поступка пружања информација у подручју техничких прописа и правила о услугама информацијског друштва</w:t>
      </w:r>
      <w:r w:rsidR="00394020">
        <w:rPr>
          <w:rFonts w:ascii="Arial" w:hAnsi="Arial" w:cs="Arial"/>
          <w:lang w:val="sr-Latn-RS"/>
        </w:rPr>
        <w:t>.</w:t>
      </w:r>
      <w:r>
        <w:rPr>
          <w:rFonts w:ascii="Arial" w:hAnsi="Arial" w:cs="Arial"/>
          <w:lang w:val="sr-Cyrl-RS"/>
        </w:rPr>
        <w:t xml:space="preserve"> </w:t>
      </w:r>
    </w:p>
    <w:p w:rsidR="00394020" w:rsidRDefault="00394020" w:rsidP="00517801">
      <w:pPr>
        <w:autoSpaceDE w:val="0"/>
        <w:autoSpaceDN w:val="0"/>
        <w:adjustRightInd w:val="0"/>
        <w:spacing w:after="49"/>
        <w:jc w:val="both"/>
        <w:rPr>
          <w:rFonts w:ascii="Arial" w:hAnsi="Arial" w:cs="Arial"/>
          <w:lang w:val="sr-Cyrl-RS"/>
        </w:rPr>
      </w:pPr>
    </w:p>
    <w:p w:rsidR="00B54779" w:rsidRPr="00286B64" w:rsidRDefault="00394020" w:rsidP="00517801">
      <w:pPr>
        <w:autoSpaceDE w:val="0"/>
        <w:autoSpaceDN w:val="0"/>
        <w:adjustRightInd w:val="0"/>
        <w:spacing w:after="49"/>
        <w:jc w:val="both"/>
        <w:rPr>
          <w:rFonts w:ascii="Arial" w:hAnsi="Arial" w:cs="Arial"/>
          <w:lang w:val="sr-Cyrl-RS"/>
        </w:rPr>
      </w:pPr>
      <w:r>
        <w:rPr>
          <w:rFonts w:ascii="Arial" w:hAnsi="Arial" w:cs="Arial"/>
          <w:lang w:val="sr-Cyrl-RS"/>
        </w:rPr>
        <w:t>Повереник подсећа да је у Стратегији развоја система јавног информисања у Републици Србији за период од 2020-2025. године</w:t>
      </w:r>
      <w:r w:rsidR="00A10D4F">
        <w:rPr>
          <w:rStyle w:val="FootnoteReference"/>
          <w:rFonts w:ascii="Arial" w:hAnsi="Arial" w:cs="Arial"/>
          <w:lang w:val="sr-Cyrl-RS"/>
        </w:rPr>
        <w:footnoteReference w:id="9"/>
      </w:r>
      <w:r>
        <w:rPr>
          <w:rFonts w:ascii="Arial" w:hAnsi="Arial" w:cs="Arial"/>
          <w:lang w:val="sr-Cyrl-RS"/>
        </w:rPr>
        <w:t xml:space="preserve"> </w:t>
      </w:r>
      <w:r w:rsidR="00A10D4F">
        <w:rPr>
          <w:rFonts w:ascii="Arial" w:hAnsi="Arial" w:cs="Arial"/>
          <w:lang w:val="sr-Cyrl-RS"/>
        </w:rPr>
        <w:t xml:space="preserve">, у оквиру циља број 5. </w:t>
      </w:r>
      <w:r w:rsidR="00A10D4F" w:rsidRPr="00A10D4F">
        <w:rPr>
          <w:rFonts w:ascii="Arial" w:hAnsi="Arial" w:cs="Arial"/>
          <w:bCs/>
          <w:i/>
          <w:shd w:val="clear" w:color="auto" w:fill="FFFFFF"/>
          <w:lang w:val="sr-Cyrl-RS"/>
        </w:rPr>
        <w:t>Унапређена професионална знања и развијене дигиталне компетенције грађана, институција, медија, новинара и медијских радника у медијском окружењу</w:t>
      </w:r>
      <w:r w:rsidR="00A10D4F">
        <w:rPr>
          <w:rFonts w:ascii="Arial" w:hAnsi="Arial" w:cs="Arial"/>
          <w:bCs/>
          <w:i/>
          <w:shd w:val="clear" w:color="auto" w:fill="FFFFFF"/>
          <w:lang w:val="sr-Cyrl-RS"/>
        </w:rPr>
        <w:t xml:space="preserve">, </w:t>
      </w:r>
      <w:r w:rsidR="00A10D4F" w:rsidRPr="00A10D4F">
        <w:rPr>
          <w:rFonts w:ascii="Arial" w:hAnsi="Arial" w:cs="Arial"/>
          <w:bCs/>
          <w:shd w:val="clear" w:color="auto" w:fill="FFFFFF"/>
          <w:lang w:val="sr-Cyrl-RS"/>
        </w:rPr>
        <w:t>предвиђена мера 5.3</w:t>
      </w:r>
      <w:r w:rsidR="00A10D4F">
        <w:rPr>
          <w:rFonts w:ascii="Arial" w:hAnsi="Arial" w:cs="Arial"/>
          <w:bCs/>
          <w:i/>
          <w:shd w:val="clear" w:color="auto" w:fill="FFFFFF"/>
          <w:lang w:val="sr-Cyrl-RS"/>
        </w:rPr>
        <w:t xml:space="preserve">. Унапређена информациона безбедност грађана у медијском окружењу, </w:t>
      </w:r>
      <w:r w:rsidR="00A10D4F">
        <w:rPr>
          <w:rFonts w:ascii="Arial" w:hAnsi="Arial" w:cs="Arial"/>
          <w:bCs/>
          <w:shd w:val="clear" w:color="auto" w:fill="FFFFFF"/>
          <w:lang w:val="sr-Cyrl-RS"/>
        </w:rPr>
        <w:t xml:space="preserve">чије се спровођење односи и на активност развијања свести  </w:t>
      </w:r>
      <w:r w:rsidR="00A10D4F" w:rsidRPr="00A10D4F">
        <w:rPr>
          <w:rFonts w:ascii="Arial" w:hAnsi="Arial" w:cs="Arial"/>
          <w:shd w:val="clear" w:color="auto" w:fill="FFFFFF"/>
          <w:lang w:val="sr-Cyrl-RS"/>
        </w:rPr>
        <w:t>о специфичној изложености, нарочито припадника осетљивих друштвених група, злоупотребама приватности и безбедносним претњама, и у онлајн окружењу</w:t>
      </w:r>
      <w:r w:rsidR="00A10D4F">
        <w:rPr>
          <w:rFonts w:ascii="Arial" w:hAnsi="Arial" w:cs="Arial"/>
          <w:shd w:val="clear" w:color="auto" w:fill="FFFFFF"/>
          <w:lang w:val="sr-Cyrl-RS"/>
        </w:rPr>
        <w:t xml:space="preserve">. </w:t>
      </w:r>
    </w:p>
    <w:p w:rsidR="00B54779" w:rsidRPr="00A10D4F" w:rsidRDefault="00B54779" w:rsidP="00517801">
      <w:pPr>
        <w:pStyle w:val="Body"/>
        <w:spacing w:line="276" w:lineRule="auto"/>
        <w:jc w:val="both"/>
        <w:rPr>
          <w:rFonts w:ascii="Arial" w:hAnsi="Arial" w:cs="Arial"/>
          <w:color w:val="auto"/>
          <w:sz w:val="22"/>
          <w:szCs w:val="22"/>
          <w:lang w:val="sr-Cyrl-RS"/>
        </w:rPr>
      </w:pPr>
    </w:p>
    <w:p w:rsidR="00436510" w:rsidRDefault="00861C63" w:rsidP="00517801">
      <w:pPr>
        <w:pStyle w:val="Body"/>
        <w:spacing w:line="276" w:lineRule="auto"/>
        <w:jc w:val="both"/>
        <w:rPr>
          <w:rFonts w:ascii="Arial" w:hAnsi="Arial" w:cs="Arial"/>
          <w:sz w:val="22"/>
          <w:szCs w:val="22"/>
          <w:lang w:val="sr-Cyrl-CS"/>
        </w:rPr>
      </w:pPr>
      <w:r>
        <w:rPr>
          <w:rFonts w:ascii="Arial" w:hAnsi="Arial" w:cs="Arial"/>
          <w:sz w:val="22"/>
          <w:szCs w:val="22"/>
          <w:lang w:val="sr-Cyrl-RS"/>
        </w:rPr>
        <w:t xml:space="preserve">У вези са појединачним одредбама чланова Нацрта закона, Повереник, а у вези са чланом 38. Нацрта који се односи на заштиту деце при коришћењу информационо-комуникационих технологија, посебно скреће пажњу </w:t>
      </w:r>
      <w:r w:rsidR="00436510">
        <w:rPr>
          <w:rFonts w:ascii="Arial" w:hAnsi="Arial" w:cs="Arial"/>
          <w:sz w:val="22"/>
          <w:szCs w:val="22"/>
          <w:lang w:val="sr-Cyrl-RS"/>
        </w:rPr>
        <w:t xml:space="preserve">(поред других релевантних докумената) </w:t>
      </w:r>
      <w:r>
        <w:rPr>
          <w:rFonts w:ascii="Arial" w:hAnsi="Arial" w:cs="Arial"/>
          <w:sz w:val="22"/>
          <w:szCs w:val="22"/>
          <w:lang w:val="sr-Cyrl-RS"/>
        </w:rPr>
        <w:t>на нову Европску стратегију за бољи интернет за децу (БИХ+) под називом Комуникација Комисије Европском парламенту, Савету, Европском економском и социјалном комитету и одбору регија: Дигитална декада за децу и младе.</w:t>
      </w:r>
      <w:r w:rsidR="00436510">
        <w:rPr>
          <w:rFonts w:ascii="Arial" w:hAnsi="Arial" w:cs="Arial"/>
          <w:sz w:val="22"/>
          <w:szCs w:val="22"/>
          <w:lang w:val="sr-Cyrl-RS"/>
        </w:rPr>
        <w:t xml:space="preserve"> Стратегија се темељи на п</w:t>
      </w:r>
      <w:r w:rsidR="00436510" w:rsidRPr="00436510">
        <w:rPr>
          <w:rFonts w:ascii="Arial" w:hAnsi="Arial" w:cs="Arial"/>
          <w:sz w:val="22"/>
          <w:szCs w:val="22"/>
          <w:lang w:val="sr-Cyrl-CS"/>
        </w:rPr>
        <w:t>оштовањ</w:t>
      </w:r>
      <w:r w:rsidR="00436510">
        <w:rPr>
          <w:rFonts w:ascii="Arial" w:hAnsi="Arial" w:cs="Arial"/>
          <w:sz w:val="22"/>
          <w:szCs w:val="22"/>
          <w:lang w:val="sr-Cyrl-CS"/>
        </w:rPr>
        <w:t>у</w:t>
      </w:r>
      <w:r w:rsidR="00436510" w:rsidRPr="00436510">
        <w:rPr>
          <w:rFonts w:ascii="Arial" w:hAnsi="Arial" w:cs="Arial"/>
          <w:sz w:val="22"/>
          <w:szCs w:val="22"/>
          <w:lang w:val="sr-Cyrl-CS"/>
        </w:rPr>
        <w:t xml:space="preserve"> људских права, укљ</w:t>
      </w:r>
      <w:r w:rsidR="00286B64">
        <w:rPr>
          <w:rFonts w:ascii="Arial" w:hAnsi="Arial" w:cs="Arial"/>
          <w:sz w:val="22"/>
          <w:szCs w:val="22"/>
          <w:lang w:val="sr-Cyrl-CS"/>
        </w:rPr>
        <w:t>учујући права д</w:t>
      </w:r>
      <w:r w:rsidR="00436510" w:rsidRPr="00436510">
        <w:rPr>
          <w:rFonts w:ascii="Arial" w:hAnsi="Arial" w:cs="Arial"/>
          <w:sz w:val="22"/>
          <w:szCs w:val="22"/>
          <w:lang w:val="sr-Cyrl-CS"/>
        </w:rPr>
        <w:t xml:space="preserve">етета, </w:t>
      </w:r>
      <w:r w:rsidR="00436510">
        <w:rPr>
          <w:rFonts w:ascii="Arial" w:hAnsi="Arial" w:cs="Arial"/>
          <w:sz w:val="22"/>
          <w:szCs w:val="22"/>
          <w:lang w:val="sr-Cyrl-CS"/>
        </w:rPr>
        <w:t xml:space="preserve">што је </w:t>
      </w:r>
      <w:r w:rsidR="00436510" w:rsidRPr="00436510">
        <w:rPr>
          <w:rFonts w:ascii="Arial" w:hAnsi="Arial" w:cs="Arial"/>
          <w:sz w:val="22"/>
          <w:szCs w:val="22"/>
          <w:lang w:val="sr-Cyrl-CS"/>
        </w:rPr>
        <w:t xml:space="preserve">интегрални </w:t>
      </w:r>
      <w:r w:rsidR="00436510">
        <w:rPr>
          <w:rFonts w:ascii="Arial" w:hAnsi="Arial" w:cs="Arial"/>
          <w:sz w:val="22"/>
          <w:szCs w:val="22"/>
          <w:lang w:val="sr-Cyrl-CS"/>
        </w:rPr>
        <w:t>елемент вре</w:t>
      </w:r>
      <w:r w:rsidR="00436510" w:rsidRPr="00436510">
        <w:rPr>
          <w:rFonts w:ascii="Arial" w:hAnsi="Arial" w:cs="Arial"/>
          <w:sz w:val="22"/>
          <w:szCs w:val="22"/>
          <w:lang w:val="sr-Cyrl-CS"/>
        </w:rPr>
        <w:t>дности на којима се темељи Е</w:t>
      </w:r>
      <w:r w:rsidR="00436510">
        <w:rPr>
          <w:rFonts w:ascii="Arial" w:hAnsi="Arial" w:cs="Arial"/>
          <w:sz w:val="22"/>
          <w:szCs w:val="22"/>
          <w:lang w:val="sr-Cyrl-CS"/>
        </w:rPr>
        <w:t>вропска унија.</w:t>
      </w:r>
      <w:r w:rsidR="00436510" w:rsidRPr="00436510">
        <w:rPr>
          <w:rFonts w:ascii="Arial" w:hAnsi="Arial" w:cs="Arial"/>
          <w:sz w:val="22"/>
          <w:szCs w:val="22"/>
          <w:lang w:val="sr-Cyrl-CS"/>
        </w:rPr>
        <w:t xml:space="preserve"> Та се права морају једнако поштовати на интернету и изван </w:t>
      </w:r>
      <w:r w:rsidR="00436510">
        <w:rPr>
          <w:rFonts w:ascii="Arial" w:hAnsi="Arial" w:cs="Arial"/>
          <w:sz w:val="22"/>
          <w:szCs w:val="22"/>
          <w:lang w:val="sr-Cyrl-CS"/>
        </w:rPr>
        <w:t>њега</w:t>
      </w:r>
      <w:r w:rsidR="00436510" w:rsidRPr="00436510">
        <w:rPr>
          <w:rFonts w:ascii="Arial" w:hAnsi="Arial" w:cs="Arial"/>
          <w:sz w:val="22"/>
          <w:szCs w:val="22"/>
          <w:lang w:val="sr-Cyrl-CS"/>
        </w:rPr>
        <w:t xml:space="preserve">. У дигиталном </w:t>
      </w:r>
      <w:r w:rsidR="00286B64">
        <w:rPr>
          <w:rFonts w:ascii="Arial" w:hAnsi="Arial" w:cs="Arial"/>
          <w:sz w:val="22"/>
          <w:szCs w:val="22"/>
          <w:lang w:val="sr-Cyrl-CS"/>
        </w:rPr>
        <w:t>веку</w:t>
      </w:r>
      <w:r w:rsidR="00436510">
        <w:rPr>
          <w:rFonts w:ascii="Arial" w:hAnsi="Arial" w:cs="Arial"/>
          <w:sz w:val="22"/>
          <w:szCs w:val="22"/>
          <w:lang w:val="sr-Cyrl-CS"/>
        </w:rPr>
        <w:t xml:space="preserve"> свако дете у Ев</w:t>
      </w:r>
      <w:r w:rsidR="00436510" w:rsidRPr="00436510">
        <w:rPr>
          <w:rFonts w:ascii="Arial" w:hAnsi="Arial" w:cs="Arial"/>
          <w:sz w:val="22"/>
          <w:szCs w:val="22"/>
          <w:lang w:val="sr-Cyrl-CS"/>
        </w:rPr>
        <w:t xml:space="preserve">ропи заслужује </w:t>
      </w:r>
      <w:r w:rsidR="00286B64">
        <w:rPr>
          <w:rFonts w:ascii="Arial" w:hAnsi="Arial" w:cs="Arial"/>
          <w:sz w:val="22"/>
          <w:szCs w:val="22"/>
          <w:lang w:val="sr-Cyrl-CS"/>
        </w:rPr>
        <w:t>да напредује</w:t>
      </w:r>
      <w:r w:rsidR="00436510" w:rsidRPr="00436510">
        <w:rPr>
          <w:rFonts w:ascii="Arial" w:hAnsi="Arial" w:cs="Arial"/>
          <w:sz w:val="22"/>
          <w:szCs w:val="22"/>
          <w:lang w:val="sr-Cyrl-CS"/>
        </w:rPr>
        <w:t xml:space="preserve"> у сигурном дигиталном окружењу које јача његов положај и </w:t>
      </w:r>
      <w:r w:rsidR="00436510">
        <w:rPr>
          <w:rFonts w:ascii="Arial" w:hAnsi="Arial" w:cs="Arial"/>
          <w:sz w:val="22"/>
          <w:szCs w:val="22"/>
          <w:lang w:val="sr-Cyrl-CS"/>
        </w:rPr>
        <w:t xml:space="preserve">треба </w:t>
      </w:r>
      <w:r w:rsidR="00286B64">
        <w:rPr>
          <w:rFonts w:ascii="Arial" w:hAnsi="Arial" w:cs="Arial"/>
          <w:sz w:val="22"/>
          <w:szCs w:val="22"/>
          <w:lang w:val="sr-Cyrl-CS"/>
        </w:rPr>
        <w:t>да буде</w:t>
      </w:r>
      <w:r w:rsidR="00436510">
        <w:rPr>
          <w:rFonts w:ascii="Arial" w:hAnsi="Arial" w:cs="Arial"/>
          <w:sz w:val="22"/>
          <w:szCs w:val="22"/>
          <w:lang w:val="sr-Cyrl-CS"/>
        </w:rPr>
        <w:t xml:space="preserve"> део</w:t>
      </w:r>
      <w:r w:rsidR="00436510" w:rsidRPr="00436510">
        <w:rPr>
          <w:rFonts w:ascii="Arial" w:hAnsi="Arial" w:cs="Arial"/>
          <w:sz w:val="22"/>
          <w:szCs w:val="22"/>
          <w:lang w:val="sr-Cyrl-CS"/>
        </w:rPr>
        <w:t xml:space="preserve"> глобалне дигиталне транзиције.</w:t>
      </w:r>
      <w:r w:rsidR="00436510">
        <w:rPr>
          <w:rFonts w:ascii="Arial" w:hAnsi="Arial" w:cs="Arial"/>
          <w:sz w:val="22"/>
          <w:szCs w:val="22"/>
          <w:lang w:val="sr-Cyrl-CS"/>
        </w:rPr>
        <w:t xml:space="preserve"> Но, деца се на интернету често срећу са штетним и незаконитим садржајем, понашањем, контактима и ризицима. Дигиталне услуге, од друштвених медија до интерактивних игара, могу децу изложити ризицима као што су непримерен садржај, злостављање, као и сексуално злостављање итд. Зато Европска комисија у овој стратегији позива, између осталог, на формирање центара за сигурнији интернет, дигитално образовање, праћење учинка дигиталне трансформације на добробит деце, улагање у вештине ради ширења свести о различитим потребама деце, сузбијање стереотипа итд. </w:t>
      </w:r>
    </w:p>
    <w:p w:rsidR="00436510" w:rsidRDefault="00436510" w:rsidP="00517801">
      <w:pPr>
        <w:pStyle w:val="Body"/>
        <w:spacing w:line="276" w:lineRule="auto"/>
        <w:jc w:val="both"/>
        <w:rPr>
          <w:rFonts w:ascii="Arial" w:hAnsi="Arial" w:cs="Arial"/>
          <w:sz w:val="22"/>
          <w:szCs w:val="22"/>
          <w:lang w:val="sr-Cyrl-CS"/>
        </w:rPr>
      </w:pPr>
    </w:p>
    <w:p w:rsidR="00436510" w:rsidRDefault="00436510" w:rsidP="00517801">
      <w:pPr>
        <w:pStyle w:val="Body"/>
        <w:spacing w:line="276" w:lineRule="auto"/>
        <w:jc w:val="both"/>
        <w:rPr>
          <w:rFonts w:ascii="Arial" w:hAnsi="Arial" w:cs="Arial"/>
          <w:sz w:val="22"/>
          <w:szCs w:val="22"/>
          <w:lang w:val="sr-Cyrl-CS"/>
        </w:rPr>
      </w:pPr>
      <w:r>
        <w:rPr>
          <w:rFonts w:ascii="Arial" w:hAnsi="Arial" w:cs="Arial"/>
          <w:sz w:val="22"/>
          <w:szCs w:val="22"/>
          <w:lang w:val="sr-Cyrl-CS"/>
        </w:rPr>
        <w:lastRenderedPageBreak/>
        <w:t xml:space="preserve">С обзиром на важност Нацрта закона, Повереник сугерише да предлагач размотри наведено у креирању финалних одредаба Нацрта закона. </w:t>
      </w:r>
    </w:p>
    <w:p w:rsidR="00436510" w:rsidRDefault="00436510" w:rsidP="00517801">
      <w:pPr>
        <w:pStyle w:val="Body"/>
        <w:spacing w:line="276" w:lineRule="auto"/>
        <w:jc w:val="both"/>
        <w:rPr>
          <w:rFonts w:ascii="Arial" w:hAnsi="Arial" w:cs="Arial"/>
          <w:sz w:val="22"/>
          <w:szCs w:val="22"/>
          <w:lang w:val="sr-Cyrl-CS"/>
        </w:rPr>
      </w:pPr>
    </w:p>
    <w:p w:rsidR="00464152" w:rsidRPr="00286B64" w:rsidRDefault="00464152" w:rsidP="00517801">
      <w:pPr>
        <w:pStyle w:val="Body"/>
        <w:spacing w:line="276" w:lineRule="auto"/>
        <w:jc w:val="both"/>
        <w:rPr>
          <w:rFonts w:ascii="Arial" w:hAnsi="Arial" w:cs="Arial"/>
          <w:iCs/>
          <w:sz w:val="22"/>
          <w:szCs w:val="22"/>
          <w:lang w:val="sr-Cyrl-CS"/>
        </w:rPr>
      </w:pPr>
    </w:p>
    <w:p w:rsidR="00042BEB" w:rsidRPr="005071DE" w:rsidRDefault="00464152" w:rsidP="00696B90">
      <w:pPr>
        <w:pStyle w:val="Body"/>
        <w:tabs>
          <w:tab w:val="left" w:pos="9072"/>
        </w:tabs>
        <w:spacing w:after="120"/>
        <w:jc w:val="both"/>
        <w:rPr>
          <w:rFonts w:ascii="Arial" w:hAnsi="Arial" w:cs="Arial"/>
          <w:shd w:val="clear" w:color="auto" w:fill="FFFFFF"/>
          <w:lang w:val="sr-Cyrl-RS"/>
        </w:rPr>
      </w:pPr>
      <w:r>
        <w:rPr>
          <w:rFonts w:ascii="Arial" w:hAnsi="Arial" w:cs="Arial"/>
          <w:sz w:val="22"/>
          <w:szCs w:val="22"/>
          <w:lang w:val="sr-Cyrl-RS"/>
        </w:rPr>
        <w:t xml:space="preserve"> </w:t>
      </w:r>
    </w:p>
    <w:tbl>
      <w:tblPr>
        <w:tblW w:w="10076" w:type="dxa"/>
        <w:tblLook w:val="04A0" w:firstRow="1" w:lastRow="0" w:firstColumn="1" w:lastColumn="0" w:noHBand="0" w:noVBand="1"/>
      </w:tblPr>
      <w:tblGrid>
        <w:gridCol w:w="3364"/>
        <w:gridCol w:w="2555"/>
        <w:gridCol w:w="4157"/>
      </w:tblGrid>
      <w:tr w:rsidR="00CD4531" w:rsidRPr="005071DE" w:rsidTr="00394020">
        <w:trPr>
          <w:trHeight w:val="318"/>
        </w:trPr>
        <w:tc>
          <w:tcPr>
            <w:tcW w:w="3364" w:type="dxa"/>
            <w:vMerge w:val="restart"/>
          </w:tcPr>
          <w:p w:rsidR="00CD4531" w:rsidRPr="005071DE" w:rsidRDefault="00CD4531" w:rsidP="00394020">
            <w:pPr>
              <w:pStyle w:val="Body"/>
              <w:tabs>
                <w:tab w:val="left" w:pos="1134"/>
              </w:tabs>
              <w:rPr>
                <w:rFonts w:ascii="Arial" w:eastAsia="Times New Roman" w:hAnsi="Arial" w:cs="Arial"/>
                <w:color w:val="auto"/>
                <w:sz w:val="22"/>
                <w:szCs w:val="22"/>
                <w:lang w:val="sr-Cyrl-RS"/>
              </w:rPr>
            </w:pPr>
          </w:p>
        </w:tc>
        <w:tc>
          <w:tcPr>
            <w:tcW w:w="2555" w:type="dxa"/>
            <w:vMerge w:val="restart"/>
          </w:tcPr>
          <w:p w:rsidR="00CD4531" w:rsidRPr="005071DE" w:rsidRDefault="00CD4531" w:rsidP="00394020">
            <w:pPr>
              <w:pStyle w:val="Body"/>
              <w:tabs>
                <w:tab w:val="left" w:pos="1134"/>
              </w:tabs>
              <w:rPr>
                <w:rFonts w:ascii="Arial" w:hAnsi="Arial" w:cs="Arial"/>
                <w:color w:val="auto"/>
                <w:sz w:val="22"/>
                <w:szCs w:val="22"/>
                <w:lang w:val="sr-Cyrl-RS"/>
              </w:rPr>
            </w:pPr>
          </w:p>
        </w:tc>
        <w:tc>
          <w:tcPr>
            <w:tcW w:w="4157" w:type="dxa"/>
          </w:tcPr>
          <w:p w:rsidR="00CD4531" w:rsidRPr="005071DE" w:rsidRDefault="00CD4531" w:rsidP="00394020">
            <w:pPr>
              <w:pStyle w:val="Body"/>
              <w:tabs>
                <w:tab w:val="left" w:pos="1134"/>
              </w:tabs>
              <w:jc w:val="center"/>
              <w:rPr>
                <w:rFonts w:ascii="Arial" w:hAnsi="Arial" w:cs="Arial"/>
                <w:b/>
                <w:color w:val="auto"/>
                <w:sz w:val="22"/>
                <w:szCs w:val="22"/>
                <w:lang w:val="sr-Cyrl-RS"/>
              </w:rPr>
            </w:pPr>
            <w:r w:rsidRPr="005071DE">
              <w:rPr>
                <w:rFonts w:ascii="Arial" w:hAnsi="Arial" w:cs="Arial"/>
                <w:b/>
                <w:color w:val="auto"/>
                <w:sz w:val="22"/>
                <w:szCs w:val="22"/>
                <w:lang w:val="sr-Cyrl-RS"/>
              </w:rPr>
              <w:t>ПОВЕРЕНИЦА ЗА ЗАШТИТУ РАВНОПРАВНОСТИ</w:t>
            </w:r>
          </w:p>
          <w:p w:rsidR="00CD4531" w:rsidRPr="005071DE" w:rsidRDefault="00CD4531" w:rsidP="00394020">
            <w:pPr>
              <w:pStyle w:val="Body"/>
              <w:tabs>
                <w:tab w:val="left" w:pos="1134"/>
              </w:tabs>
              <w:jc w:val="center"/>
              <w:rPr>
                <w:rFonts w:ascii="Arial" w:hAnsi="Arial" w:cs="Arial"/>
                <w:color w:val="auto"/>
                <w:sz w:val="22"/>
                <w:szCs w:val="22"/>
                <w:lang w:val="sr-Cyrl-RS"/>
              </w:rPr>
            </w:pPr>
          </w:p>
        </w:tc>
      </w:tr>
      <w:tr w:rsidR="00CD4531" w:rsidRPr="005071DE" w:rsidTr="00394020">
        <w:trPr>
          <w:trHeight w:val="317"/>
        </w:trPr>
        <w:tc>
          <w:tcPr>
            <w:tcW w:w="0" w:type="auto"/>
            <w:vMerge/>
            <w:vAlign w:val="center"/>
            <w:hideMark/>
          </w:tcPr>
          <w:p w:rsidR="00CD4531" w:rsidRPr="005071DE" w:rsidRDefault="00CD4531" w:rsidP="00394020">
            <w:pPr>
              <w:spacing w:after="0" w:line="240" w:lineRule="auto"/>
              <w:rPr>
                <w:rFonts w:ascii="Arial" w:eastAsia="Times New Roman" w:hAnsi="Arial" w:cs="Arial"/>
                <w:lang w:val="sr-Cyrl-RS" w:eastAsia="sr-Cyrl-CS"/>
              </w:rPr>
            </w:pPr>
          </w:p>
        </w:tc>
        <w:tc>
          <w:tcPr>
            <w:tcW w:w="0" w:type="auto"/>
            <w:vMerge/>
            <w:vAlign w:val="center"/>
            <w:hideMark/>
          </w:tcPr>
          <w:p w:rsidR="00CD4531" w:rsidRPr="005071DE" w:rsidRDefault="00CD4531" w:rsidP="00394020">
            <w:pPr>
              <w:spacing w:after="0" w:line="240" w:lineRule="auto"/>
              <w:rPr>
                <w:rFonts w:ascii="Arial" w:eastAsia="ヒラギノ角ゴ Pro W3" w:hAnsi="Arial" w:cs="Arial"/>
                <w:lang w:val="sr-Cyrl-RS" w:eastAsia="sr-Cyrl-CS"/>
              </w:rPr>
            </w:pPr>
          </w:p>
        </w:tc>
        <w:tc>
          <w:tcPr>
            <w:tcW w:w="4157" w:type="dxa"/>
            <w:vAlign w:val="center"/>
            <w:hideMark/>
          </w:tcPr>
          <w:p w:rsidR="00CD4531" w:rsidRPr="005071DE" w:rsidRDefault="00CD4531" w:rsidP="00394020">
            <w:pPr>
              <w:pStyle w:val="Body"/>
              <w:tabs>
                <w:tab w:val="left" w:pos="1134"/>
              </w:tabs>
              <w:jc w:val="center"/>
              <w:rPr>
                <w:rFonts w:ascii="Arial" w:hAnsi="Arial" w:cs="Arial"/>
                <w:b/>
                <w:color w:val="auto"/>
                <w:sz w:val="22"/>
                <w:szCs w:val="22"/>
                <w:lang w:val="sr-Cyrl-RS"/>
              </w:rPr>
            </w:pPr>
            <w:r w:rsidRPr="005071DE">
              <w:rPr>
                <w:rFonts w:ascii="Arial" w:hAnsi="Arial" w:cs="Arial"/>
                <w:b/>
                <w:color w:val="auto"/>
                <w:sz w:val="22"/>
                <w:szCs w:val="22"/>
                <w:lang w:val="sr-Cyrl-RS"/>
              </w:rPr>
              <w:t>Бранкица Јанковић</w:t>
            </w:r>
          </w:p>
          <w:p w:rsidR="00CD4531" w:rsidRPr="005071DE" w:rsidRDefault="00CD4531" w:rsidP="00394020">
            <w:pPr>
              <w:pStyle w:val="Body"/>
              <w:tabs>
                <w:tab w:val="left" w:pos="1134"/>
              </w:tabs>
              <w:jc w:val="center"/>
              <w:rPr>
                <w:rFonts w:ascii="Arial" w:hAnsi="Arial" w:cs="Arial"/>
                <w:b/>
                <w:color w:val="auto"/>
                <w:sz w:val="22"/>
                <w:szCs w:val="22"/>
                <w:lang w:val="sr-Cyrl-RS"/>
              </w:rPr>
            </w:pPr>
          </w:p>
        </w:tc>
      </w:tr>
    </w:tbl>
    <w:p w:rsidR="00CD4531" w:rsidRDefault="00CD4531" w:rsidP="00CD4531">
      <w:pPr>
        <w:spacing w:after="0" w:line="240" w:lineRule="auto"/>
        <w:jc w:val="both"/>
        <w:rPr>
          <w:rFonts w:ascii="Arial" w:hAnsi="Arial" w:cs="Arial"/>
        </w:rPr>
      </w:pPr>
    </w:p>
    <w:sectPr w:rsidR="00CD4531" w:rsidSect="005141A9">
      <w:footerReference w:type="default" r:id="rId10"/>
      <w:footerReference w:type="first" r:id="rId11"/>
      <w:pgSz w:w="11906" w:h="16838"/>
      <w:pgMar w:top="851" w:right="1021" w:bottom="1800" w:left="1021" w:header="709"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36" w:rsidRDefault="005D1936" w:rsidP="00CD4531">
      <w:pPr>
        <w:spacing w:after="0" w:line="240" w:lineRule="auto"/>
      </w:pPr>
      <w:r>
        <w:separator/>
      </w:r>
    </w:p>
  </w:endnote>
  <w:endnote w:type="continuationSeparator" w:id="0">
    <w:p w:rsidR="005D1936" w:rsidRDefault="005D1936" w:rsidP="00CD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0" w:rsidRDefault="00394020">
    <w:pPr>
      <w:pStyle w:val="Footer"/>
    </w:pPr>
    <w:r>
      <w:rPr>
        <w:noProof/>
        <w:lang w:val="sr-Cyrl-RS" w:eastAsia="sr-Cyrl-RS"/>
      </w:rPr>
      <mc:AlternateContent>
        <mc:Choice Requires="wps">
          <w:drawing>
            <wp:anchor distT="152400" distB="152400" distL="152400" distR="152400" simplePos="0" relativeHeight="251659264" behindDoc="0" locked="0" layoutInCell="1" allowOverlap="1">
              <wp:simplePos x="0" y="0"/>
              <wp:positionH relativeFrom="page">
                <wp:posOffset>711200</wp:posOffset>
              </wp:positionH>
              <wp:positionV relativeFrom="page">
                <wp:posOffset>9858375</wp:posOffset>
              </wp:positionV>
              <wp:extent cx="6165850" cy="57150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94020" w:rsidRDefault="00394020" w:rsidP="00394020">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lang w:val="sr-Cyrl-RS"/>
                            </w:rPr>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394020" w:rsidRPr="006560D2" w:rsidRDefault="00394020" w:rsidP="00394020">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332563">
                            <w:rPr>
                              <w:rFonts w:ascii="Arial" w:hAnsi="Arial" w:cs="Arial"/>
                              <w:noProof/>
                              <w:sz w:val="16"/>
                              <w:lang w:val="sr-Cyrl-RS"/>
                            </w:rPr>
                            <w:t>2</w:t>
                          </w:r>
                          <w:r w:rsidRPr="006560D2">
                            <w:rPr>
                              <w:rFonts w:ascii="Arial" w:hAnsi="Arial" w:cs="Arial"/>
                              <w:sz w:val="16"/>
                              <w:lang w:val="sr-Cyrl-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394020" w:rsidRDefault="00394020" w:rsidP="00394020">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lang w:val="sr-Cyrl-RS"/>
                      </w:rPr>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394020" w:rsidRPr="006560D2" w:rsidRDefault="00394020" w:rsidP="00394020">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332563">
                      <w:rPr>
                        <w:rFonts w:ascii="Arial" w:hAnsi="Arial" w:cs="Arial"/>
                        <w:noProof/>
                        <w:sz w:val="16"/>
                        <w:lang w:val="sr-Cyrl-RS"/>
                      </w:rPr>
                      <w:t>2</w:t>
                    </w:r>
                    <w:r w:rsidRPr="006560D2">
                      <w:rPr>
                        <w:rFonts w:ascii="Arial" w:hAnsi="Arial" w:cs="Arial"/>
                        <w:sz w:val="16"/>
                        <w:lang w:val="sr-Cyrl-RS"/>
                      </w:rPr>
                      <w:fldChar w:fldCharType="end"/>
                    </w:r>
                  </w:p>
                </w:txbxContent>
              </v:textbox>
              <w10:wrap type="square" anchorx="page" anchory="page"/>
            </v:rect>
          </w:pict>
        </mc:Fallback>
      </mc:AlternateContent>
    </w:r>
    <w:r>
      <w:rPr>
        <w:noProof/>
        <w:lang w:val="sr-Cyrl-RS" w:eastAsia="sr-Cyrl-RS"/>
      </w:rPr>
      <w:drawing>
        <wp:anchor distT="0" distB="0" distL="114300" distR="114300" simplePos="0" relativeHeight="251660288" behindDoc="0" locked="0" layoutInCell="1" allowOverlap="1">
          <wp:simplePos x="0" y="0"/>
          <wp:positionH relativeFrom="page">
            <wp:posOffset>457200</wp:posOffset>
          </wp:positionH>
          <wp:positionV relativeFrom="page">
            <wp:posOffset>9458325</wp:posOffset>
          </wp:positionV>
          <wp:extent cx="6642100" cy="523875"/>
          <wp:effectExtent l="0" t="0" r="635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0" w:rsidRDefault="00394020">
    <w:pPr>
      <w:pStyle w:val="Footer"/>
    </w:pPr>
    <w:r>
      <w:rPr>
        <w:noProof/>
        <w:lang w:val="sr-Cyrl-RS" w:eastAsia="sr-Cyrl-RS"/>
      </w:rPr>
      <mc:AlternateContent>
        <mc:Choice Requires="wps">
          <w:drawing>
            <wp:anchor distT="152400" distB="152400" distL="152400" distR="152400" simplePos="0" relativeHeight="251662336" behindDoc="0" locked="0" layoutInCell="1" allowOverlap="1">
              <wp:simplePos x="0" y="0"/>
              <wp:positionH relativeFrom="page">
                <wp:posOffset>751205</wp:posOffset>
              </wp:positionH>
              <wp:positionV relativeFrom="page">
                <wp:posOffset>9911715</wp:posOffset>
              </wp:positionV>
              <wp:extent cx="6165850" cy="571500"/>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94020" w:rsidRDefault="00394020" w:rsidP="00394020">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394020" w:rsidRPr="006560D2" w:rsidRDefault="00394020" w:rsidP="00394020">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7" style="position:absolute;margin-left:59.15pt;margin-top:780.45pt;width:485.5pt;height:45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qoAIAAJEFAAAOAAAAZHJzL2Uyb0RvYy54bWysVFFvmzAQfp+0/2D5nQIZIYBCqjaEaVK3&#10;Vev2AxwwwZqxme2EdNP++86mpE2rSdM2HtDZdz7fd9/nW14eO44OVGkmRY7DiwAjKipZM7HL8ZfP&#10;pZdgpA0RNeFS0BzfU40vV69fLYc+ozPZSl5ThSCJ0NnQ57g1ps98X1ct7Yi+kD0V4Gyk6oiBpdr5&#10;tSIDZO+4PwuC2B+kqnslK6o17BajE69c/qahlfnYNJoaxHMMtRn3V+6/tX9/tSTZTpG+ZdVDGeQv&#10;qugIE3DpKVVBDEF7xV6k6lilpJaNuahk58umYRV1GABNGDxDc9eSnjos0Bzdn9qk/1/a6sPhViFW&#10;5zjCSJAOKPoETSNixymKbHuGXmcQddffKgtQ9zey+qrB4Z957EJDDNoO72UNacjeSNeSY6M6exLA&#10;oqPr/P2p8/RoUAWbcRjPkzkQVIFvvgjngaPGJ9l0ulfavKWyQ9bIsYIiXXZyuNHGVkOyKcReJmTJ&#10;OHfscnG2AYHjDtwNR63PVuHI+pEG6SbZJJEXzeKNFwVF4V2V68iLy3AxL94U63UR/rT3hlHWsrqm&#10;wl4zCSeM/oyYBwmPlJ+koyVntU1nS9Jqt11zhQ4EhFu6z5IBxT8J88/LcG7A8gxSOIuC61nqlXGy&#10;8KIymnvpIki8IEyv0ziI0qgozyHdMEH/HRIaYB7MFkCkw/NbcIH7XoIjWccMzAbOuhwnpyCStZTU&#10;G1E7bg1hfLSf9MLW/9gLaNnEtFOsFemoanPcHp30w0nnW1nfg4SVBIWBGGGugdFK9R2jAWZEjvW3&#10;PVEUI/5OwCO0A2Uy1GRsJ4OICo7m2GA0mmszDp59r9iuhcyha42QV/BUGuZUbJ/RWAUgsAt49w7L&#10;w4yyg+Xp2kU9TtLVLwAAAP//AwBQSwMEFAAGAAgAAAAhAAmVgvXdAAAADgEAAA8AAABkcnMvZG93&#10;bnJldi54bWxMT0FOwzAQvCPxB2uRuFG70IYkxKkQCC49AIUHuLGxrcbrKHba8Hu2J7jNzI5mZ5rN&#10;HHp2NGPyESUsFwKYwS5qj1bC1+fLTQksZYVa9RGNhB+TYNNeXjSq1vGEH+a4y5ZRCKZaSXA5DzXn&#10;qXMmqLSIg0G6fccxqEx0tFyP6kThoee3QhQ8KI/0wanBPDnTHXZTkODf7WFaxe2zcujttlq9+dd7&#10;LuX11fz4ACybOf+Z4VyfqkNLnfZxQp1YT3xZ3pGVwLoQFbCzRZQVaXtCxZo03jb8/4z2FwAA//8D&#10;AFBLAQItABQABgAIAAAAIQC2gziS/gAAAOEBAAATAAAAAAAAAAAAAAAAAAAAAABbQ29udGVudF9U&#10;eXBlc10ueG1sUEsBAi0AFAAGAAgAAAAhADj9If/WAAAAlAEAAAsAAAAAAAAAAAAAAAAALwEAAF9y&#10;ZWxzLy5yZWxzUEsBAi0AFAAGAAgAAAAhAObj+GqgAgAAkQUAAA4AAAAAAAAAAAAAAAAALgIAAGRy&#10;cy9lMm9Eb2MueG1sUEsBAi0AFAAGAAgAAAAhAAmVgvXdAAAADgEAAA8AAAAAAAAAAAAAAAAA+gQA&#10;AGRycy9kb3ducmV2LnhtbFBLBQYAAAAABAAEAPMAAAAEBgAAAAA=&#10;" filled="f" stroked="f" strokeweight="1pt">
              <v:path arrowok="t"/>
              <v:textbox inset="0,0,0,0">
                <w:txbxContent>
                  <w:p w:rsidR="00394020" w:rsidRDefault="00394020" w:rsidP="00394020">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394020" w:rsidRPr="006560D2" w:rsidRDefault="00394020" w:rsidP="00394020">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p>
                </w:txbxContent>
              </v:textbox>
              <w10:wrap type="square" anchorx="page" anchory="page"/>
            </v:rect>
          </w:pict>
        </mc:Fallback>
      </mc:AlternateContent>
    </w:r>
    <w:r>
      <w:rPr>
        <w:noProof/>
        <w:lang w:val="sr-Cyrl-RS" w:eastAsia="sr-Cyrl-RS"/>
      </w:rPr>
      <w:drawing>
        <wp:anchor distT="0" distB="0" distL="114300" distR="114300" simplePos="0" relativeHeight="251661312" behindDoc="0" locked="0" layoutInCell="1" allowOverlap="1">
          <wp:simplePos x="0" y="0"/>
          <wp:positionH relativeFrom="page">
            <wp:posOffset>530860</wp:posOffset>
          </wp:positionH>
          <wp:positionV relativeFrom="page">
            <wp:posOffset>9486900</wp:posOffset>
          </wp:positionV>
          <wp:extent cx="6642100" cy="523875"/>
          <wp:effectExtent l="0" t="0" r="635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36" w:rsidRDefault="005D1936" w:rsidP="00CD4531">
      <w:pPr>
        <w:spacing w:after="0" w:line="240" w:lineRule="auto"/>
      </w:pPr>
      <w:r>
        <w:separator/>
      </w:r>
    </w:p>
  </w:footnote>
  <w:footnote w:type="continuationSeparator" w:id="0">
    <w:p w:rsidR="005D1936" w:rsidRDefault="005D1936" w:rsidP="00CD4531">
      <w:pPr>
        <w:spacing w:after="0" w:line="240" w:lineRule="auto"/>
      </w:pPr>
      <w:r>
        <w:continuationSeparator/>
      </w:r>
    </w:p>
  </w:footnote>
  <w:footnote w:id="1">
    <w:p w:rsidR="00394020" w:rsidRDefault="00394020" w:rsidP="00CD4531">
      <w:pPr>
        <w:pStyle w:val="FootnoteText"/>
      </w:pPr>
      <w:r>
        <w:rPr>
          <w:rStyle w:val="FootnoteReference"/>
        </w:rPr>
        <w:footnoteRef/>
      </w:r>
      <w:r>
        <w:t xml:space="preserve"> </w:t>
      </w:r>
      <w:r>
        <w:rPr>
          <w:rFonts w:ascii="Arial" w:hAnsi="Arial" w:cs="Arial"/>
          <w:sz w:val="16"/>
          <w:szCs w:val="16"/>
          <w:lang w:val="sr-Cyrl-RS"/>
        </w:rPr>
        <w:t xml:space="preserve">Закон о забрани дискриминације („Службени гласник РС”, број  22/09, 52/21 члан 1. и члан 33. </w:t>
      </w:r>
      <w:r>
        <w:rPr>
          <w:rFonts w:ascii="Arial" w:hAnsi="Arial" w:cs="Arial"/>
          <w:sz w:val="16"/>
          <w:szCs w:val="16"/>
        </w:rPr>
        <w:t xml:space="preserve">став 1. </w:t>
      </w:r>
      <w:r>
        <w:rPr>
          <w:rFonts w:ascii="Arial" w:hAnsi="Arial" w:cs="Arial"/>
          <w:sz w:val="16"/>
          <w:szCs w:val="16"/>
          <w:lang w:val="sr-Cyrl-RS"/>
        </w:rPr>
        <w:t>тачка 7.)</w:t>
      </w:r>
    </w:p>
  </w:footnote>
  <w:footnote w:id="2">
    <w:p w:rsidR="00394020" w:rsidRPr="00AC5BE4" w:rsidRDefault="00394020" w:rsidP="00602F00">
      <w:pPr>
        <w:pStyle w:val="FootnoteText"/>
        <w:rPr>
          <w:rFonts w:ascii="Arial Narrow" w:hAnsi="Arial Narrow" w:cs="Arial"/>
          <w:sz w:val="16"/>
          <w:szCs w:val="16"/>
          <w:lang w:val="sr-Cyrl-RS"/>
        </w:rPr>
      </w:pPr>
      <w:r w:rsidRPr="00AC5BE4">
        <w:rPr>
          <w:rStyle w:val="FootnoteReference"/>
          <w:rFonts w:ascii="Arial Narrow" w:hAnsi="Arial Narrow" w:cs="Arial"/>
          <w:sz w:val="16"/>
          <w:szCs w:val="16"/>
        </w:rPr>
        <w:footnoteRef/>
      </w:r>
      <w:r w:rsidRPr="00AC5BE4">
        <w:rPr>
          <w:rFonts w:ascii="Arial Narrow" w:hAnsi="Arial Narrow" w:cs="Arial"/>
          <w:sz w:val="16"/>
          <w:szCs w:val="16"/>
          <w:lang w:val="sr-Cyrl-RS"/>
        </w:rPr>
        <w:t xml:space="preserve">  Немачка (</w:t>
      </w:r>
      <w:r w:rsidRPr="00AC5BE4">
        <w:rPr>
          <w:rFonts w:ascii="Arial Narrow" w:hAnsi="Arial Narrow" w:cs="Arial"/>
          <w:sz w:val="16"/>
          <w:szCs w:val="16"/>
        </w:rPr>
        <w:t xml:space="preserve">Germany’s Network Enforcement Law, </w:t>
      </w:r>
      <w:r w:rsidRPr="00AC5BE4">
        <w:rPr>
          <w:rFonts w:ascii="Arial Narrow" w:hAnsi="Arial Narrow" w:cs="Arial"/>
          <w:sz w:val="16"/>
          <w:szCs w:val="16"/>
          <w:lang w:val="sr-Cyrl-RS"/>
        </w:rPr>
        <w:t xml:space="preserve">тзв. </w:t>
      </w:r>
      <w:r w:rsidRPr="00AC5BE4">
        <w:rPr>
          <w:rFonts w:ascii="Arial Narrow" w:hAnsi="Arial Narrow" w:cs="Arial"/>
          <w:sz w:val="16"/>
          <w:szCs w:val="16"/>
        </w:rPr>
        <w:t xml:space="preserve">NetzDG </w:t>
      </w:r>
      <w:r w:rsidRPr="00AC5BE4">
        <w:rPr>
          <w:rFonts w:ascii="Arial Narrow" w:hAnsi="Arial Narrow" w:cs="Arial"/>
          <w:sz w:val="16"/>
          <w:szCs w:val="16"/>
          <w:lang w:val="sr-Cyrl-RS"/>
        </w:rPr>
        <w:t xml:space="preserve">садржај доступан на: </w:t>
      </w:r>
      <w:r w:rsidRPr="00AC5BE4">
        <w:rPr>
          <w:rFonts w:ascii="Arial Narrow" w:hAnsi="Arial Narrow" w:cs="Arial"/>
          <w:sz w:val="16"/>
          <w:szCs w:val="16"/>
        </w:rPr>
        <w:t xml:space="preserve"> </w:t>
      </w:r>
      <w:hyperlink r:id="rId1" w:history="1">
        <w:r w:rsidRPr="00AC5BE4">
          <w:rPr>
            <w:rStyle w:val="Hyperlink"/>
            <w:rFonts w:ascii="Arial Narrow" w:hAnsi="Arial Narrow" w:cs="Arial"/>
            <w:sz w:val="16"/>
            <w:szCs w:val="16"/>
          </w:rPr>
          <w:t>http://dip21.bundestag.de/dip21/btd/18/130/1813013.pdf</w:t>
        </w:r>
      </w:hyperlink>
      <w:r w:rsidRPr="00AC5BE4">
        <w:rPr>
          <w:rFonts w:ascii="Arial Narrow" w:hAnsi="Arial Narrow" w:cs="Arial"/>
          <w:sz w:val="16"/>
          <w:szCs w:val="16"/>
          <w:lang w:val="sr-Cyrl-RS"/>
        </w:rPr>
        <w:t xml:space="preserve"> </w:t>
      </w:r>
    </w:p>
  </w:footnote>
  <w:footnote w:id="3">
    <w:p w:rsidR="00394020" w:rsidRPr="00AC5BE4" w:rsidRDefault="00394020" w:rsidP="00602F00">
      <w:pPr>
        <w:pStyle w:val="FootnoteText"/>
        <w:rPr>
          <w:rFonts w:ascii="Arial Narrow" w:hAnsi="Arial Narrow" w:cs="Arial"/>
          <w:sz w:val="16"/>
          <w:szCs w:val="16"/>
          <w:lang w:val="sr-Latn-RS"/>
        </w:rPr>
      </w:pPr>
      <w:r w:rsidRPr="00AC5BE4">
        <w:rPr>
          <w:rStyle w:val="FootnoteReference"/>
          <w:rFonts w:ascii="Arial Narrow" w:hAnsi="Arial Narrow" w:cs="Arial"/>
          <w:sz w:val="16"/>
          <w:szCs w:val="16"/>
        </w:rPr>
        <w:footnoteRef/>
      </w:r>
      <w:r w:rsidRPr="00AC5BE4">
        <w:rPr>
          <w:rFonts w:ascii="Arial Narrow" w:hAnsi="Arial Narrow" w:cs="Arial"/>
          <w:sz w:val="16"/>
          <w:szCs w:val="16"/>
        </w:rPr>
        <w:t xml:space="preserve"> </w:t>
      </w:r>
      <w:hyperlink r:id="rId2" w:history="1">
        <w:r w:rsidRPr="00AC5BE4">
          <w:rPr>
            <w:rStyle w:val="Hyperlink"/>
            <w:rFonts w:ascii="Arial Narrow" w:hAnsi="Arial Narrow" w:cs="Arial"/>
            <w:sz w:val="16"/>
            <w:szCs w:val="16"/>
          </w:rPr>
          <w:t>https://eur-lex.europa.eu/legal-content/HR/TXT/HTML/?uri=CELEX:32018H0334</w:t>
        </w:r>
      </w:hyperlink>
      <w:r w:rsidRPr="00AC5BE4">
        <w:rPr>
          <w:rFonts w:ascii="Arial Narrow" w:hAnsi="Arial Narrow" w:cs="Arial"/>
          <w:sz w:val="16"/>
          <w:szCs w:val="16"/>
          <w:lang w:val="sr-Latn-RS"/>
        </w:rPr>
        <w:t xml:space="preserve"> </w:t>
      </w:r>
    </w:p>
  </w:footnote>
  <w:footnote w:id="4">
    <w:p w:rsidR="00394020" w:rsidRPr="00AC5BE4" w:rsidRDefault="00394020" w:rsidP="00602F00">
      <w:pPr>
        <w:pStyle w:val="FootnoteText"/>
        <w:rPr>
          <w:rFonts w:ascii="Arial Narrow" w:hAnsi="Arial Narrow" w:cs="Arial"/>
          <w:sz w:val="16"/>
          <w:szCs w:val="16"/>
          <w:lang w:val="sr-Cyrl-RS"/>
        </w:rPr>
      </w:pPr>
      <w:r w:rsidRPr="00AC5BE4">
        <w:rPr>
          <w:rStyle w:val="FootnoteReference"/>
          <w:rFonts w:ascii="Arial Narrow" w:hAnsi="Arial Narrow" w:cs="Arial"/>
          <w:sz w:val="16"/>
          <w:szCs w:val="16"/>
        </w:rPr>
        <w:footnoteRef/>
      </w:r>
      <w:r w:rsidRPr="00AC5BE4">
        <w:rPr>
          <w:rFonts w:ascii="Arial Narrow" w:hAnsi="Arial Narrow" w:cs="Arial"/>
          <w:sz w:val="16"/>
          <w:szCs w:val="16"/>
        </w:rPr>
        <w:t xml:space="preserve"> </w:t>
      </w:r>
      <w:r w:rsidRPr="00AC5BE4">
        <w:rPr>
          <w:rFonts w:ascii="Arial Narrow" w:hAnsi="Arial Narrow" w:cs="Arial"/>
          <w:sz w:val="16"/>
          <w:szCs w:val="16"/>
          <w:lang w:val="sr-Cyrl-RS"/>
        </w:rPr>
        <w:t>Препорука Комисије (ЕУ) 2018/334 од 1. марта 2018. године о мерама за сузбијање незаконитих садржаја на интернету</w:t>
      </w:r>
    </w:p>
  </w:footnote>
  <w:footnote w:id="5">
    <w:p w:rsidR="00394020" w:rsidRPr="00AC5BE4" w:rsidRDefault="00394020" w:rsidP="00602F00">
      <w:pPr>
        <w:pStyle w:val="FootnoteText"/>
        <w:rPr>
          <w:rFonts w:ascii="Arial Narrow" w:hAnsi="Arial Narrow"/>
          <w:lang w:val="sr-Cyrl-RS"/>
        </w:rPr>
      </w:pPr>
      <w:r w:rsidRPr="00AC5BE4">
        <w:rPr>
          <w:rStyle w:val="FootnoteReference"/>
          <w:rFonts w:ascii="Arial Narrow" w:hAnsi="Arial Narrow" w:cs="Arial"/>
          <w:sz w:val="16"/>
          <w:szCs w:val="16"/>
        </w:rPr>
        <w:footnoteRef/>
      </w:r>
      <w:r w:rsidRPr="00AC5BE4">
        <w:rPr>
          <w:rFonts w:ascii="Arial Narrow" w:hAnsi="Arial Narrow" w:cs="Arial"/>
          <w:sz w:val="16"/>
          <w:szCs w:val="16"/>
        </w:rPr>
        <w:t xml:space="preserve"> </w:t>
      </w:r>
      <w:r w:rsidRPr="00AC5BE4">
        <w:rPr>
          <w:rFonts w:ascii="Arial Narrow" w:hAnsi="Arial Narrow" w:cs="Arial"/>
          <w:sz w:val="16"/>
          <w:szCs w:val="16"/>
          <w:lang w:val="sr-Cyrl-RS"/>
        </w:rPr>
        <w:t>Поглавље 2, тачка 18.</w:t>
      </w:r>
      <w:r w:rsidRPr="00AC5BE4">
        <w:rPr>
          <w:rFonts w:ascii="Arial Narrow" w:hAnsi="Arial Narrow" w:cs="Arial"/>
          <w:sz w:val="16"/>
          <w:szCs w:val="16"/>
        </w:rPr>
        <w:t xml:space="preserve"> </w:t>
      </w:r>
      <w:hyperlink r:id="rId3" w:history="1">
        <w:r w:rsidRPr="00AC5BE4">
          <w:rPr>
            <w:rStyle w:val="Hyperlink"/>
            <w:rFonts w:ascii="Arial Narrow" w:hAnsi="Arial Narrow" w:cs="Arial"/>
            <w:sz w:val="16"/>
            <w:szCs w:val="16"/>
          </w:rPr>
          <w:t>https://eur-lex.europa.eu/legal-content/HR/TXT/HTML/?uri=CELEX:32018H0334</w:t>
        </w:r>
      </w:hyperlink>
    </w:p>
  </w:footnote>
  <w:footnote w:id="6">
    <w:p w:rsidR="00394020" w:rsidRPr="00AC5BE4" w:rsidRDefault="00394020" w:rsidP="00602F00">
      <w:pPr>
        <w:pStyle w:val="FootnoteText"/>
        <w:rPr>
          <w:rFonts w:ascii="Arial Narrow" w:hAnsi="Arial Narrow" w:cs="Arial"/>
          <w:sz w:val="16"/>
          <w:szCs w:val="16"/>
          <w:lang w:val="sr-Cyrl-RS"/>
        </w:rPr>
      </w:pPr>
      <w:r w:rsidRPr="00AC5BE4">
        <w:rPr>
          <w:rStyle w:val="FootnoteReference"/>
          <w:rFonts w:ascii="Arial Narrow" w:hAnsi="Arial Narrow" w:cs="Arial"/>
          <w:sz w:val="16"/>
          <w:szCs w:val="16"/>
        </w:rPr>
        <w:footnoteRef/>
      </w:r>
      <w:r w:rsidRPr="00AC5BE4">
        <w:rPr>
          <w:rFonts w:ascii="Arial Narrow" w:hAnsi="Arial Narrow" w:cs="Arial"/>
          <w:sz w:val="16"/>
          <w:szCs w:val="16"/>
        </w:rPr>
        <w:t xml:space="preserve"> </w:t>
      </w:r>
      <w:r w:rsidRPr="00AC5BE4">
        <w:rPr>
          <w:rFonts w:ascii="Arial Narrow" w:hAnsi="Arial Narrow" w:cs="Arial"/>
          <w:sz w:val="16"/>
          <w:szCs w:val="16"/>
          <w:lang w:val="sr-Cyrl-RS"/>
        </w:rPr>
        <w:t xml:space="preserve">садржај доступан на: </w:t>
      </w:r>
      <w:hyperlink r:id="rId4" w:history="1">
        <w:r w:rsidRPr="00AC5BE4">
          <w:rPr>
            <w:rStyle w:val="Hyperlink"/>
            <w:rFonts w:ascii="Arial Narrow" w:hAnsi="Arial Narrow" w:cs="Arial"/>
            <w:sz w:val="16"/>
            <w:szCs w:val="16"/>
          </w:rPr>
          <w:t>https://edri.org/files/privatisedenf/euhatespeechcodeofconduct_20160531.pdf</w:t>
        </w:r>
      </w:hyperlink>
      <w:r w:rsidRPr="00AC5BE4">
        <w:rPr>
          <w:rFonts w:ascii="Arial Narrow" w:hAnsi="Arial Narrow" w:cs="Arial"/>
          <w:sz w:val="16"/>
          <w:szCs w:val="16"/>
          <w:lang w:val="sr-Cyrl-RS"/>
        </w:rPr>
        <w:t xml:space="preserve"> </w:t>
      </w:r>
    </w:p>
  </w:footnote>
  <w:footnote w:id="7">
    <w:p w:rsidR="00394020" w:rsidRPr="00AC5BE4" w:rsidRDefault="00394020" w:rsidP="00602F00">
      <w:pPr>
        <w:pStyle w:val="FootnoteText"/>
        <w:rPr>
          <w:rFonts w:ascii="Arial Narrow" w:hAnsi="Arial Narrow" w:cs="Arial"/>
          <w:sz w:val="16"/>
          <w:szCs w:val="16"/>
        </w:rPr>
      </w:pPr>
      <w:r w:rsidRPr="00AC5BE4">
        <w:rPr>
          <w:rStyle w:val="FootnoteReference"/>
          <w:rFonts w:ascii="Arial Narrow" w:hAnsi="Arial Narrow" w:cs="Arial"/>
          <w:sz w:val="16"/>
          <w:szCs w:val="16"/>
        </w:rPr>
        <w:footnoteRef/>
      </w:r>
      <w:r w:rsidRPr="00AC5BE4">
        <w:rPr>
          <w:rFonts w:ascii="Arial Narrow" w:hAnsi="Arial Narrow" w:cs="Arial"/>
          <w:sz w:val="16"/>
          <w:szCs w:val="16"/>
        </w:rPr>
        <w:t xml:space="preserve"> Уредба (ЕУ) 2022/2065 Европског парламента и Савета од 19. октобра 2022. о јединственом тржишту дигиталних услуга и измени Директиве 2000/31/ЕЦ (Закон о дигиталним услугама) </w:t>
      </w:r>
      <w:hyperlink r:id="rId5" w:history="1">
        <w:r w:rsidRPr="00AC5BE4">
          <w:rPr>
            <w:rStyle w:val="Hyperlink"/>
            <w:rFonts w:ascii="Arial Narrow" w:hAnsi="Arial Narrow" w:cs="Arial"/>
            <w:sz w:val="16"/>
            <w:szCs w:val="16"/>
          </w:rPr>
          <w:t>https://eur-lex.europa.eu/legal-content/EN/TXT/HTML/?uri=CELEX:32022R2065</w:t>
        </w:r>
      </w:hyperlink>
      <w:r w:rsidRPr="00AC5BE4">
        <w:rPr>
          <w:rFonts w:ascii="Arial Narrow" w:hAnsi="Arial Narrow" w:cs="Arial"/>
          <w:sz w:val="16"/>
          <w:szCs w:val="16"/>
        </w:rPr>
        <w:t xml:space="preserve"> </w:t>
      </w:r>
    </w:p>
  </w:footnote>
  <w:footnote w:id="8">
    <w:p w:rsidR="00394020" w:rsidRPr="004556F7" w:rsidRDefault="00394020" w:rsidP="00602F00">
      <w:pPr>
        <w:pStyle w:val="FootnoteText"/>
        <w:rPr>
          <w:rFonts w:ascii="Arial" w:hAnsi="Arial" w:cs="Arial"/>
          <w:sz w:val="16"/>
          <w:szCs w:val="16"/>
          <w:lang w:val="sr-Cyrl-RS"/>
        </w:rPr>
      </w:pPr>
      <w:r w:rsidRPr="00AC5BE4">
        <w:rPr>
          <w:rStyle w:val="FootnoteReference"/>
          <w:rFonts w:ascii="Arial Narrow" w:hAnsi="Arial Narrow" w:cs="Arial"/>
          <w:sz w:val="16"/>
          <w:szCs w:val="16"/>
        </w:rPr>
        <w:footnoteRef/>
      </w:r>
      <w:r w:rsidRPr="00AC5BE4">
        <w:rPr>
          <w:rFonts w:ascii="Arial Narrow" w:hAnsi="Arial Narrow" w:cs="Arial"/>
          <w:sz w:val="16"/>
          <w:szCs w:val="16"/>
        </w:rPr>
        <w:t xml:space="preserve"> </w:t>
      </w:r>
      <w:r w:rsidRPr="00AC5BE4">
        <w:rPr>
          <w:rFonts w:ascii="Arial Narrow" w:hAnsi="Arial Narrow" w:cs="Arial"/>
          <w:sz w:val="16"/>
          <w:szCs w:val="16"/>
          <w:lang w:val="sr-Cyrl-RS"/>
        </w:rPr>
        <w:t xml:space="preserve">Члан 5. став 1 (ц) Уредбе 2022/2065 </w:t>
      </w:r>
      <w:r w:rsidRPr="00AC5BE4">
        <w:rPr>
          <w:rFonts w:ascii="Arial Narrow" w:hAnsi="Arial Narrow" w:cs="Arial"/>
          <w:sz w:val="16"/>
          <w:szCs w:val="16"/>
        </w:rPr>
        <w:t xml:space="preserve">) </w:t>
      </w:r>
      <w:hyperlink r:id="rId6" w:history="1">
        <w:r w:rsidRPr="00AC5BE4">
          <w:rPr>
            <w:rStyle w:val="Hyperlink"/>
            <w:rFonts w:ascii="Arial Narrow" w:hAnsi="Arial Narrow" w:cs="Arial"/>
            <w:sz w:val="16"/>
            <w:szCs w:val="16"/>
          </w:rPr>
          <w:t>https://eur-lex.europa.eu/legal-content/EN/TXT/HTML/?uri=CELEX:32022R2065</w:t>
        </w:r>
      </w:hyperlink>
      <w:r w:rsidRPr="004556F7">
        <w:rPr>
          <w:rFonts w:ascii="Arial" w:hAnsi="Arial" w:cs="Arial"/>
          <w:sz w:val="16"/>
          <w:szCs w:val="16"/>
        </w:rPr>
        <w:t xml:space="preserve"> </w:t>
      </w:r>
    </w:p>
  </w:footnote>
  <w:footnote w:id="9">
    <w:p w:rsidR="00A10D4F" w:rsidRPr="00A10D4F" w:rsidRDefault="00A10D4F" w:rsidP="00A10D4F">
      <w:pPr>
        <w:pStyle w:val="centar"/>
        <w:shd w:val="clear" w:color="auto" w:fill="FFFFFF"/>
        <w:spacing w:before="225" w:beforeAutospacing="0" w:after="120" w:afterAutospacing="0"/>
        <w:jc w:val="both"/>
        <w:rPr>
          <w:rFonts w:asciiTheme="minorHAnsi" w:hAnsiTheme="minorHAnsi" w:cstheme="minorHAnsi"/>
          <w:sz w:val="16"/>
          <w:szCs w:val="16"/>
          <w:lang w:val="sr-Cyrl-RS"/>
        </w:rPr>
      </w:pPr>
      <w:r>
        <w:rPr>
          <w:rStyle w:val="FootnoteReference"/>
        </w:rPr>
        <w:footnoteRef/>
      </w:r>
      <w:r w:rsidRPr="00A10D4F">
        <w:rPr>
          <w:lang w:val="sr-Cyrl-RS"/>
        </w:rPr>
        <w:t xml:space="preserve"> </w:t>
      </w:r>
      <w:r w:rsidRPr="00A10D4F">
        <w:rPr>
          <w:rFonts w:asciiTheme="minorHAnsi" w:hAnsiTheme="minorHAnsi" w:cstheme="minorHAnsi"/>
          <w:sz w:val="16"/>
          <w:szCs w:val="16"/>
          <w:lang w:val="sr-Cyrl-RS"/>
        </w:rPr>
        <w:t>"Службени гласник РС", број 11 од 7. фебруара 2020.</w:t>
      </w:r>
    </w:p>
    <w:p w:rsidR="00A10D4F" w:rsidRPr="00A10D4F" w:rsidRDefault="00A10D4F">
      <w:pPr>
        <w:pStyle w:val="FootnoteText"/>
        <w:rPr>
          <w:lang w:val="sr-Cyrl-R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31"/>
    <w:rsid w:val="00036F90"/>
    <w:rsid w:val="00042BEB"/>
    <w:rsid w:val="000A3B88"/>
    <w:rsid w:val="000E40AD"/>
    <w:rsid w:val="0012093B"/>
    <w:rsid w:val="001337D5"/>
    <w:rsid w:val="00136135"/>
    <w:rsid w:val="001640D6"/>
    <w:rsid w:val="001734E6"/>
    <w:rsid w:val="001907E8"/>
    <w:rsid w:val="00192150"/>
    <w:rsid w:val="00201CB4"/>
    <w:rsid w:val="002025C0"/>
    <w:rsid w:val="002661B3"/>
    <w:rsid w:val="00286B64"/>
    <w:rsid w:val="002A5C2F"/>
    <w:rsid w:val="002F07DD"/>
    <w:rsid w:val="00315FC1"/>
    <w:rsid w:val="00316CC0"/>
    <w:rsid w:val="00332563"/>
    <w:rsid w:val="00346A26"/>
    <w:rsid w:val="00351A2A"/>
    <w:rsid w:val="00394020"/>
    <w:rsid w:val="003A6CD3"/>
    <w:rsid w:val="003E6E82"/>
    <w:rsid w:val="003F331F"/>
    <w:rsid w:val="00436510"/>
    <w:rsid w:val="00464152"/>
    <w:rsid w:val="004C1FC9"/>
    <w:rsid w:val="004C29F9"/>
    <w:rsid w:val="004D299B"/>
    <w:rsid w:val="005141A9"/>
    <w:rsid w:val="00517801"/>
    <w:rsid w:val="005379A9"/>
    <w:rsid w:val="00565D80"/>
    <w:rsid w:val="005B5E45"/>
    <w:rsid w:val="005B79CB"/>
    <w:rsid w:val="005C5566"/>
    <w:rsid w:val="005D1936"/>
    <w:rsid w:val="005D5097"/>
    <w:rsid w:val="00602F00"/>
    <w:rsid w:val="0062366A"/>
    <w:rsid w:val="006575AD"/>
    <w:rsid w:val="00696B90"/>
    <w:rsid w:val="006B67D9"/>
    <w:rsid w:val="006F6B6A"/>
    <w:rsid w:val="00762CF2"/>
    <w:rsid w:val="00810136"/>
    <w:rsid w:val="00861C63"/>
    <w:rsid w:val="00897549"/>
    <w:rsid w:val="008C79CA"/>
    <w:rsid w:val="009419B2"/>
    <w:rsid w:val="0095290A"/>
    <w:rsid w:val="009938AA"/>
    <w:rsid w:val="009B0A1E"/>
    <w:rsid w:val="009C41C4"/>
    <w:rsid w:val="009F1BA3"/>
    <w:rsid w:val="00A10D4F"/>
    <w:rsid w:val="00A81F66"/>
    <w:rsid w:val="00B22ACC"/>
    <w:rsid w:val="00B54779"/>
    <w:rsid w:val="00B566EF"/>
    <w:rsid w:val="00B74D85"/>
    <w:rsid w:val="00BB71C9"/>
    <w:rsid w:val="00BD1C5A"/>
    <w:rsid w:val="00C006F6"/>
    <w:rsid w:val="00C010DE"/>
    <w:rsid w:val="00C12986"/>
    <w:rsid w:val="00C56277"/>
    <w:rsid w:val="00C62DB6"/>
    <w:rsid w:val="00C830A9"/>
    <w:rsid w:val="00C859DD"/>
    <w:rsid w:val="00CB094B"/>
    <w:rsid w:val="00CB699A"/>
    <w:rsid w:val="00CD4531"/>
    <w:rsid w:val="00CD63E4"/>
    <w:rsid w:val="00D229E6"/>
    <w:rsid w:val="00D503D5"/>
    <w:rsid w:val="00D80F81"/>
    <w:rsid w:val="00D870A6"/>
    <w:rsid w:val="00D906B5"/>
    <w:rsid w:val="00E042A8"/>
    <w:rsid w:val="00E244A5"/>
    <w:rsid w:val="00E3036D"/>
    <w:rsid w:val="00E544D3"/>
    <w:rsid w:val="00E87F21"/>
    <w:rsid w:val="00E94F27"/>
    <w:rsid w:val="00EC0A74"/>
    <w:rsid w:val="00EC6D71"/>
    <w:rsid w:val="00F15947"/>
    <w:rsid w:val="00F7057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31"/>
    <w:rPr>
      <w:rFonts w:ascii="Calibri" w:eastAsia="Calibri" w:hAnsi="Calibri" w:cs="Times New Roman"/>
      <w:lang w:val="sr-Cyrl-CS"/>
    </w:rPr>
  </w:style>
  <w:style w:type="paragraph" w:styleId="Heading2">
    <w:name w:val="heading 2"/>
    <w:basedOn w:val="Normal"/>
    <w:link w:val="Heading2Char"/>
    <w:uiPriority w:val="9"/>
    <w:semiHidden/>
    <w:unhideWhenUsed/>
    <w:qFormat/>
    <w:rsid w:val="00315FC1"/>
    <w:pPr>
      <w:keepNext/>
      <w:spacing w:before="40" w:after="0" w:line="240" w:lineRule="auto"/>
      <w:outlineLvl w:val="1"/>
    </w:pPr>
    <w:rPr>
      <w:rFonts w:ascii="Calibri Light" w:eastAsiaTheme="minorHAnsi" w:hAnsi="Calibri Light" w:cs="Calibri Light"/>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453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D4531"/>
    <w:rPr>
      <w:rFonts w:ascii="Calibri" w:eastAsia="Calibri" w:hAnsi="Calibri" w:cs="Times New Roman"/>
      <w:lang w:val="sr-Cyrl-CS"/>
    </w:rPr>
  </w:style>
  <w:style w:type="paragraph" w:customStyle="1" w:styleId="FreeFormAA">
    <w:name w:val="Free Form A A"/>
    <w:rsid w:val="00CD4531"/>
    <w:pPr>
      <w:spacing w:after="0" w:line="240" w:lineRule="auto"/>
    </w:pPr>
    <w:rPr>
      <w:rFonts w:ascii="Helvetica" w:eastAsia="ヒラギノ角ゴ Pro W3" w:hAnsi="Helvetica" w:cs="Times New Roman"/>
      <w:color w:val="000000"/>
      <w:sz w:val="24"/>
      <w:szCs w:val="20"/>
      <w:lang w:val="en-US" w:eastAsia="sr-Cyrl-CS"/>
    </w:rPr>
  </w:style>
  <w:style w:type="paragraph" w:styleId="FootnoteText">
    <w:name w:val="footnote text"/>
    <w:aliases w:val="single space,footnote text Char,footnote text,Footnote Text Char Char Char,Footnote Text Char Char,single space Char,ft Char,ft,Footnote Text Char Char Char Char Char Char Char Char,Footnote Text Char Char Char Char1 Ch,f,5_G,fn,Fußnote,AD"/>
    <w:basedOn w:val="Normal"/>
    <w:link w:val="FootnoteTextChar"/>
    <w:uiPriority w:val="99"/>
    <w:unhideWhenUsed/>
    <w:qFormat/>
    <w:rsid w:val="00CD4531"/>
    <w:pPr>
      <w:spacing w:after="0" w:line="240" w:lineRule="auto"/>
    </w:pPr>
    <w:rPr>
      <w:sz w:val="20"/>
      <w:szCs w:val="20"/>
    </w:rPr>
  </w:style>
  <w:style w:type="character" w:customStyle="1" w:styleId="FootnoteTextChar">
    <w:name w:val="Footnote Text Char"/>
    <w:aliases w:val="single space Char1,footnote text Char Char,footnote text Char1,Footnote Text Char Char Char Char,Footnote Text Char Char Char1,single space Char Char,ft Char Char,ft Char1,Footnote Text Char Char Char Char Char Char Char Char Char"/>
    <w:basedOn w:val="DefaultParagraphFont"/>
    <w:link w:val="FootnoteText"/>
    <w:uiPriority w:val="99"/>
    <w:qFormat/>
    <w:rsid w:val="00CD4531"/>
    <w:rPr>
      <w:rFonts w:ascii="Calibri" w:eastAsia="Calibri" w:hAnsi="Calibri" w:cs="Times New Roman"/>
      <w:sz w:val="20"/>
      <w:szCs w:val="20"/>
      <w:lang w:val="sr-Cyrl-CS"/>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fn Cha, Exposant 3 Point"/>
    <w:link w:val="BVIfnrCharCharCharChar1CharChar"/>
    <w:uiPriority w:val="99"/>
    <w:unhideWhenUsed/>
    <w:qFormat/>
    <w:rsid w:val="00CD4531"/>
    <w:rPr>
      <w:vertAlign w:val="superscript"/>
    </w:rPr>
  </w:style>
  <w:style w:type="paragraph" w:customStyle="1" w:styleId="Body">
    <w:name w:val="Body"/>
    <w:rsid w:val="00CD4531"/>
    <w:pPr>
      <w:spacing w:after="0" w:line="240" w:lineRule="auto"/>
    </w:pPr>
    <w:rPr>
      <w:rFonts w:ascii="Helvetica" w:eastAsia="ヒラギノ角ゴ Pro W3" w:hAnsi="Helvetica" w:cs="Times New Roman"/>
      <w:color w:val="000000"/>
      <w:sz w:val="24"/>
      <w:szCs w:val="20"/>
      <w:lang w:val="en-US" w:eastAsia="sr-Cyrl-C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qFormat/>
    <w:rsid w:val="00CD4531"/>
    <w:pPr>
      <w:spacing w:after="160" w:line="240" w:lineRule="exact"/>
    </w:pPr>
    <w:rPr>
      <w:rFonts w:asciiTheme="minorHAnsi" w:eastAsiaTheme="minorHAnsi" w:hAnsiTheme="minorHAnsi" w:cstheme="minorBidi"/>
      <w:vertAlign w:val="superscript"/>
      <w:lang w:val="sr-Cyrl-RS"/>
    </w:rPr>
  </w:style>
  <w:style w:type="paragraph" w:styleId="BalloonText">
    <w:name w:val="Balloon Text"/>
    <w:basedOn w:val="Normal"/>
    <w:link w:val="BalloonTextChar"/>
    <w:uiPriority w:val="99"/>
    <w:semiHidden/>
    <w:unhideWhenUsed/>
    <w:rsid w:val="00E9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F27"/>
    <w:rPr>
      <w:rFonts w:ascii="Segoe UI" w:eastAsia="Calibri" w:hAnsi="Segoe UI" w:cs="Segoe UI"/>
      <w:sz w:val="18"/>
      <w:szCs w:val="18"/>
      <w:lang w:val="sr-Cyrl-CS"/>
    </w:rPr>
  </w:style>
  <w:style w:type="character" w:customStyle="1" w:styleId="Heading2Char">
    <w:name w:val="Heading 2 Char"/>
    <w:basedOn w:val="DefaultParagraphFont"/>
    <w:link w:val="Heading2"/>
    <w:uiPriority w:val="9"/>
    <w:semiHidden/>
    <w:rsid w:val="00315FC1"/>
    <w:rPr>
      <w:rFonts w:ascii="Calibri Light" w:hAnsi="Calibri Light" w:cs="Calibri Light"/>
      <w:color w:val="2E74B5"/>
      <w:sz w:val="26"/>
      <w:szCs w:val="26"/>
      <w:lang w:val="en-US"/>
    </w:rPr>
  </w:style>
  <w:style w:type="paragraph" w:customStyle="1" w:styleId="Default">
    <w:name w:val="Default"/>
    <w:rsid w:val="00C006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2F07DD"/>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2F07DD"/>
    <w:rPr>
      <w:lang w:val="en-US"/>
    </w:rPr>
  </w:style>
  <w:style w:type="paragraph" w:customStyle="1" w:styleId="oj-doc-ti">
    <w:name w:val="oj-doc-ti"/>
    <w:basedOn w:val="Normal"/>
    <w:rsid w:val="00B5477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602F00"/>
    <w:rPr>
      <w:color w:val="0000FF"/>
      <w:u w:val="single"/>
    </w:rPr>
  </w:style>
  <w:style w:type="character" w:styleId="FollowedHyperlink">
    <w:name w:val="FollowedHyperlink"/>
    <w:basedOn w:val="DefaultParagraphFont"/>
    <w:uiPriority w:val="99"/>
    <w:semiHidden/>
    <w:unhideWhenUsed/>
    <w:rsid w:val="00602F00"/>
    <w:rPr>
      <w:color w:val="800080" w:themeColor="followedHyperlink"/>
      <w:u w:val="single"/>
    </w:rPr>
  </w:style>
  <w:style w:type="paragraph" w:customStyle="1" w:styleId="doc-ti">
    <w:name w:val="doc-ti"/>
    <w:basedOn w:val="Normal"/>
    <w:rsid w:val="00C859D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dluka-zakon">
    <w:name w:val="odluka-zakon"/>
    <w:basedOn w:val="Normal"/>
    <w:rsid w:val="0039402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entar">
    <w:name w:val="centar"/>
    <w:basedOn w:val="Normal"/>
    <w:rsid w:val="0039402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ld">
    <w:name w:val="bold"/>
    <w:basedOn w:val="DefaultParagraphFont"/>
    <w:rsid w:val="00A10D4F"/>
  </w:style>
  <w:style w:type="character" w:customStyle="1" w:styleId="pronadjen">
    <w:name w:val="pronadjen"/>
    <w:basedOn w:val="DefaultParagraphFont"/>
    <w:rsid w:val="00A10D4F"/>
  </w:style>
  <w:style w:type="paragraph" w:customStyle="1" w:styleId="typedudocumentcp">
    <w:name w:val="typedudocument_cp"/>
    <w:basedOn w:val="Normal"/>
    <w:rsid w:val="00861C6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itreobjetcp">
    <w:name w:val="titreobjet_cp"/>
    <w:basedOn w:val="Normal"/>
    <w:rsid w:val="00861C6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
    <w:name w:val="li"/>
    <w:basedOn w:val="Normal"/>
    <w:rsid w:val="0043651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um">
    <w:name w:val="num"/>
    <w:basedOn w:val="DefaultParagraphFont"/>
    <w:rsid w:val="00436510"/>
  </w:style>
  <w:style w:type="paragraph" w:customStyle="1" w:styleId="Normal1">
    <w:name w:val="Normal1"/>
    <w:basedOn w:val="Normal"/>
    <w:rsid w:val="00436510"/>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31"/>
    <w:rPr>
      <w:rFonts w:ascii="Calibri" w:eastAsia="Calibri" w:hAnsi="Calibri" w:cs="Times New Roman"/>
      <w:lang w:val="sr-Cyrl-CS"/>
    </w:rPr>
  </w:style>
  <w:style w:type="paragraph" w:styleId="Heading2">
    <w:name w:val="heading 2"/>
    <w:basedOn w:val="Normal"/>
    <w:link w:val="Heading2Char"/>
    <w:uiPriority w:val="9"/>
    <w:semiHidden/>
    <w:unhideWhenUsed/>
    <w:qFormat/>
    <w:rsid w:val="00315FC1"/>
    <w:pPr>
      <w:keepNext/>
      <w:spacing w:before="40" w:after="0" w:line="240" w:lineRule="auto"/>
      <w:outlineLvl w:val="1"/>
    </w:pPr>
    <w:rPr>
      <w:rFonts w:ascii="Calibri Light" w:eastAsiaTheme="minorHAnsi" w:hAnsi="Calibri Light" w:cs="Calibri Light"/>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453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D4531"/>
    <w:rPr>
      <w:rFonts w:ascii="Calibri" w:eastAsia="Calibri" w:hAnsi="Calibri" w:cs="Times New Roman"/>
      <w:lang w:val="sr-Cyrl-CS"/>
    </w:rPr>
  </w:style>
  <w:style w:type="paragraph" w:customStyle="1" w:styleId="FreeFormAA">
    <w:name w:val="Free Form A A"/>
    <w:rsid w:val="00CD4531"/>
    <w:pPr>
      <w:spacing w:after="0" w:line="240" w:lineRule="auto"/>
    </w:pPr>
    <w:rPr>
      <w:rFonts w:ascii="Helvetica" w:eastAsia="ヒラギノ角ゴ Pro W3" w:hAnsi="Helvetica" w:cs="Times New Roman"/>
      <w:color w:val="000000"/>
      <w:sz w:val="24"/>
      <w:szCs w:val="20"/>
      <w:lang w:val="en-US" w:eastAsia="sr-Cyrl-CS"/>
    </w:rPr>
  </w:style>
  <w:style w:type="paragraph" w:styleId="FootnoteText">
    <w:name w:val="footnote text"/>
    <w:aliases w:val="single space,footnote text Char,footnote text,Footnote Text Char Char Char,Footnote Text Char Char,single space Char,ft Char,ft,Footnote Text Char Char Char Char Char Char Char Char,Footnote Text Char Char Char Char1 Ch,f,5_G,fn,Fußnote,AD"/>
    <w:basedOn w:val="Normal"/>
    <w:link w:val="FootnoteTextChar"/>
    <w:uiPriority w:val="99"/>
    <w:unhideWhenUsed/>
    <w:qFormat/>
    <w:rsid w:val="00CD4531"/>
    <w:pPr>
      <w:spacing w:after="0" w:line="240" w:lineRule="auto"/>
    </w:pPr>
    <w:rPr>
      <w:sz w:val="20"/>
      <w:szCs w:val="20"/>
    </w:rPr>
  </w:style>
  <w:style w:type="character" w:customStyle="1" w:styleId="FootnoteTextChar">
    <w:name w:val="Footnote Text Char"/>
    <w:aliases w:val="single space Char1,footnote text Char Char,footnote text Char1,Footnote Text Char Char Char Char,Footnote Text Char Char Char1,single space Char Char,ft Char Char,ft Char1,Footnote Text Char Char Char Char Char Char Char Char Char"/>
    <w:basedOn w:val="DefaultParagraphFont"/>
    <w:link w:val="FootnoteText"/>
    <w:uiPriority w:val="99"/>
    <w:qFormat/>
    <w:rsid w:val="00CD4531"/>
    <w:rPr>
      <w:rFonts w:ascii="Calibri" w:eastAsia="Calibri" w:hAnsi="Calibri" w:cs="Times New Roman"/>
      <w:sz w:val="20"/>
      <w:szCs w:val="20"/>
      <w:lang w:val="sr-Cyrl-CS"/>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fn Cha, Exposant 3 Point"/>
    <w:link w:val="BVIfnrCharCharCharChar1CharChar"/>
    <w:uiPriority w:val="99"/>
    <w:unhideWhenUsed/>
    <w:qFormat/>
    <w:rsid w:val="00CD4531"/>
    <w:rPr>
      <w:vertAlign w:val="superscript"/>
    </w:rPr>
  </w:style>
  <w:style w:type="paragraph" w:customStyle="1" w:styleId="Body">
    <w:name w:val="Body"/>
    <w:rsid w:val="00CD4531"/>
    <w:pPr>
      <w:spacing w:after="0" w:line="240" w:lineRule="auto"/>
    </w:pPr>
    <w:rPr>
      <w:rFonts w:ascii="Helvetica" w:eastAsia="ヒラギノ角ゴ Pro W3" w:hAnsi="Helvetica" w:cs="Times New Roman"/>
      <w:color w:val="000000"/>
      <w:sz w:val="24"/>
      <w:szCs w:val="20"/>
      <w:lang w:val="en-US" w:eastAsia="sr-Cyrl-C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qFormat/>
    <w:rsid w:val="00CD4531"/>
    <w:pPr>
      <w:spacing w:after="160" w:line="240" w:lineRule="exact"/>
    </w:pPr>
    <w:rPr>
      <w:rFonts w:asciiTheme="minorHAnsi" w:eastAsiaTheme="minorHAnsi" w:hAnsiTheme="minorHAnsi" w:cstheme="minorBidi"/>
      <w:vertAlign w:val="superscript"/>
      <w:lang w:val="sr-Cyrl-RS"/>
    </w:rPr>
  </w:style>
  <w:style w:type="paragraph" w:styleId="BalloonText">
    <w:name w:val="Balloon Text"/>
    <w:basedOn w:val="Normal"/>
    <w:link w:val="BalloonTextChar"/>
    <w:uiPriority w:val="99"/>
    <w:semiHidden/>
    <w:unhideWhenUsed/>
    <w:rsid w:val="00E9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F27"/>
    <w:rPr>
      <w:rFonts w:ascii="Segoe UI" w:eastAsia="Calibri" w:hAnsi="Segoe UI" w:cs="Segoe UI"/>
      <w:sz w:val="18"/>
      <w:szCs w:val="18"/>
      <w:lang w:val="sr-Cyrl-CS"/>
    </w:rPr>
  </w:style>
  <w:style w:type="character" w:customStyle="1" w:styleId="Heading2Char">
    <w:name w:val="Heading 2 Char"/>
    <w:basedOn w:val="DefaultParagraphFont"/>
    <w:link w:val="Heading2"/>
    <w:uiPriority w:val="9"/>
    <w:semiHidden/>
    <w:rsid w:val="00315FC1"/>
    <w:rPr>
      <w:rFonts w:ascii="Calibri Light" w:hAnsi="Calibri Light" w:cs="Calibri Light"/>
      <w:color w:val="2E74B5"/>
      <w:sz w:val="26"/>
      <w:szCs w:val="26"/>
      <w:lang w:val="en-US"/>
    </w:rPr>
  </w:style>
  <w:style w:type="paragraph" w:customStyle="1" w:styleId="Default">
    <w:name w:val="Default"/>
    <w:rsid w:val="00C006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2F07DD"/>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2F07DD"/>
    <w:rPr>
      <w:lang w:val="en-US"/>
    </w:rPr>
  </w:style>
  <w:style w:type="paragraph" w:customStyle="1" w:styleId="oj-doc-ti">
    <w:name w:val="oj-doc-ti"/>
    <w:basedOn w:val="Normal"/>
    <w:rsid w:val="00B5477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602F00"/>
    <w:rPr>
      <w:color w:val="0000FF"/>
      <w:u w:val="single"/>
    </w:rPr>
  </w:style>
  <w:style w:type="character" w:styleId="FollowedHyperlink">
    <w:name w:val="FollowedHyperlink"/>
    <w:basedOn w:val="DefaultParagraphFont"/>
    <w:uiPriority w:val="99"/>
    <w:semiHidden/>
    <w:unhideWhenUsed/>
    <w:rsid w:val="00602F00"/>
    <w:rPr>
      <w:color w:val="800080" w:themeColor="followedHyperlink"/>
      <w:u w:val="single"/>
    </w:rPr>
  </w:style>
  <w:style w:type="paragraph" w:customStyle="1" w:styleId="doc-ti">
    <w:name w:val="doc-ti"/>
    <w:basedOn w:val="Normal"/>
    <w:rsid w:val="00C859D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dluka-zakon">
    <w:name w:val="odluka-zakon"/>
    <w:basedOn w:val="Normal"/>
    <w:rsid w:val="0039402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entar">
    <w:name w:val="centar"/>
    <w:basedOn w:val="Normal"/>
    <w:rsid w:val="0039402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ld">
    <w:name w:val="bold"/>
    <w:basedOn w:val="DefaultParagraphFont"/>
    <w:rsid w:val="00A10D4F"/>
  </w:style>
  <w:style w:type="character" w:customStyle="1" w:styleId="pronadjen">
    <w:name w:val="pronadjen"/>
    <w:basedOn w:val="DefaultParagraphFont"/>
    <w:rsid w:val="00A10D4F"/>
  </w:style>
  <w:style w:type="paragraph" w:customStyle="1" w:styleId="typedudocumentcp">
    <w:name w:val="typedudocument_cp"/>
    <w:basedOn w:val="Normal"/>
    <w:rsid w:val="00861C6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itreobjetcp">
    <w:name w:val="titreobjet_cp"/>
    <w:basedOn w:val="Normal"/>
    <w:rsid w:val="00861C6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
    <w:name w:val="li"/>
    <w:basedOn w:val="Normal"/>
    <w:rsid w:val="0043651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um">
    <w:name w:val="num"/>
    <w:basedOn w:val="DefaultParagraphFont"/>
    <w:rsid w:val="00436510"/>
  </w:style>
  <w:style w:type="paragraph" w:customStyle="1" w:styleId="Normal1">
    <w:name w:val="Normal1"/>
    <w:basedOn w:val="Normal"/>
    <w:rsid w:val="0043651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412">
      <w:bodyDiv w:val="1"/>
      <w:marLeft w:val="0"/>
      <w:marRight w:val="0"/>
      <w:marTop w:val="0"/>
      <w:marBottom w:val="0"/>
      <w:divBdr>
        <w:top w:val="none" w:sz="0" w:space="0" w:color="auto"/>
        <w:left w:val="none" w:sz="0" w:space="0" w:color="auto"/>
        <w:bottom w:val="none" w:sz="0" w:space="0" w:color="auto"/>
        <w:right w:val="none" w:sz="0" w:space="0" w:color="auto"/>
      </w:divBdr>
    </w:div>
    <w:div w:id="446628584">
      <w:bodyDiv w:val="1"/>
      <w:marLeft w:val="0"/>
      <w:marRight w:val="0"/>
      <w:marTop w:val="0"/>
      <w:marBottom w:val="0"/>
      <w:divBdr>
        <w:top w:val="none" w:sz="0" w:space="0" w:color="auto"/>
        <w:left w:val="none" w:sz="0" w:space="0" w:color="auto"/>
        <w:bottom w:val="none" w:sz="0" w:space="0" w:color="auto"/>
        <w:right w:val="none" w:sz="0" w:space="0" w:color="auto"/>
      </w:divBdr>
    </w:div>
    <w:div w:id="656038911">
      <w:bodyDiv w:val="1"/>
      <w:marLeft w:val="0"/>
      <w:marRight w:val="0"/>
      <w:marTop w:val="0"/>
      <w:marBottom w:val="0"/>
      <w:divBdr>
        <w:top w:val="none" w:sz="0" w:space="0" w:color="auto"/>
        <w:left w:val="none" w:sz="0" w:space="0" w:color="auto"/>
        <w:bottom w:val="none" w:sz="0" w:space="0" w:color="auto"/>
        <w:right w:val="none" w:sz="0" w:space="0" w:color="auto"/>
      </w:divBdr>
      <w:divsChild>
        <w:div w:id="804784878">
          <w:marLeft w:val="0"/>
          <w:marRight w:val="0"/>
          <w:marTop w:val="0"/>
          <w:marBottom w:val="0"/>
          <w:divBdr>
            <w:top w:val="none" w:sz="0" w:space="0" w:color="auto"/>
            <w:left w:val="none" w:sz="0" w:space="0" w:color="auto"/>
            <w:bottom w:val="none" w:sz="0" w:space="0" w:color="auto"/>
            <w:right w:val="none" w:sz="0" w:space="0" w:color="auto"/>
          </w:divBdr>
        </w:div>
        <w:div w:id="1210150407">
          <w:marLeft w:val="0"/>
          <w:marRight w:val="0"/>
          <w:marTop w:val="0"/>
          <w:marBottom w:val="0"/>
          <w:divBdr>
            <w:top w:val="none" w:sz="0" w:space="0" w:color="auto"/>
            <w:left w:val="none" w:sz="0" w:space="0" w:color="auto"/>
            <w:bottom w:val="none" w:sz="0" w:space="0" w:color="auto"/>
            <w:right w:val="none" w:sz="0" w:space="0" w:color="auto"/>
          </w:divBdr>
        </w:div>
      </w:divsChild>
    </w:div>
    <w:div w:id="656571235">
      <w:bodyDiv w:val="1"/>
      <w:marLeft w:val="0"/>
      <w:marRight w:val="0"/>
      <w:marTop w:val="0"/>
      <w:marBottom w:val="0"/>
      <w:divBdr>
        <w:top w:val="none" w:sz="0" w:space="0" w:color="auto"/>
        <w:left w:val="none" w:sz="0" w:space="0" w:color="auto"/>
        <w:bottom w:val="none" w:sz="0" w:space="0" w:color="auto"/>
        <w:right w:val="none" w:sz="0" w:space="0" w:color="auto"/>
      </w:divBdr>
      <w:divsChild>
        <w:div w:id="624385151">
          <w:marLeft w:val="0"/>
          <w:marRight w:val="0"/>
          <w:marTop w:val="0"/>
          <w:marBottom w:val="0"/>
          <w:divBdr>
            <w:top w:val="none" w:sz="0" w:space="0" w:color="auto"/>
            <w:left w:val="none" w:sz="0" w:space="0" w:color="auto"/>
            <w:bottom w:val="none" w:sz="0" w:space="0" w:color="auto"/>
            <w:right w:val="none" w:sz="0" w:space="0" w:color="auto"/>
          </w:divBdr>
        </w:div>
      </w:divsChild>
    </w:div>
    <w:div w:id="842672727">
      <w:bodyDiv w:val="1"/>
      <w:marLeft w:val="0"/>
      <w:marRight w:val="0"/>
      <w:marTop w:val="0"/>
      <w:marBottom w:val="0"/>
      <w:divBdr>
        <w:top w:val="none" w:sz="0" w:space="0" w:color="auto"/>
        <w:left w:val="none" w:sz="0" w:space="0" w:color="auto"/>
        <w:bottom w:val="none" w:sz="0" w:space="0" w:color="auto"/>
        <w:right w:val="none" w:sz="0" w:space="0" w:color="auto"/>
      </w:divBdr>
    </w:div>
    <w:div w:id="875697095">
      <w:bodyDiv w:val="1"/>
      <w:marLeft w:val="0"/>
      <w:marRight w:val="0"/>
      <w:marTop w:val="0"/>
      <w:marBottom w:val="0"/>
      <w:divBdr>
        <w:top w:val="none" w:sz="0" w:space="0" w:color="auto"/>
        <w:left w:val="none" w:sz="0" w:space="0" w:color="auto"/>
        <w:bottom w:val="none" w:sz="0" w:space="0" w:color="auto"/>
        <w:right w:val="none" w:sz="0" w:space="0" w:color="auto"/>
      </w:divBdr>
    </w:div>
    <w:div w:id="1319187707">
      <w:bodyDiv w:val="1"/>
      <w:marLeft w:val="0"/>
      <w:marRight w:val="0"/>
      <w:marTop w:val="0"/>
      <w:marBottom w:val="0"/>
      <w:divBdr>
        <w:top w:val="none" w:sz="0" w:space="0" w:color="auto"/>
        <w:left w:val="none" w:sz="0" w:space="0" w:color="auto"/>
        <w:bottom w:val="none" w:sz="0" w:space="0" w:color="auto"/>
        <w:right w:val="none" w:sz="0" w:space="0" w:color="auto"/>
      </w:divBdr>
      <w:divsChild>
        <w:div w:id="789594859">
          <w:marLeft w:val="0"/>
          <w:marRight w:val="0"/>
          <w:marTop w:val="0"/>
          <w:marBottom w:val="0"/>
          <w:divBdr>
            <w:top w:val="none" w:sz="0" w:space="0" w:color="auto"/>
            <w:left w:val="none" w:sz="0" w:space="0" w:color="auto"/>
            <w:bottom w:val="none" w:sz="0" w:space="0" w:color="auto"/>
            <w:right w:val="none" w:sz="0" w:space="0" w:color="auto"/>
          </w:divBdr>
        </w:div>
      </w:divsChild>
    </w:div>
    <w:div w:id="1576159425">
      <w:bodyDiv w:val="1"/>
      <w:marLeft w:val="0"/>
      <w:marRight w:val="0"/>
      <w:marTop w:val="0"/>
      <w:marBottom w:val="0"/>
      <w:divBdr>
        <w:top w:val="none" w:sz="0" w:space="0" w:color="auto"/>
        <w:left w:val="none" w:sz="0" w:space="0" w:color="auto"/>
        <w:bottom w:val="none" w:sz="0" w:space="0" w:color="auto"/>
        <w:right w:val="none" w:sz="0" w:space="0" w:color="auto"/>
      </w:divBdr>
    </w:div>
    <w:div w:id="1704213436">
      <w:bodyDiv w:val="1"/>
      <w:marLeft w:val="0"/>
      <w:marRight w:val="0"/>
      <w:marTop w:val="0"/>
      <w:marBottom w:val="0"/>
      <w:divBdr>
        <w:top w:val="none" w:sz="0" w:space="0" w:color="auto"/>
        <w:left w:val="none" w:sz="0" w:space="0" w:color="auto"/>
        <w:bottom w:val="none" w:sz="0" w:space="0" w:color="auto"/>
        <w:right w:val="none" w:sz="0" w:space="0" w:color="auto"/>
      </w:divBdr>
    </w:div>
    <w:div w:id="17247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HR/TXT/HTML/?uri=CELEX:32018H0334" TargetMode="External"/><Relationship Id="rId2" Type="http://schemas.openxmlformats.org/officeDocument/2006/relationships/hyperlink" Target="https://eur-lex.europa.eu/legal-content/HR/TXT/HTML/?uri=CELEX:32018H0334" TargetMode="External"/><Relationship Id="rId1" Type="http://schemas.openxmlformats.org/officeDocument/2006/relationships/hyperlink" Target="http://dip21.bundestag.de/dip21/btd/18/130/1813013.pdf" TargetMode="External"/><Relationship Id="rId6" Type="http://schemas.openxmlformats.org/officeDocument/2006/relationships/hyperlink" Target="https://eur-lex.europa.eu/legal-content/EN/TXT/HTML/?uri=CELEX:32022R2065" TargetMode="External"/><Relationship Id="rId5" Type="http://schemas.openxmlformats.org/officeDocument/2006/relationships/hyperlink" Target="https://eur-lex.europa.eu/legal-content/EN/TXT/HTML/?uri=CELEX:32022R2065" TargetMode="External"/><Relationship Id="rId4" Type="http://schemas.openxmlformats.org/officeDocument/2006/relationships/hyperlink" Target="https://edri.org/files/privatisedenf/euhatespeechcodeofconduct_201605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A49E-5CD2-44C1-9924-99FEDF07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Poverenik 70</dc:creator>
  <cp:lastModifiedBy>Windows User</cp:lastModifiedBy>
  <cp:revision>2</cp:revision>
  <cp:lastPrinted>2025-05-29T09:18:00Z</cp:lastPrinted>
  <dcterms:created xsi:type="dcterms:W3CDTF">2025-06-02T08:30:00Z</dcterms:created>
  <dcterms:modified xsi:type="dcterms:W3CDTF">2025-06-02T08:30:00Z</dcterms:modified>
</cp:coreProperties>
</file>