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95"/>
        <w:tblW w:w="10080" w:type="dxa"/>
        <w:tblBorders>
          <w:bottom w:val="single" w:sz="4" w:space="0" w:color="auto"/>
        </w:tblBorders>
        <w:tblLook w:val="04A0" w:firstRow="1" w:lastRow="0" w:firstColumn="1" w:lastColumn="0" w:noHBand="0" w:noVBand="1"/>
      </w:tblPr>
      <w:tblGrid>
        <w:gridCol w:w="388"/>
        <w:gridCol w:w="1012"/>
        <w:gridCol w:w="939"/>
        <w:gridCol w:w="3960"/>
        <w:gridCol w:w="3781"/>
      </w:tblGrid>
      <w:tr w:rsidR="005D33F4" w:rsidRPr="00882240" w:rsidTr="005F6416">
        <w:tc>
          <w:tcPr>
            <w:tcW w:w="2324" w:type="dxa"/>
            <w:gridSpan w:val="3"/>
          </w:tcPr>
          <w:p w:rsidR="005D33F4" w:rsidRPr="00882240" w:rsidRDefault="005D33F4" w:rsidP="00CF1E47">
            <w:pPr>
              <w:spacing w:after="0" w:line="240" w:lineRule="auto"/>
              <w:rPr>
                <w:noProof/>
                <w:lang w:val="sr-Cyrl-RS"/>
              </w:rPr>
            </w:pPr>
            <w:r w:rsidRPr="00882240">
              <w:rPr>
                <w:noProof/>
                <w:lang w:val="en-US"/>
              </w:rPr>
              <w:drawing>
                <wp:anchor distT="152400" distB="152400" distL="152400" distR="152400" simplePos="0" relativeHeight="251659264" behindDoc="0" locked="0" layoutInCell="1" allowOverlap="1" wp14:anchorId="6028CE29" wp14:editId="1879F69B">
                  <wp:simplePos x="0" y="0"/>
                  <wp:positionH relativeFrom="page">
                    <wp:posOffset>-53340</wp:posOffset>
                  </wp:positionH>
                  <wp:positionV relativeFrom="page">
                    <wp:posOffset>8255</wp:posOffset>
                  </wp:positionV>
                  <wp:extent cx="1101090" cy="1362075"/>
                  <wp:effectExtent l="0" t="0" r="3810" b="9525"/>
                  <wp:wrapThrough wrapText="bothSides">
                    <wp:wrapPolygon edited="0">
                      <wp:start x="0" y="0"/>
                      <wp:lineTo x="0" y="21449"/>
                      <wp:lineTo x="21301" y="21449"/>
                      <wp:lineTo x="2130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09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2" w:type="dxa"/>
          </w:tcPr>
          <w:p w:rsidR="005D33F4" w:rsidRPr="00882240" w:rsidRDefault="005D33F4" w:rsidP="00CF1E47">
            <w:pPr>
              <w:spacing w:after="0" w:line="240" w:lineRule="auto"/>
              <w:rPr>
                <w:noProof/>
                <w:lang w:val="sr-Cyrl-RS"/>
              </w:rPr>
            </w:pPr>
          </w:p>
        </w:tc>
        <w:tc>
          <w:tcPr>
            <w:tcW w:w="3784" w:type="dxa"/>
          </w:tcPr>
          <w:p w:rsidR="005D33F4" w:rsidRPr="00882240" w:rsidRDefault="005D33F4" w:rsidP="00CF1E47">
            <w:pPr>
              <w:spacing w:after="0" w:line="240" w:lineRule="auto"/>
              <w:jc w:val="center"/>
              <w:rPr>
                <w:noProof/>
                <w:lang w:val="sr-Cyrl-RS"/>
              </w:rPr>
            </w:pPr>
            <w:r w:rsidRPr="00882240">
              <w:rPr>
                <w:noProof/>
                <w:lang w:val="en-US"/>
              </w:rPr>
              <w:drawing>
                <wp:anchor distT="152400" distB="152400" distL="152400" distR="152400" simplePos="0" relativeHeight="251660288" behindDoc="0" locked="0" layoutInCell="1" allowOverlap="1" wp14:anchorId="597DA4E4" wp14:editId="442BB3A4">
                  <wp:simplePos x="0" y="0"/>
                  <wp:positionH relativeFrom="page">
                    <wp:posOffset>673100</wp:posOffset>
                  </wp:positionH>
                  <wp:positionV relativeFrom="page">
                    <wp:posOffset>357505</wp:posOffset>
                  </wp:positionV>
                  <wp:extent cx="1689100" cy="561975"/>
                  <wp:effectExtent l="0" t="0" r="6350" b="9525"/>
                  <wp:wrapThrough wrapText="bothSides">
                    <wp:wrapPolygon edited="0">
                      <wp:start x="0" y="0"/>
                      <wp:lineTo x="0" y="21234"/>
                      <wp:lineTo x="21438" y="21234"/>
                      <wp:lineTo x="214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D33F4" w:rsidRPr="00BF7052" w:rsidTr="005F6416">
        <w:tc>
          <w:tcPr>
            <w:tcW w:w="388" w:type="dxa"/>
          </w:tcPr>
          <w:p w:rsidR="005D33F4" w:rsidRPr="00882240" w:rsidRDefault="005D33F4" w:rsidP="00CF1E47">
            <w:pPr>
              <w:spacing w:after="0" w:line="240" w:lineRule="auto"/>
              <w:rPr>
                <w:rFonts w:ascii="Arial" w:hAnsi="Arial" w:cs="Arial"/>
                <w:noProof/>
                <w:sz w:val="20"/>
                <w:szCs w:val="20"/>
                <w:lang w:val="sr-Cyrl-RS"/>
              </w:rPr>
            </w:pPr>
          </w:p>
        </w:tc>
        <w:tc>
          <w:tcPr>
            <w:tcW w:w="996" w:type="dxa"/>
            <w:noWrap/>
            <w:tcMar>
              <w:left w:w="0" w:type="dxa"/>
              <w:right w:w="0" w:type="dxa"/>
            </w:tcMar>
          </w:tcPr>
          <w:p w:rsidR="005D33F4" w:rsidRPr="00BF7052" w:rsidRDefault="00387942" w:rsidP="00CF1E47">
            <w:pPr>
              <w:spacing w:after="0" w:line="240" w:lineRule="auto"/>
              <w:jc w:val="center"/>
              <w:rPr>
                <w:rFonts w:ascii="Arial" w:hAnsi="Arial" w:cs="Arial"/>
                <w:noProof/>
                <w:sz w:val="18"/>
                <w:szCs w:val="18"/>
                <w:lang w:val="en-US"/>
              </w:rPr>
            </w:pPr>
            <w:r w:rsidRPr="00BF7052">
              <w:rPr>
                <w:rFonts w:ascii="Arial" w:hAnsi="Arial" w:cs="Arial"/>
                <w:noProof/>
                <w:sz w:val="18"/>
                <w:szCs w:val="18"/>
                <w:lang w:val="en-US"/>
              </w:rPr>
              <w:t>MT</w:t>
            </w:r>
          </w:p>
          <w:p w:rsidR="005D33F4" w:rsidRPr="00BF7052" w:rsidRDefault="005D33F4" w:rsidP="00CF1E47">
            <w:pPr>
              <w:spacing w:after="0" w:line="240" w:lineRule="auto"/>
              <w:jc w:val="center"/>
              <w:rPr>
                <w:rFonts w:ascii="Arial" w:hAnsi="Arial" w:cs="Arial"/>
                <w:noProof/>
                <w:sz w:val="18"/>
                <w:szCs w:val="18"/>
                <w:lang w:val="sr-Latn-CS"/>
              </w:rPr>
            </w:pPr>
          </w:p>
        </w:tc>
        <w:tc>
          <w:tcPr>
            <w:tcW w:w="940" w:type="dxa"/>
          </w:tcPr>
          <w:p w:rsidR="005D33F4" w:rsidRPr="00BF7052" w:rsidRDefault="005D33F4" w:rsidP="00CF1E47">
            <w:pPr>
              <w:spacing w:after="0" w:line="240" w:lineRule="auto"/>
              <w:rPr>
                <w:rFonts w:ascii="Arial" w:hAnsi="Arial" w:cs="Arial"/>
                <w:noProof/>
                <w:sz w:val="20"/>
                <w:szCs w:val="20"/>
                <w:lang w:val="sr-Cyrl-RS"/>
              </w:rPr>
            </w:pPr>
          </w:p>
        </w:tc>
        <w:tc>
          <w:tcPr>
            <w:tcW w:w="3972" w:type="dxa"/>
          </w:tcPr>
          <w:p w:rsidR="005D33F4" w:rsidRPr="00BF7052" w:rsidRDefault="005D33F4" w:rsidP="00CF1E47">
            <w:pPr>
              <w:spacing w:after="0" w:line="240" w:lineRule="auto"/>
              <w:rPr>
                <w:noProof/>
                <w:lang w:val="sr-Cyrl-RS"/>
              </w:rPr>
            </w:pPr>
          </w:p>
        </w:tc>
        <w:tc>
          <w:tcPr>
            <w:tcW w:w="3784" w:type="dxa"/>
          </w:tcPr>
          <w:p w:rsidR="005D33F4" w:rsidRPr="00BF7052" w:rsidRDefault="005D33F4" w:rsidP="00CF1E47">
            <w:pPr>
              <w:spacing w:after="0" w:line="240" w:lineRule="auto"/>
              <w:jc w:val="center"/>
              <w:rPr>
                <w:noProof/>
                <w:lang w:val="sr-Cyrl-RS"/>
              </w:rPr>
            </w:pPr>
          </w:p>
        </w:tc>
      </w:tr>
    </w:tbl>
    <w:p w:rsidR="005D33F4" w:rsidRPr="00882240" w:rsidRDefault="00C731B0" w:rsidP="00CF1E47">
      <w:pPr>
        <w:pStyle w:val="FreeFormAA"/>
        <w:rPr>
          <w:rFonts w:ascii="Arial" w:hAnsi="Arial"/>
          <w:noProof/>
          <w:spacing w:val="-1"/>
          <w:sz w:val="20"/>
          <w:lang w:val="sr-Cyrl-RS"/>
        </w:rPr>
      </w:pPr>
      <w:r w:rsidRPr="00BF7052">
        <w:rPr>
          <w:rFonts w:ascii="Arial" w:hAnsi="Arial"/>
          <w:noProof/>
          <w:spacing w:val="-1"/>
          <w:sz w:val="20"/>
          <w:lang w:val="sr-Cyrl-RS"/>
        </w:rPr>
        <w:t xml:space="preserve">бр. </w:t>
      </w:r>
      <w:r w:rsidR="00BF7052">
        <w:rPr>
          <w:rFonts w:ascii="Arial" w:hAnsi="Arial"/>
          <w:noProof/>
          <w:spacing w:val="-1"/>
          <w:sz w:val="20"/>
        </w:rPr>
        <w:t>0</w:t>
      </w:r>
      <w:r w:rsidR="00BF7052">
        <w:rPr>
          <w:rFonts w:ascii="Arial" w:hAnsi="Arial"/>
          <w:noProof/>
          <w:spacing w:val="-1"/>
          <w:sz w:val="20"/>
          <w:lang w:val="sr-Cyrl-RS"/>
        </w:rPr>
        <w:t>21</w:t>
      </w:r>
      <w:r w:rsidR="00387942" w:rsidRPr="00BF7052">
        <w:rPr>
          <w:rFonts w:ascii="Arial" w:hAnsi="Arial"/>
          <w:noProof/>
          <w:spacing w:val="-1"/>
          <w:sz w:val="20"/>
        </w:rPr>
        <w:t>-0</w:t>
      </w:r>
      <w:r w:rsidR="00BF7052">
        <w:rPr>
          <w:rFonts w:ascii="Arial" w:hAnsi="Arial"/>
          <w:noProof/>
          <w:spacing w:val="-1"/>
          <w:sz w:val="20"/>
          <w:lang w:val="sr-Cyrl-RS"/>
        </w:rPr>
        <w:t>1</w:t>
      </w:r>
      <w:r w:rsidR="00E03299" w:rsidRPr="00BF7052">
        <w:rPr>
          <w:rFonts w:ascii="Arial" w:hAnsi="Arial"/>
          <w:noProof/>
          <w:spacing w:val="-1"/>
          <w:sz w:val="20"/>
        </w:rPr>
        <w:t>-</w:t>
      </w:r>
      <w:r w:rsidR="00387942" w:rsidRPr="00BF7052">
        <w:rPr>
          <w:rFonts w:ascii="Arial" w:hAnsi="Arial"/>
          <w:noProof/>
          <w:spacing w:val="-1"/>
          <w:sz w:val="20"/>
        </w:rPr>
        <w:t>0</w:t>
      </w:r>
      <w:r w:rsidR="00BF7052">
        <w:rPr>
          <w:rFonts w:ascii="Arial" w:hAnsi="Arial"/>
          <w:noProof/>
          <w:spacing w:val="-1"/>
          <w:sz w:val="20"/>
          <w:lang w:val="sr-Cyrl-RS"/>
        </w:rPr>
        <w:t>2314</w:t>
      </w:r>
      <w:r w:rsidR="00E52499" w:rsidRPr="00BF7052">
        <w:rPr>
          <w:rFonts w:ascii="Arial" w:hAnsi="Arial"/>
          <w:noProof/>
          <w:spacing w:val="-1"/>
          <w:sz w:val="20"/>
          <w:lang w:val="sr-Cyrl-RS"/>
        </w:rPr>
        <w:t>/202</w:t>
      </w:r>
      <w:r w:rsidR="00E52499" w:rsidRPr="00BF7052">
        <w:rPr>
          <w:rFonts w:ascii="Arial" w:hAnsi="Arial"/>
          <w:noProof/>
          <w:spacing w:val="-1"/>
          <w:sz w:val="20"/>
          <w:lang w:val="sr-Latn-CS"/>
        </w:rPr>
        <w:t>4</w:t>
      </w:r>
      <w:r w:rsidR="005D33F4" w:rsidRPr="00BF7052">
        <w:rPr>
          <w:rFonts w:ascii="Arial" w:hAnsi="Arial"/>
          <w:noProof/>
          <w:spacing w:val="-1"/>
          <w:sz w:val="20"/>
          <w:lang w:val="sr-Cyrl-RS"/>
        </w:rPr>
        <w:t>-02</w:t>
      </w:r>
      <w:r w:rsidR="005D33F4" w:rsidRPr="00882240">
        <w:rPr>
          <w:rFonts w:ascii="Arial" w:hAnsi="Arial"/>
          <w:noProof/>
          <w:spacing w:val="-1"/>
          <w:sz w:val="20"/>
          <w:lang w:val="sr-Cyrl-RS"/>
        </w:rPr>
        <w:t xml:space="preserve">  датум: </w:t>
      </w:r>
      <w:r w:rsidR="000E0C99">
        <w:rPr>
          <w:rFonts w:ascii="Arial" w:hAnsi="Arial"/>
          <w:noProof/>
          <w:spacing w:val="-1"/>
          <w:sz w:val="20"/>
          <w:lang w:val="sr-Latn-CS"/>
        </w:rPr>
        <w:t>13</w:t>
      </w:r>
      <w:r w:rsidR="006D3527" w:rsidRPr="006D3527">
        <w:rPr>
          <w:rFonts w:ascii="Arial" w:hAnsi="Arial"/>
          <w:noProof/>
          <w:spacing w:val="-1"/>
          <w:sz w:val="20"/>
          <w:lang w:val="sr-Cyrl-RS"/>
        </w:rPr>
        <w:t>.</w:t>
      </w:r>
      <w:r w:rsidR="00E52499">
        <w:rPr>
          <w:rFonts w:ascii="Arial" w:hAnsi="Arial"/>
          <w:noProof/>
          <w:spacing w:val="-1"/>
          <w:sz w:val="20"/>
          <w:lang w:val="sr-Cyrl-CS"/>
        </w:rPr>
        <w:t>1</w:t>
      </w:r>
      <w:r w:rsidR="00387942">
        <w:rPr>
          <w:rFonts w:ascii="Arial" w:hAnsi="Arial"/>
          <w:noProof/>
          <w:spacing w:val="-1"/>
          <w:sz w:val="20"/>
          <w:lang w:val="sr-Latn-CS"/>
        </w:rPr>
        <w:t>2</w:t>
      </w:r>
      <w:r w:rsidR="00E52499">
        <w:rPr>
          <w:rFonts w:ascii="Arial" w:hAnsi="Arial"/>
          <w:noProof/>
          <w:spacing w:val="-1"/>
          <w:sz w:val="20"/>
          <w:lang w:val="sr-Cyrl-RS"/>
        </w:rPr>
        <w:t>.202</w:t>
      </w:r>
      <w:r w:rsidR="00E52499">
        <w:rPr>
          <w:rFonts w:ascii="Arial" w:hAnsi="Arial"/>
          <w:noProof/>
          <w:spacing w:val="-1"/>
          <w:sz w:val="20"/>
          <w:lang w:val="sr-Latn-CS"/>
        </w:rPr>
        <w:t>4</w:t>
      </w:r>
      <w:r w:rsidR="005D33F4" w:rsidRPr="006D3527">
        <w:rPr>
          <w:rFonts w:ascii="Arial" w:hAnsi="Arial"/>
          <w:noProof/>
          <w:spacing w:val="-1"/>
          <w:sz w:val="20"/>
          <w:lang w:val="sr-Cyrl-RS"/>
        </w:rPr>
        <w:t>.</w:t>
      </w:r>
    </w:p>
    <w:p w:rsidR="005D33F4" w:rsidRPr="00882240" w:rsidRDefault="005D33F4" w:rsidP="00CF1E47">
      <w:pPr>
        <w:pStyle w:val="FreeFormAA"/>
        <w:rPr>
          <w:rFonts w:ascii="Arial" w:hAnsi="Arial"/>
          <w:noProof/>
          <w:spacing w:val="-1"/>
          <w:sz w:val="20"/>
          <w:lang w:val="sr-Cyrl-RS"/>
        </w:rPr>
      </w:pPr>
    </w:p>
    <w:p w:rsidR="005D33F4" w:rsidRPr="00882240" w:rsidRDefault="005D33F4" w:rsidP="00CF1E47">
      <w:pPr>
        <w:pStyle w:val="FreeFormAA"/>
        <w:rPr>
          <w:rFonts w:ascii="Arial" w:hAnsi="Arial"/>
          <w:noProof/>
          <w:spacing w:val="-1"/>
          <w:sz w:val="20"/>
          <w:lang w:val="sr-Cyrl-RS"/>
        </w:rPr>
      </w:pPr>
    </w:p>
    <w:p w:rsidR="005D33F4" w:rsidRPr="009B3E59" w:rsidRDefault="005D33F4" w:rsidP="00CF1E47">
      <w:pPr>
        <w:spacing w:before="120" w:after="120" w:line="240" w:lineRule="auto"/>
        <w:jc w:val="both"/>
        <w:rPr>
          <w:rFonts w:ascii="Arial" w:hAnsi="Arial" w:cs="Arial"/>
          <w:noProof/>
          <w:color w:val="222222"/>
          <w:lang w:val="sr-Latn-RS"/>
        </w:rPr>
      </w:pPr>
      <w:r w:rsidRPr="00882240">
        <w:rPr>
          <w:rFonts w:ascii="Arial" w:hAnsi="Arial" w:cs="Arial"/>
          <w:noProof/>
          <w:lang w:val="sr-Cyrl-RS"/>
        </w:rPr>
        <w:t>Поступајући у оквиру законом прописане надлежности</w:t>
      </w:r>
      <w:r w:rsidRPr="00882240">
        <w:rPr>
          <w:rStyle w:val="FootnoteReference"/>
          <w:rFonts w:ascii="Arial" w:hAnsi="Arial" w:cs="Arial"/>
          <w:noProof/>
          <w:lang w:val="sr-Cyrl-RS"/>
        </w:rPr>
        <w:footnoteReference w:id="1"/>
      </w:r>
      <w:r w:rsidRPr="00882240">
        <w:rPr>
          <w:rFonts w:ascii="Arial" w:hAnsi="Arial" w:cs="Arial"/>
          <w:noProof/>
          <w:lang w:val="sr-Cyrl-RS"/>
        </w:rPr>
        <w:t xml:space="preserve"> да прати спровођење закона који се тичу забране дискриминације и препоручује органима јавне власти и другим лицима мере за остваривање равноправности и заштите од дискриминације, Повереник за</w:t>
      </w:r>
      <w:r w:rsidR="006D3527">
        <w:rPr>
          <w:rFonts w:ascii="Arial" w:hAnsi="Arial" w:cs="Arial"/>
          <w:noProof/>
          <w:lang w:val="sr-Cyrl-RS"/>
        </w:rPr>
        <w:t xml:space="preserve"> заштиту равноправности упућује</w:t>
      </w:r>
      <w:r w:rsidR="00E96A3C" w:rsidRPr="0068521A">
        <w:rPr>
          <w:rFonts w:ascii="Arial" w:hAnsi="Arial" w:cs="Arial"/>
          <w:noProof/>
          <w:lang w:val="sr-Cyrl-RS"/>
        </w:rPr>
        <w:t xml:space="preserve"> свим </w:t>
      </w:r>
      <w:r w:rsidR="00336D9E">
        <w:rPr>
          <w:rFonts w:ascii="Arial" w:eastAsia="Times New Roman" w:hAnsi="Arial" w:cs="Arial"/>
          <w:noProof/>
          <w:lang w:val="sr-Cyrl-RS"/>
        </w:rPr>
        <w:t>здравственим установама специјализованим за рехабилитацију</w:t>
      </w:r>
    </w:p>
    <w:p w:rsidR="005D33F4" w:rsidRPr="00882240" w:rsidRDefault="005D33F4" w:rsidP="00CF1E47">
      <w:pPr>
        <w:spacing w:after="0" w:line="240" w:lineRule="auto"/>
        <w:jc w:val="both"/>
        <w:rPr>
          <w:rFonts w:ascii="Arial" w:hAnsi="Arial" w:cs="Arial"/>
          <w:b/>
          <w:noProof/>
          <w:sz w:val="28"/>
          <w:szCs w:val="28"/>
          <w:lang w:val="sr-Cyrl-RS"/>
        </w:rPr>
      </w:pPr>
    </w:p>
    <w:p w:rsidR="005D33F4" w:rsidRPr="00882240" w:rsidRDefault="005D33F4" w:rsidP="00CF1E47">
      <w:pPr>
        <w:spacing w:after="0" w:line="240" w:lineRule="auto"/>
        <w:jc w:val="center"/>
        <w:rPr>
          <w:rFonts w:ascii="Arial" w:eastAsia="Times New Roman" w:hAnsi="Arial" w:cs="Arial"/>
          <w:b/>
          <w:noProof/>
          <w:sz w:val="28"/>
          <w:szCs w:val="28"/>
          <w:lang w:val="sr-Cyrl-RS"/>
        </w:rPr>
      </w:pPr>
      <w:r w:rsidRPr="00882240">
        <w:rPr>
          <w:rFonts w:ascii="Arial" w:hAnsi="Arial" w:cs="Arial"/>
          <w:b/>
          <w:noProof/>
          <w:sz w:val="28"/>
          <w:szCs w:val="28"/>
          <w:lang w:val="sr-Cyrl-RS"/>
        </w:rPr>
        <w:t>ПРЕПОРУКУ</w:t>
      </w:r>
      <w:r w:rsidRPr="00882240">
        <w:rPr>
          <w:rFonts w:ascii="Arial" w:eastAsia="Times New Roman" w:hAnsi="Arial" w:cs="Arial"/>
          <w:b/>
          <w:noProof/>
          <w:sz w:val="28"/>
          <w:szCs w:val="28"/>
          <w:lang w:val="sr-Cyrl-RS"/>
        </w:rPr>
        <w:t xml:space="preserve"> МЕРА ЗА ОСТВАРИВАЊЕ РАВНОПРАВНОСТИ И ЗАШТИТЕ ОД ДИСКРИМИНАЦИЈЕ</w:t>
      </w:r>
    </w:p>
    <w:p w:rsidR="005D33F4" w:rsidRPr="00882240" w:rsidRDefault="005D33F4" w:rsidP="00CF1E47">
      <w:pPr>
        <w:spacing w:after="0" w:line="240" w:lineRule="auto"/>
        <w:jc w:val="center"/>
        <w:rPr>
          <w:rFonts w:ascii="Arial" w:eastAsia="Times New Roman" w:hAnsi="Arial" w:cs="Arial"/>
          <w:b/>
          <w:noProof/>
          <w:sz w:val="28"/>
          <w:szCs w:val="28"/>
          <w:lang w:val="sr-Cyrl-RS"/>
        </w:rPr>
      </w:pPr>
    </w:p>
    <w:p w:rsidR="005D33F4" w:rsidRPr="00882240" w:rsidRDefault="005D33F4" w:rsidP="00CF1E47">
      <w:pPr>
        <w:tabs>
          <w:tab w:val="left" w:pos="450"/>
        </w:tabs>
        <w:autoSpaceDE w:val="0"/>
        <w:autoSpaceDN w:val="0"/>
        <w:adjustRightInd w:val="0"/>
        <w:spacing w:after="0" w:line="240" w:lineRule="auto"/>
        <w:jc w:val="both"/>
        <w:rPr>
          <w:rFonts w:ascii="Arial" w:eastAsia="Times New Roman" w:hAnsi="Arial" w:cs="Arial"/>
          <w:noProof/>
          <w:lang w:val="sr-Cyrl-RS"/>
        </w:rPr>
      </w:pPr>
    </w:p>
    <w:p w:rsidR="004121F7" w:rsidRPr="007B10E3" w:rsidRDefault="005D33F4" w:rsidP="00CF1E47">
      <w:pPr>
        <w:spacing w:before="120" w:after="120" w:line="240" w:lineRule="auto"/>
        <w:jc w:val="both"/>
        <w:rPr>
          <w:rFonts w:ascii="Arial" w:hAnsi="Arial" w:cs="Arial"/>
          <w:noProof/>
          <w:color w:val="222222"/>
          <w:lang w:val="sr-Latn-RS"/>
        </w:rPr>
      </w:pPr>
      <w:r w:rsidRPr="00882240">
        <w:rPr>
          <w:rFonts w:ascii="Arial" w:eastAsia="Times New Roman" w:hAnsi="Arial" w:cs="Arial"/>
          <w:noProof/>
          <w:lang w:val="sr-Cyrl-RS"/>
        </w:rPr>
        <w:t xml:space="preserve">Повереник за заштиту равноправности препоручује </w:t>
      </w:r>
      <w:r w:rsidR="007B10E3" w:rsidRPr="007612FA">
        <w:rPr>
          <w:rFonts w:ascii="Arial" w:eastAsia="Times New Roman" w:hAnsi="Arial" w:cs="Arial"/>
          <w:noProof/>
          <w:lang w:val="sr-Cyrl-RS"/>
        </w:rPr>
        <w:t>здравственим установама специјализованим за рехабилитацију</w:t>
      </w:r>
      <w:r w:rsidR="00A55344" w:rsidRPr="00802798">
        <w:rPr>
          <w:rFonts w:ascii="Arial" w:eastAsia="Times New Roman" w:hAnsi="Arial" w:cs="Arial"/>
          <w:noProof/>
          <w:color w:val="FF0000"/>
          <w:lang w:val="sr-Cyrl-RS"/>
        </w:rPr>
        <w:t xml:space="preserve"> </w:t>
      </w:r>
      <w:r w:rsidR="00A55344">
        <w:rPr>
          <w:rFonts w:ascii="Arial" w:eastAsia="Times New Roman" w:hAnsi="Arial" w:cs="Arial"/>
          <w:noProof/>
          <w:lang w:val="sr-Cyrl-RS"/>
        </w:rPr>
        <w:t>да</w:t>
      </w:r>
      <w:r w:rsidR="004121F7">
        <w:rPr>
          <w:rFonts w:ascii="Arial" w:eastAsia="Times New Roman" w:hAnsi="Arial" w:cs="Arial"/>
          <w:noProof/>
          <w:lang w:val="sr-Cyrl-RS"/>
        </w:rPr>
        <w:t>:</w:t>
      </w:r>
    </w:p>
    <w:p w:rsidR="008E09B2" w:rsidRDefault="004121F7" w:rsidP="00CF1E47">
      <w:pPr>
        <w:spacing w:before="120" w:after="120" w:line="240" w:lineRule="auto"/>
        <w:jc w:val="both"/>
        <w:rPr>
          <w:rFonts w:ascii="Arial" w:hAnsi="Arial" w:cs="Arial"/>
          <w:noProof/>
          <w:lang w:val="sr-Cyrl-RS"/>
        </w:rPr>
      </w:pPr>
      <w:r>
        <w:rPr>
          <w:rFonts w:ascii="Arial" w:eastAsia="Times New Roman" w:hAnsi="Arial" w:cs="Arial"/>
          <w:noProof/>
          <w:lang w:val="sr-Cyrl-RS"/>
        </w:rPr>
        <w:t>-</w:t>
      </w:r>
      <w:r w:rsidR="004756EB">
        <w:rPr>
          <w:rFonts w:ascii="Arial" w:eastAsia="Times New Roman" w:hAnsi="Arial" w:cs="Arial"/>
          <w:noProof/>
          <w:lang w:val="sr-Cyrl-RS"/>
        </w:rPr>
        <w:t xml:space="preserve"> </w:t>
      </w:r>
      <w:r w:rsidR="00620378">
        <w:rPr>
          <w:rFonts w:ascii="Arial" w:hAnsi="Arial" w:cs="Arial"/>
          <w:color w:val="000000"/>
          <w:lang w:val="sr-Cyrl-RS"/>
        </w:rPr>
        <w:t>предузму</w:t>
      </w:r>
      <w:r w:rsidR="00724B39" w:rsidRPr="008E09B2">
        <w:rPr>
          <w:rFonts w:ascii="Arial" w:hAnsi="Arial" w:cs="Arial"/>
          <w:color w:val="000000"/>
          <w:lang w:val="sr-Cyrl-RS"/>
        </w:rPr>
        <w:t xml:space="preserve"> све потребне мере</w:t>
      </w:r>
      <w:r w:rsidR="006E574F" w:rsidRPr="008E09B2">
        <w:rPr>
          <w:rFonts w:ascii="Arial" w:hAnsi="Arial" w:cs="Arial"/>
          <w:color w:val="000000"/>
          <w:lang w:val="sr-Cyrl-RS"/>
        </w:rPr>
        <w:t xml:space="preserve"> и активности</w:t>
      </w:r>
      <w:r w:rsidR="00724B39" w:rsidRPr="008E09B2">
        <w:rPr>
          <w:rFonts w:ascii="Arial" w:hAnsi="Arial" w:cs="Arial"/>
          <w:color w:val="000000"/>
          <w:lang w:val="sr-Cyrl-RS"/>
        </w:rPr>
        <w:t xml:space="preserve"> у ц</w:t>
      </w:r>
      <w:r w:rsidR="00A77704">
        <w:rPr>
          <w:rFonts w:ascii="Arial" w:hAnsi="Arial" w:cs="Arial"/>
          <w:color w:val="000000"/>
          <w:lang w:val="sr-Cyrl-RS"/>
        </w:rPr>
        <w:t>иљу обезбеђивања приступачности</w:t>
      </w:r>
      <w:r w:rsidR="00A864B1">
        <w:rPr>
          <w:rFonts w:ascii="Arial" w:hAnsi="Arial" w:cs="Arial"/>
          <w:color w:val="000000"/>
          <w:lang w:val="sr-Cyrl-RS"/>
        </w:rPr>
        <w:t xml:space="preserve"> </w:t>
      </w:r>
      <w:r>
        <w:rPr>
          <w:rFonts w:ascii="Arial" w:eastAsia="Times New Roman" w:hAnsi="Arial" w:cs="Arial"/>
          <w:noProof/>
          <w:lang w:val="sr-Cyrl-RS"/>
        </w:rPr>
        <w:t xml:space="preserve">објекта </w:t>
      </w:r>
      <w:r w:rsidR="00E42536">
        <w:rPr>
          <w:rFonts w:ascii="Arial" w:eastAsia="Times New Roman" w:hAnsi="Arial" w:cs="Arial"/>
          <w:noProof/>
          <w:lang w:val="sr-Cyrl-RS"/>
        </w:rPr>
        <w:t xml:space="preserve">који користе </w:t>
      </w:r>
      <w:r>
        <w:rPr>
          <w:rFonts w:ascii="Arial" w:eastAsia="Times New Roman" w:hAnsi="Arial" w:cs="Arial"/>
          <w:noProof/>
          <w:lang w:val="sr-Cyrl-RS"/>
        </w:rPr>
        <w:t xml:space="preserve">и услуга </w:t>
      </w:r>
      <w:r w:rsidR="00E42536">
        <w:rPr>
          <w:rFonts w:ascii="Arial" w:eastAsia="Times New Roman" w:hAnsi="Arial" w:cs="Arial"/>
          <w:noProof/>
          <w:lang w:val="sr-Cyrl-RS"/>
        </w:rPr>
        <w:t>које пружају</w:t>
      </w:r>
      <w:r w:rsidR="00CF1E47">
        <w:rPr>
          <w:rFonts w:ascii="Arial" w:eastAsia="Times New Roman" w:hAnsi="Arial" w:cs="Arial"/>
          <w:noProof/>
          <w:lang w:val="sr-Cyrl-RS"/>
        </w:rPr>
        <w:t xml:space="preserve"> у овим објектима</w:t>
      </w:r>
      <w:r w:rsidR="00454EE4">
        <w:rPr>
          <w:rFonts w:ascii="Arial" w:eastAsia="Times New Roman" w:hAnsi="Arial" w:cs="Arial"/>
          <w:noProof/>
          <w:lang w:val="sr-Cyrl-RS"/>
        </w:rPr>
        <w:t xml:space="preserve"> к</w:t>
      </w:r>
      <w:r w:rsidR="00454EE4" w:rsidRPr="00E42536">
        <w:rPr>
          <w:rFonts w:ascii="Arial" w:eastAsia="Times New Roman" w:hAnsi="Arial" w:cs="Arial"/>
          <w:noProof/>
          <w:lang w:val="sr-Cyrl-RS"/>
        </w:rPr>
        <w:t xml:space="preserve">ако би се обезбедило да особе са инвалидитетом, посебно оне које за кретање користе колица могу самостално да бораве и равноправно са другима користе </w:t>
      </w:r>
      <w:r w:rsidR="00454EE4">
        <w:rPr>
          <w:rFonts w:ascii="Arial" w:eastAsia="Times New Roman" w:hAnsi="Arial" w:cs="Arial"/>
          <w:noProof/>
          <w:lang w:val="sr-Cyrl-RS"/>
        </w:rPr>
        <w:t xml:space="preserve">терапијске </w:t>
      </w:r>
      <w:r w:rsidR="00454EE4" w:rsidRPr="00E42536">
        <w:rPr>
          <w:rFonts w:ascii="Arial" w:eastAsia="Times New Roman" w:hAnsi="Arial" w:cs="Arial"/>
          <w:noProof/>
          <w:lang w:val="sr-Cyrl-RS"/>
        </w:rPr>
        <w:t>услуге</w:t>
      </w:r>
      <w:r w:rsidR="00454EE4">
        <w:rPr>
          <w:rFonts w:ascii="Arial" w:eastAsia="Times New Roman" w:hAnsi="Arial" w:cs="Arial"/>
          <w:noProof/>
          <w:lang w:val="sr-Cyrl-RS"/>
        </w:rPr>
        <w:t>.</w:t>
      </w:r>
    </w:p>
    <w:p w:rsidR="00297A59" w:rsidRPr="008E09B2" w:rsidRDefault="00E642F5" w:rsidP="00CF1E47">
      <w:pPr>
        <w:spacing w:line="240" w:lineRule="auto"/>
        <w:jc w:val="both"/>
        <w:rPr>
          <w:rFonts w:ascii="Arial" w:hAnsi="Arial" w:cs="Arial"/>
          <w:noProof/>
          <w:shd w:val="clear" w:color="auto" w:fill="FFFFFF"/>
          <w:lang w:val="sr-Cyrl-RS"/>
        </w:rPr>
      </w:pPr>
      <w:r>
        <w:rPr>
          <w:rFonts w:ascii="Arial" w:eastAsia="Times New Roman" w:hAnsi="Arial" w:cs="Arial"/>
          <w:noProof/>
          <w:lang w:val="sr-Cyrl-RS"/>
        </w:rPr>
        <w:t>Здравствене установ</w:t>
      </w:r>
      <w:r w:rsidR="007612FA">
        <w:rPr>
          <w:rFonts w:ascii="Arial" w:eastAsia="Times New Roman" w:hAnsi="Arial" w:cs="Arial"/>
          <w:noProof/>
          <w:lang w:val="sr-Cyrl-RS"/>
        </w:rPr>
        <w:t>е специјализоване</w:t>
      </w:r>
      <w:r w:rsidR="007612FA" w:rsidRPr="007612FA">
        <w:rPr>
          <w:rFonts w:ascii="Arial" w:eastAsia="Times New Roman" w:hAnsi="Arial" w:cs="Arial"/>
          <w:noProof/>
          <w:lang w:val="sr-Cyrl-RS"/>
        </w:rPr>
        <w:t xml:space="preserve"> за рехабилитацију</w:t>
      </w:r>
      <w:r w:rsidR="007612FA" w:rsidRPr="008E09B2">
        <w:rPr>
          <w:rFonts w:ascii="Arial" w:eastAsia="Times New Roman" w:hAnsi="Arial" w:cs="Arial"/>
          <w:noProof/>
          <w:lang w:val="sr-Cyrl-RS"/>
        </w:rPr>
        <w:t xml:space="preserve"> </w:t>
      </w:r>
      <w:r w:rsidR="00A55344" w:rsidRPr="008E09B2">
        <w:rPr>
          <w:rFonts w:ascii="Arial" w:eastAsia="Times New Roman" w:hAnsi="Arial" w:cs="Arial"/>
          <w:noProof/>
          <w:lang w:val="sr-Cyrl-RS"/>
        </w:rPr>
        <w:t>ће</w:t>
      </w:r>
      <w:r w:rsidR="00A55344" w:rsidRPr="008E09B2">
        <w:rPr>
          <w:rFonts w:ascii="Arial" w:hAnsi="Arial" w:cs="Arial"/>
          <w:noProof/>
          <w:shd w:val="clear" w:color="auto" w:fill="FFFFFF"/>
          <w:lang w:val="sr-Cyrl-RS"/>
        </w:rPr>
        <w:t xml:space="preserve"> у року од 30 дана од дана пријема препоруке мера за остваривање равноправности </w:t>
      </w:r>
      <w:r w:rsidR="00297A59" w:rsidRPr="008E09B2">
        <w:rPr>
          <w:rFonts w:ascii="Arial" w:hAnsi="Arial" w:cs="Arial"/>
          <w:noProof/>
          <w:shd w:val="clear" w:color="auto" w:fill="FFFFFF"/>
          <w:lang w:val="sr-Cyrl-RS"/>
        </w:rPr>
        <w:t>обавести</w:t>
      </w:r>
      <w:r w:rsidR="00A55344" w:rsidRPr="008E09B2">
        <w:rPr>
          <w:rFonts w:ascii="Arial" w:hAnsi="Arial" w:cs="Arial"/>
          <w:noProof/>
          <w:shd w:val="clear" w:color="auto" w:fill="FFFFFF"/>
          <w:lang w:val="sr-Cyrl-RS"/>
        </w:rPr>
        <w:t>ти</w:t>
      </w:r>
      <w:r w:rsidR="00297A59" w:rsidRPr="008E09B2">
        <w:rPr>
          <w:rFonts w:ascii="Arial" w:hAnsi="Arial" w:cs="Arial"/>
          <w:noProof/>
          <w:shd w:val="clear" w:color="auto" w:fill="FFFFFF"/>
          <w:lang w:val="sr-Cyrl-RS"/>
        </w:rPr>
        <w:t xml:space="preserve"> Повереника за заштиту равноправности о предузетим мерама у циљу спровођења ове препоруке</w:t>
      </w:r>
      <w:r w:rsidR="00454EE4">
        <w:rPr>
          <w:rFonts w:ascii="Arial" w:hAnsi="Arial" w:cs="Arial"/>
          <w:noProof/>
          <w:shd w:val="clear" w:color="auto" w:fill="FFFFFF"/>
          <w:lang w:val="sr-Cyrl-RS"/>
        </w:rPr>
        <w:t>.</w:t>
      </w:r>
    </w:p>
    <w:p w:rsidR="00297A59" w:rsidRPr="008E09B2" w:rsidRDefault="00297A59" w:rsidP="00CF1E47">
      <w:pPr>
        <w:tabs>
          <w:tab w:val="left" w:pos="450"/>
        </w:tabs>
        <w:autoSpaceDE w:val="0"/>
        <w:autoSpaceDN w:val="0"/>
        <w:adjustRightInd w:val="0"/>
        <w:spacing w:after="0" w:line="240" w:lineRule="auto"/>
        <w:jc w:val="both"/>
        <w:rPr>
          <w:rFonts w:ascii="Arial" w:hAnsi="Arial"/>
          <w:noProof/>
          <w:lang w:val="sr-Cyrl-RS"/>
        </w:rPr>
      </w:pPr>
      <w:r w:rsidRPr="008E09B2">
        <w:rPr>
          <w:rFonts w:ascii="Arial" w:hAnsi="Arial"/>
          <w:noProof/>
          <w:lang w:val="sr-Cyrl-RS"/>
        </w:rPr>
        <w:t>Против ове препоруке мера, у складу са законом, није допуштена жалба нити било које друго правно средство.</w:t>
      </w:r>
    </w:p>
    <w:p w:rsidR="00297A59" w:rsidRPr="00882240" w:rsidRDefault="00297A59" w:rsidP="00CF1E47">
      <w:pPr>
        <w:tabs>
          <w:tab w:val="left" w:pos="450"/>
        </w:tabs>
        <w:autoSpaceDE w:val="0"/>
        <w:autoSpaceDN w:val="0"/>
        <w:adjustRightInd w:val="0"/>
        <w:spacing w:after="0" w:line="240" w:lineRule="auto"/>
        <w:jc w:val="both"/>
        <w:rPr>
          <w:rFonts w:ascii="Arial" w:hAnsi="Arial"/>
          <w:noProof/>
          <w:lang w:val="sr-Cyrl-RS"/>
        </w:rPr>
      </w:pPr>
    </w:p>
    <w:p w:rsidR="00297A59" w:rsidRPr="00882240" w:rsidRDefault="00297A59" w:rsidP="00CF1E47">
      <w:pPr>
        <w:pStyle w:val="ListParagraph"/>
        <w:ind w:left="0"/>
        <w:jc w:val="center"/>
        <w:rPr>
          <w:rFonts w:ascii="Arial" w:hAnsi="Arial" w:cs="Arial"/>
          <w:b/>
          <w:noProof/>
          <w:color w:val="000000"/>
          <w:sz w:val="22"/>
          <w:szCs w:val="22"/>
          <w:lang w:val="sr-Cyrl-RS"/>
        </w:rPr>
      </w:pPr>
      <w:r w:rsidRPr="00882240">
        <w:rPr>
          <w:rFonts w:ascii="Arial" w:hAnsi="Arial" w:cs="Arial"/>
          <w:b/>
          <w:noProof/>
          <w:color w:val="000000"/>
          <w:sz w:val="22"/>
          <w:szCs w:val="22"/>
          <w:lang w:val="sr-Cyrl-RS"/>
        </w:rPr>
        <w:t>Образложење</w:t>
      </w:r>
    </w:p>
    <w:p w:rsidR="00C85DA7" w:rsidRDefault="00C85DA7" w:rsidP="00CF1E47">
      <w:pPr>
        <w:pStyle w:val="Body"/>
        <w:tabs>
          <w:tab w:val="left" w:pos="9072"/>
        </w:tabs>
        <w:spacing w:after="120"/>
        <w:jc w:val="both"/>
        <w:rPr>
          <w:rFonts w:ascii="Arial" w:hAnsi="Arial" w:cs="Arial"/>
          <w:noProof/>
          <w:sz w:val="22"/>
          <w:szCs w:val="22"/>
          <w:lang w:val="sr-Cyrl-RS"/>
        </w:rPr>
      </w:pPr>
    </w:p>
    <w:p w:rsidR="000271D4" w:rsidRDefault="00773F39" w:rsidP="00CF1E47">
      <w:pPr>
        <w:pStyle w:val="Body"/>
        <w:tabs>
          <w:tab w:val="left" w:pos="9072"/>
        </w:tabs>
        <w:spacing w:after="120"/>
        <w:jc w:val="both"/>
        <w:rPr>
          <w:rFonts w:ascii="Arial" w:hAnsi="Arial" w:cs="Arial"/>
          <w:noProof/>
          <w:color w:val="auto"/>
          <w:sz w:val="22"/>
          <w:szCs w:val="22"/>
          <w:lang w:val="sr-Cyrl-RS"/>
        </w:rPr>
      </w:pPr>
      <w:r w:rsidRPr="00EB540D">
        <w:rPr>
          <w:rFonts w:ascii="Arial" w:hAnsi="Arial" w:cs="Arial"/>
          <w:noProof/>
          <w:sz w:val="22"/>
          <w:szCs w:val="22"/>
          <w:lang w:val="sr-Cyrl-RS"/>
        </w:rPr>
        <w:t>Поверенику</w:t>
      </w:r>
      <w:r w:rsidR="006C14C7">
        <w:rPr>
          <w:rFonts w:ascii="Arial" w:hAnsi="Arial" w:cs="Arial"/>
          <w:noProof/>
          <w:sz w:val="22"/>
          <w:szCs w:val="22"/>
          <w:lang w:val="sr-Cyrl-RS"/>
        </w:rPr>
        <w:t xml:space="preserve"> за заштиту равноправности </w:t>
      </w:r>
      <w:r w:rsidR="00EB540D" w:rsidRPr="00EB540D">
        <w:rPr>
          <w:rFonts w:ascii="Arial" w:hAnsi="Arial" w:cs="Arial"/>
          <w:noProof/>
          <w:sz w:val="22"/>
          <w:szCs w:val="22"/>
          <w:lang w:val="sr-Cyrl-RS"/>
        </w:rPr>
        <w:t>су</w:t>
      </w:r>
      <w:r w:rsidR="00EB540D">
        <w:rPr>
          <w:rFonts w:ascii="Arial" w:hAnsi="Arial" w:cs="Arial"/>
          <w:noProof/>
          <w:sz w:val="22"/>
          <w:szCs w:val="22"/>
          <w:lang w:val="sr-Cyrl-RS"/>
        </w:rPr>
        <w:t xml:space="preserve"> се обраћали грађани</w:t>
      </w:r>
      <w:r w:rsidR="00C43878">
        <w:rPr>
          <w:rFonts w:ascii="Arial" w:hAnsi="Arial" w:cs="Arial"/>
          <w:noProof/>
          <w:sz w:val="22"/>
          <w:szCs w:val="22"/>
          <w:lang w:val="sr-Cyrl-RS"/>
        </w:rPr>
        <w:t>, као и организације цивилног друштва указујући на</w:t>
      </w:r>
      <w:r w:rsidR="00EB540D">
        <w:rPr>
          <w:rFonts w:ascii="Arial" w:hAnsi="Arial" w:cs="Arial"/>
          <w:noProof/>
          <w:sz w:val="22"/>
          <w:szCs w:val="22"/>
          <w:lang w:val="sr-Cyrl-RS"/>
        </w:rPr>
        <w:t xml:space="preserve"> неприступачност </w:t>
      </w:r>
      <w:r w:rsidR="00C43878">
        <w:rPr>
          <w:rFonts w:ascii="Arial" w:hAnsi="Arial" w:cs="Arial"/>
          <w:noProof/>
          <w:sz w:val="22"/>
          <w:szCs w:val="22"/>
          <w:lang w:val="sr-Cyrl-RS"/>
        </w:rPr>
        <w:t xml:space="preserve">објеката </w:t>
      </w:r>
      <w:r w:rsidR="00E03299">
        <w:rPr>
          <w:rFonts w:ascii="Arial" w:hAnsi="Arial" w:cs="Arial"/>
          <w:noProof/>
          <w:sz w:val="22"/>
          <w:szCs w:val="22"/>
          <w:lang w:val="sr-Cyrl-RS"/>
        </w:rPr>
        <w:t>које користе</w:t>
      </w:r>
      <w:r w:rsidR="0023786B">
        <w:rPr>
          <w:rFonts w:ascii="Arial" w:hAnsi="Arial" w:cs="Arial"/>
          <w:noProof/>
          <w:sz w:val="22"/>
          <w:szCs w:val="22"/>
          <w:lang w:val="sr-Cyrl-RS"/>
        </w:rPr>
        <w:t xml:space="preserve"> </w:t>
      </w:r>
      <w:r w:rsidR="00AF3543">
        <w:rPr>
          <w:rFonts w:ascii="Arial" w:eastAsia="Times New Roman" w:hAnsi="Arial" w:cs="Arial"/>
          <w:noProof/>
          <w:sz w:val="22"/>
          <w:szCs w:val="22"/>
          <w:lang w:val="sr-Cyrl-RS"/>
        </w:rPr>
        <w:t>специјалне болнице за рехабилитацију</w:t>
      </w:r>
      <w:r w:rsidR="00E03299" w:rsidRPr="00034D70">
        <w:rPr>
          <w:rFonts w:ascii="Arial" w:hAnsi="Arial" w:cs="Arial"/>
          <w:noProof/>
          <w:sz w:val="22"/>
          <w:szCs w:val="22"/>
          <w:lang w:val="sr-Cyrl-RS"/>
        </w:rPr>
        <w:t xml:space="preserve"> </w:t>
      </w:r>
      <w:r w:rsidR="004121F7">
        <w:rPr>
          <w:rFonts w:ascii="Arial" w:hAnsi="Arial" w:cs="Arial"/>
          <w:noProof/>
          <w:sz w:val="22"/>
          <w:szCs w:val="22"/>
          <w:lang w:val="sr-Cyrl-RS"/>
        </w:rPr>
        <w:t xml:space="preserve">особама са инвалидитетом, посебно оним које за кретање користе колица. </w:t>
      </w:r>
      <w:r w:rsidR="00E42536">
        <w:rPr>
          <w:rFonts w:ascii="Arial" w:hAnsi="Arial" w:cs="Arial"/>
          <w:noProof/>
          <w:sz w:val="22"/>
          <w:szCs w:val="22"/>
          <w:lang w:val="sr-Cyrl-RS"/>
        </w:rPr>
        <w:t>Примера ради, и</w:t>
      </w:r>
      <w:r w:rsidR="00C43878">
        <w:rPr>
          <w:rFonts w:ascii="Arial" w:hAnsi="Arial" w:cs="Arial"/>
          <w:noProof/>
          <w:sz w:val="22"/>
          <w:szCs w:val="22"/>
          <w:lang w:val="sr-Cyrl-RS"/>
        </w:rPr>
        <w:t xml:space="preserve">стицано </w:t>
      </w:r>
      <w:r w:rsidR="003515C4">
        <w:rPr>
          <w:rFonts w:ascii="Arial" w:hAnsi="Arial" w:cs="Arial"/>
          <w:noProof/>
          <w:sz w:val="22"/>
          <w:szCs w:val="22"/>
          <w:lang w:val="sr-Cyrl-RS"/>
        </w:rPr>
        <w:t xml:space="preserve">је </w:t>
      </w:r>
      <w:r w:rsidR="00C43878">
        <w:rPr>
          <w:rFonts w:ascii="Arial" w:hAnsi="Arial" w:cs="Arial"/>
          <w:noProof/>
          <w:sz w:val="22"/>
          <w:szCs w:val="22"/>
          <w:lang w:val="sr-Cyrl-RS"/>
        </w:rPr>
        <w:t xml:space="preserve">да </w:t>
      </w:r>
      <w:r w:rsidR="004620A2">
        <w:rPr>
          <w:rFonts w:ascii="Arial" w:hAnsi="Arial" w:cs="Arial"/>
          <w:noProof/>
          <w:sz w:val="22"/>
          <w:szCs w:val="22"/>
          <w:lang w:val="sr-Cyrl-RS"/>
        </w:rPr>
        <w:t>п</w:t>
      </w:r>
      <w:r w:rsidR="00F25F60">
        <w:rPr>
          <w:rFonts w:ascii="Arial" w:hAnsi="Arial" w:cs="Arial"/>
          <w:noProof/>
          <w:sz w:val="22"/>
          <w:szCs w:val="22"/>
          <w:lang w:val="sr-Cyrl-RS"/>
        </w:rPr>
        <w:t>оред недостатка приступачног и обележеног паркинг места за особе са инвалидитетом, најчешће ни сам улаз у бјекат, а последично и сам објекат није приступачан. Особа са инвалидитетом која је у стању да функционише без туђе асистенције, често је принуђена да због неприступачности објекта</w:t>
      </w:r>
      <w:r w:rsidR="008C5AB0">
        <w:rPr>
          <w:rFonts w:ascii="Arial" w:hAnsi="Arial" w:cs="Arial"/>
          <w:noProof/>
          <w:sz w:val="22"/>
          <w:szCs w:val="22"/>
          <w:lang w:val="sr-Cyrl-RS"/>
        </w:rPr>
        <w:t xml:space="preserve"> које</w:t>
      </w:r>
      <w:r w:rsidR="00A5756F">
        <w:rPr>
          <w:rFonts w:ascii="Arial" w:hAnsi="Arial" w:cs="Arial"/>
          <w:noProof/>
          <w:sz w:val="22"/>
          <w:szCs w:val="22"/>
          <w:lang w:val="sr-Cyrl-RS"/>
        </w:rPr>
        <w:t xml:space="preserve"> користе </w:t>
      </w:r>
      <w:r w:rsidR="008C5AB0">
        <w:rPr>
          <w:rFonts w:ascii="Arial" w:hAnsi="Arial" w:cs="Arial"/>
          <w:noProof/>
          <w:sz w:val="22"/>
          <w:szCs w:val="22"/>
          <w:lang w:val="sr-Cyrl-RS"/>
        </w:rPr>
        <w:t>специјалне болнице за рехабилитацију</w:t>
      </w:r>
      <w:r w:rsidR="00F25F60">
        <w:rPr>
          <w:rFonts w:ascii="Arial" w:hAnsi="Arial" w:cs="Arial"/>
          <w:noProof/>
          <w:sz w:val="22"/>
          <w:szCs w:val="22"/>
          <w:lang w:val="sr-Cyrl-RS"/>
        </w:rPr>
        <w:t>, посебно хотелског дела (непостојање приступачне собе са приступачним тоалетом, неприступачан улазак у базен и неприступачност терапијских услуга) прихвати смештај у стационарном делу</w:t>
      </w:r>
      <w:r w:rsidR="004620A2">
        <w:rPr>
          <w:rFonts w:ascii="Arial" w:hAnsi="Arial" w:cs="Arial"/>
          <w:noProof/>
          <w:sz w:val="22"/>
          <w:szCs w:val="22"/>
          <w:lang w:val="sr-Cyrl-RS"/>
        </w:rPr>
        <w:t xml:space="preserve"> бањског комплекса</w:t>
      </w:r>
      <w:r w:rsidR="00F25F60">
        <w:rPr>
          <w:rFonts w:ascii="Arial" w:hAnsi="Arial" w:cs="Arial"/>
          <w:noProof/>
          <w:sz w:val="22"/>
          <w:szCs w:val="22"/>
          <w:lang w:val="sr-Cyrl-RS"/>
        </w:rPr>
        <w:t xml:space="preserve">, иако по свом општем стању нема потребу за таквим смештајем. </w:t>
      </w:r>
      <w:r w:rsidR="003F0853">
        <w:rPr>
          <w:rFonts w:ascii="Arial" w:hAnsi="Arial" w:cs="Arial"/>
          <w:noProof/>
          <w:color w:val="auto"/>
          <w:sz w:val="22"/>
          <w:szCs w:val="22"/>
          <w:lang w:val="sr-Cyrl-RS"/>
        </w:rPr>
        <w:t xml:space="preserve">У смислу приступачности терапеутског дела стационара </w:t>
      </w:r>
      <w:r w:rsidR="000271D4">
        <w:rPr>
          <w:rFonts w:ascii="Arial" w:hAnsi="Arial" w:cs="Arial"/>
          <w:noProof/>
          <w:color w:val="auto"/>
          <w:sz w:val="22"/>
          <w:szCs w:val="22"/>
          <w:lang w:val="sr-Cyrl-RS"/>
        </w:rPr>
        <w:t xml:space="preserve">указивано је на препреке </w:t>
      </w:r>
      <w:r w:rsidR="003F0853">
        <w:rPr>
          <w:rFonts w:ascii="Arial" w:hAnsi="Arial" w:cs="Arial"/>
          <w:noProof/>
          <w:color w:val="auto"/>
          <w:sz w:val="22"/>
          <w:szCs w:val="22"/>
          <w:lang w:val="sr-Cyrl-RS"/>
        </w:rPr>
        <w:t xml:space="preserve">у виду степеница између спратова, тешко приступачних уских пролаза и улаза као и стрмих нагиба које </w:t>
      </w:r>
      <w:r w:rsidR="004620A2">
        <w:rPr>
          <w:rFonts w:ascii="Arial" w:hAnsi="Arial" w:cs="Arial"/>
          <w:noProof/>
          <w:color w:val="auto"/>
          <w:sz w:val="22"/>
          <w:szCs w:val="22"/>
          <w:lang w:val="sr-Cyrl-RS"/>
        </w:rPr>
        <w:t xml:space="preserve">особе које за кретање користе колица </w:t>
      </w:r>
      <w:r w:rsidR="003F0853">
        <w:rPr>
          <w:rFonts w:ascii="Arial" w:hAnsi="Arial" w:cs="Arial"/>
          <w:noProof/>
          <w:color w:val="auto"/>
          <w:sz w:val="22"/>
          <w:szCs w:val="22"/>
          <w:lang w:val="sr-Cyrl-RS"/>
        </w:rPr>
        <w:t>не могу самостално да савладају.</w:t>
      </w:r>
      <w:r w:rsidR="00951854">
        <w:rPr>
          <w:rFonts w:ascii="Arial" w:hAnsi="Arial" w:cs="Arial"/>
          <w:noProof/>
          <w:color w:val="auto"/>
          <w:sz w:val="22"/>
          <w:szCs w:val="22"/>
          <w:lang w:val="sr-Cyrl-RS"/>
        </w:rPr>
        <w:t xml:space="preserve"> </w:t>
      </w:r>
      <w:r w:rsidR="002904CA">
        <w:rPr>
          <w:rFonts w:ascii="Arial" w:hAnsi="Arial" w:cs="Arial"/>
          <w:noProof/>
          <w:color w:val="auto"/>
          <w:sz w:val="22"/>
          <w:szCs w:val="22"/>
          <w:lang w:val="sr-Cyrl-RS"/>
        </w:rPr>
        <w:t xml:space="preserve">У погледу приступачности терапијског базена, </w:t>
      </w:r>
      <w:r w:rsidR="000271D4">
        <w:rPr>
          <w:rFonts w:ascii="Arial" w:hAnsi="Arial" w:cs="Arial"/>
          <w:noProof/>
          <w:color w:val="auto"/>
          <w:sz w:val="22"/>
          <w:szCs w:val="22"/>
          <w:lang w:val="sr-Cyrl-RS"/>
        </w:rPr>
        <w:t>указивано је на непостојање</w:t>
      </w:r>
      <w:r w:rsidR="002904CA">
        <w:rPr>
          <w:rFonts w:ascii="Arial" w:hAnsi="Arial" w:cs="Arial"/>
          <w:noProof/>
          <w:color w:val="auto"/>
          <w:sz w:val="22"/>
          <w:szCs w:val="22"/>
          <w:lang w:val="sr-Cyrl-RS"/>
        </w:rPr>
        <w:t xml:space="preserve"> дизалица за улазак у базен</w:t>
      </w:r>
      <w:r w:rsidR="00CF1E47">
        <w:rPr>
          <w:rFonts w:ascii="Arial" w:hAnsi="Arial" w:cs="Arial"/>
          <w:noProof/>
          <w:color w:val="auto"/>
          <w:sz w:val="22"/>
          <w:szCs w:val="22"/>
          <w:lang w:val="sr-Cyrl-RS"/>
        </w:rPr>
        <w:t>, који чак и када постоји није</w:t>
      </w:r>
      <w:r w:rsidR="000271D4">
        <w:rPr>
          <w:rFonts w:ascii="Arial" w:hAnsi="Arial" w:cs="Arial"/>
          <w:noProof/>
          <w:color w:val="auto"/>
          <w:sz w:val="22"/>
          <w:szCs w:val="22"/>
          <w:lang w:val="sr-Cyrl-RS"/>
        </w:rPr>
        <w:t xml:space="preserve"> у употреби или </w:t>
      </w:r>
      <w:r w:rsidR="00CF1E47">
        <w:rPr>
          <w:rFonts w:ascii="Arial" w:hAnsi="Arial" w:cs="Arial"/>
          <w:noProof/>
          <w:color w:val="auto"/>
          <w:sz w:val="22"/>
          <w:szCs w:val="22"/>
          <w:lang w:val="sr-Cyrl-RS"/>
        </w:rPr>
        <w:t>је</w:t>
      </w:r>
      <w:r w:rsidR="000271D4">
        <w:rPr>
          <w:rFonts w:ascii="Arial" w:hAnsi="Arial" w:cs="Arial"/>
          <w:noProof/>
          <w:color w:val="auto"/>
          <w:sz w:val="22"/>
          <w:szCs w:val="22"/>
          <w:lang w:val="sr-Cyrl-RS"/>
        </w:rPr>
        <w:t xml:space="preserve"> </w:t>
      </w:r>
      <w:r w:rsidR="002904CA">
        <w:rPr>
          <w:rFonts w:ascii="Arial" w:hAnsi="Arial" w:cs="Arial"/>
          <w:noProof/>
          <w:color w:val="auto"/>
          <w:sz w:val="22"/>
          <w:szCs w:val="22"/>
          <w:lang w:val="sr-Cyrl-RS"/>
        </w:rPr>
        <w:t xml:space="preserve"> </w:t>
      </w:r>
      <w:r w:rsidR="00CF1E47">
        <w:rPr>
          <w:rFonts w:ascii="Arial" w:hAnsi="Arial" w:cs="Arial"/>
          <w:noProof/>
          <w:color w:val="auto"/>
          <w:sz w:val="22"/>
          <w:szCs w:val="22"/>
          <w:lang w:val="sr-Cyrl-RS"/>
        </w:rPr>
        <w:t>неисправан</w:t>
      </w:r>
      <w:r w:rsidR="00E35EE8">
        <w:rPr>
          <w:rFonts w:ascii="Arial" w:hAnsi="Arial" w:cs="Arial"/>
          <w:noProof/>
          <w:color w:val="auto"/>
          <w:sz w:val="22"/>
          <w:szCs w:val="22"/>
          <w:lang w:val="sr-Cyrl-RS"/>
        </w:rPr>
        <w:t xml:space="preserve">. </w:t>
      </w:r>
    </w:p>
    <w:p w:rsidR="004620A2" w:rsidRDefault="00DF790D" w:rsidP="00454EE4">
      <w:pPr>
        <w:spacing w:line="240" w:lineRule="auto"/>
        <w:jc w:val="both"/>
        <w:rPr>
          <w:rFonts w:ascii="Arial" w:eastAsia="ヒラギノ角ゴ Pro W3" w:hAnsi="Arial" w:cs="Arial"/>
          <w:noProof/>
          <w:lang w:val="sr-Cyrl-RS" w:eastAsia="sr-Cyrl-CS"/>
        </w:rPr>
      </w:pPr>
      <w:r w:rsidRPr="00DF790D">
        <w:rPr>
          <w:rFonts w:ascii="Arial" w:eastAsia="ヒラギノ角ゴ Pro W3" w:hAnsi="Arial" w:cs="Arial"/>
          <w:noProof/>
          <w:lang w:val="sr-Cyrl-RS" w:eastAsia="sr-Cyrl-CS"/>
        </w:rPr>
        <w:t xml:space="preserve">Пракса Повереника у поступању по притужбама које се односе на приступачност је показала да неретко решење проблема не захтева велика финансијска средства, него препознавање проблема и добру вољу да се проблем реши, због чега је неопходно изградити свест да је приступачност свима важна, а у једном тренутку живота и неопходна, али и изнад свега, да онемогућавање приступачности представља кршење закона. </w:t>
      </w:r>
    </w:p>
    <w:p w:rsidR="00454EE4" w:rsidRDefault="00DF790D" w:rsidP="00454EE4">
      <w:pPr>
        <w:spacing w:line="240" w:lineRule="auto"/>
        <w:jc w:val="both"/>
        <w:rPr>
          <w:rFonts w:ascii="Arial" w:eastAsia="ヒラギノ角ゴ Pro W3" w:hAnsi="Arial" w:cs="Arial"/>
          <w:noProof/>
          <w:lang w:val="sr-Cyrl-RS" w:eastAsia="sr-Cyrl-CS"/>
        </w:rPr>
      </w:pPr>
      <w:r w:rsidRPr="00DF790D">
        <w:rPr>
          <w:rFonts w:ascii="Arial" w:eastAsia="ヒラギノ角ゴ Pro W3" w:hAnsi="Arial" w:cs="Arial"/>
          <w:noProof/>
          <w:lang w:val="sr-Cyrl-RS" w:eastAsia="sr-Cyrl-CS"/>
        </w:rPr>
        <w:t xml:space="preserve">Неприхватљиво је и тешко разумљиво да </w:t>
      </w:r>
      <w:r w:rsidR="006F0E42">
        <w:rPr>
          <w:rFonts w:ascii="Arial" w:eastAsia="Times New Roman" w:hAnsi="Arial" w:cs="Arial"/>
          <w:noProof/>
          <w:lang w:val="sr-Cyrl-RS"/>
        </w:rPr>
        <w:t>здравствене установе специјализоване за рехабилитацију</w:t>
      </w:r>
      <w:r w:rsidR="004620A2">
        <w:rPr>
          <w:rFonts w:ascii="Arial" w:eastAsia="ヒラギノ角ゴ Pro W3" w:hAnsi="Arial" w:cs="Arial"/>
          <w:noProof/>
          <w:lang w:val="sr-Cyrl-RS" w:eastAsia="sr-Cyrl-CS"/>
        </w:rPr>
        <w:t xml:space="preserve"> </w:t>
      </w:r>
      <w:r w:rsidR="006F0E42">
        <w:rPr>
          <w:rFonts w:ascii="Arial" w:eastAsia="ヒラギノ角ゴ Pro W3" w:hAnsi="Arial" w:cs="Arial"/>
          <w:noProof/>
          <w:lang w:val="sr-Cyrl-RS" w:eastAsia="sr-Cyrl-CS"/>
        </w:rPr>
        <w:t>не буду приступачне</w:t>
      </w:r>
      <w:r w:rsidRPr="00DF790D">
        <w:rPr>
          <w:rFonts w:ascii="Arial" w:eastAsia="ヒラギノ角ゴ Pro W3" w:hAnsi="Arial" w:cs="Arial"/>
          <w:noProof/>
          <w:lang w:val="sr-Cyrl-RS" w:eastAsia="sr-Cyrl-CS"/>
        </w:rPr>
        <w:t xml:space="preserve">, јер је ова врста услуге најбитнија управо за </w:t>
      </w:r>
      <w:r w:rsidR="00192A39">
        <w:rPr>
          <w:rFonts w:ascii="Arial" w:eastAsia="ヒラギノ角ゴ Pro W3" w:hAnsi="Arial" w:cs="Arial"/>
          <w:noProof/>
          <w:lang w:val="sr-Cyrl-RS" w:eastAsia="sr-Cyrl-CS"/>
        </w:rPr>
        <w:t>особе</w:t>
      </w:r>
      <w:r w:rsidRPr="00DF790D">
        <w:rPr>
          <w:rFonts w:ascii="Arial" w:eastAsia="ヒラギノ角ゴ Pro W3" w:hAnsi="Arial" w:cs="Arial"/>
          <w:noProof/>
          <w:lang w:val="sr-Cyrl-RS" w:eastAsia="sr-Cyrl-CS"/>
        </w:rPr>
        <w:t xml:space="preserve"> са здравственим тешкоћама и инвалидитетом. </w:t>
      </w:r>
      <w:r w:rsidR="00CF1E47">
        <w:rPr>
          <w:rFonts w:ascii="Arial" w:eastAsia="ヒラギノ角ゴ Pro W3" w:hAnsi="Arial" w:cs="Arial"/>
          <w:noProof/>
          <w:lang w:val="sr-Cyrl-RS" w:eastAsia="sr-Cyrl-CS"/>
        </w:rPr>
        <w:t>Поред наведеног, Повереник користи прилику да укаже да п</w:t>
      </w:r>
      <w:r w:rsidR="00A86B24">
        <w:rPr>
          <w:rFonts w:ascii="Arial" w:eastAsia="ヒラギノ角ゴ Pro W3" w:hAnsi="Arial" w:cs="Arial"/>
          <w:noProof/>
          <w:lang w:val="sr-Cyrl-RS" w:eastAsia="sr-Cyrl-CS"/>
        </w:rPr>
        <w:t>риступачн</w:t>
      </w:r>
      <w:r w:rsidR="004620A2">
        <w:rPr>
          <w:rFonts w:ascii="Arial" w:eastAsia="ヒラギノ角ゴ Pro W3" w:hAnsi="Arial" w:cs="Arial"/>
          <w:noProof/>
          <w:lang w:val="sr-Cyrl-RS" w:eastAsia="sr-Cyrl-CS"/>
        </w:rPr>
        <w:t>и центри</w:t>
      </w:r>
      <w:r w:rsidR="00A86B24">
        <w:rPr>
          <w:rFonts w:ascii="Arial" w:eastAsia="ヒラギノ角ゴ Pro W3" w:hAnsi="Arial" w:cs="Arial"/>
          <w:noProof/>
          <w:lang w:val="sr-Cyrl-RS" w:eastAsia="sr-Cyrl-CS"/>
        </w:rPr>
        <w:t xml:space="preserve"> за рехабилитацију</w:t>
      </w:r>
      <w:r w:rsidRPr="00DF790D">
        <w:rPr>
          <w:rFonts w:ascii="Arial" w:eastAsia="ヒラギノ角ゴ Pro W3" w:hAnsi="Arial" w:cs="Arial"/>
          <w:noProof/>
          <w:lang w:val="sr-Cyrl-RS" w:eastAsia="sr-Cyrl-CS"/>
        </w:rPr>
        <w:t xml:space="preserve"> </w:t>
      </w:r>
      <w:r w:rsidR="00192A39">
        <w:rPr>
          <w:rFonts w:ascii="Arial" w:eastAsia="ヒラギノ角ゴ Pro W3" w:hAnsi="Arial" w:cs="Arial"/>
          <w:noProof/>
          <w:lang w:val="sr-Cyrl-RS" w:eastAsia="sr-Cyrl-CS"/>
        </w:rPr>
        <w:t>могу снажно да утичу и</w:t>
      </w:r>
      <w:r w:rsidRPr="00DF790D">
        <w:rPr>
          <w:rFonts w:ascii="Arial" w:eastAsia="ヒラギノ角ゴ Pro W3" w:hAnsi="Arial" w:cs="Arial"/>
          <w:noProof/>
          <w:lang w:val="sr-Cyrl-RS" w:eastAsia="sr-Cyrl-CS"/>
        </w:rPr>
        <w:t xml:space="preserve"> на развој бањског и медицинског туризма</w:t>
      </w:r>
      <w:r w:rsidR="00192A39">
        <w:rPr>
          <w:rFonts w:ascii="Arial" w:eastAsia="ヒラギノ角ゴ Pro W3" w:hAnsi="Arial" w:cs="Arial"/>
          <w:noProof/>
          <w:lang w:val="sr-Cyrl-RS" w:eastAsia="sr-Cyrl-CS"/>
        </w:rPr>
        <w:t>, а самим тим и на развој локалне заједнице и</w:t>
      </w:r>
      <w:r w:rsidRPr="00DF790D">
        <w:rPr>
          <w:rFonts w:ascii="Arial" w:eastAsia="ヒラギノ角ゴ Pro W3" w:hAnsi="Arial" w:cs="Arial"/>
          <w:noProof/>
          <w:lang w:val="sr-Cyrl-RS" w:eastAsia="sr-Cyrl-CS"/>
        </w:rPr>
        <w:t xml:space="preserve"> места у којем се оваква услуга пружа.</w:t>
      </w:r>
      <w:r w:rsidR="00192A39">
        <w:rPr>
          <w:rFonts w:ascii="Arial" w:eastAsia="ヒラギノ角ゴ Pro W3" w:hAnsi="Arial" w:cs="Arial"/>
          <w:noProof/>
          <w:lang w:val="sr-Cyrl-RS" w:eastAsia="sr-Cyrl-CS"/>
        </w:rPr>
        <w:t xml:space="preserve"> На наведено најбоље указују налази </w:t>
      </w:r>
      <w:r w:rsidR="00192A39" w:rsidRPr="00192A39">
        <w:rPr>
          <w:rFonts w:ascii="Arial" w:eastAsia="ヒラギノ角ゴ Pro W3" w:hAnsi="Arial" w:cs="Arial"/>
          <w:noProof/>
          <w:lang w:val="sr-Cyrl-RS" w:eastAsia="sr-Cyrl-CS"/>
        </w:rPr>
        <w:t>Истраживањ</w:t>
      </w:r>
      <w:r w:rsidR="00192A39">
        <w:rPr>
          <w:rFonts w:ascii="Arial" w:eastAsia="ヒラギノ角ゴ Pro W3" w:hAnsi="Arial" w:cs="Arial"/>
          <w:noProof/>
          <w:lang w:val="sr-Cyrl-RS" w:eastAsia="sr-Cyrl-CS"/>
        </w:rPr>
        <w:t>а</w:t>
      </w:r>
      <w:r w:rsidR="00192A39" w:rsidRPr="00192A39">
        <w:rPr>
          <w:rFonts w:ascii="Arial" w:eastAsia="ヒラギノ角ゴ Pro W3" w:hAnsi="Arial" w:cs="Arial"/>
          <w:noProof/>
          <w:lang w:val="sr-Cyrl-RS" w:eastAsia="sr-Cyrl-CS"/>
        </w:rPr>
        <w:t xml:space="preserve"> о доступности бањских услуга особама са инвалидитетом у Републици Србији</w:t>
      </w:r>
      <w:r w:rsidR="00192A39" w:rsidRPr="00192A39">
        <w:rPr>
          <w:rFonts w:ascii="Arial" w:eastAsia="ヒラギノ角ゴ Pro W3" w:hAnsi="Arial" w:cs="Arial"/>
          <w:noProof/>
          <w:vertAlign w:val="superscript"/>
          <w:lang w:val="sr-Cyrl-RS" w:eastAsia="sr-Cyrl-CS"/>
        </w:rPr>
        <w:footnoteReference w:id="2"/>
      </w:r>
      <w:r w:rsidR="00192A39">
        <w:rPr>
          <w:rFonts w:ascii="Arial" w:eastAsia="ヒラギノ角ゴ Pro W3" w:hAnsi="Arial" w:cs="Arial"/>
          <w:noProof/>
          <w:lang w:val="sr-Cyrl-RS" w:eastAsia="sr-Cyrl-CS"/>
        </w:rPr>
        <w:t xml:space="preserve">. Ово истраживање, кроз пројекат „Живот је бања“ обухватило је две кључне компоненте. У оквиру прве компоненте реализован је обилазак изабраних бањских комплекса у Републици Србији, а у оквиру друге компоненте спроведено је истраживање међу представницима организација особа са инвалидитетом са циљем испитивања каква су њихова искуства у погледу приступачности услуга. Према овом истраживању </w:t>
      </w:r>
      <w:r w:rsidR="00454EE4">
        <w:rPr>
          <w:rFonts w:ascii="Arial" w:eastAsia="ヒラギノ角ゴ Pro W3" w:hAnsi="Arial" w:cs="Arial"/>
          <w:noProof/>
          <w:lang w:val="sr-Cyrl-RS" w:eastAsia="sr-Cyrl-CS"/>
        </w:rPr>
        <w:t xml:space="preserve">ниједна бања која је била предмет истраживања није у потпуности приступачна. Поред тога, у истраживању је наведено да </w:t>
      </w:r>
      <w:r w:rsidR="00192A39">
        <w:rPr>
          <w:rFonts w:ascii="Arial" w:eastAsia="ヒラギノ角ゴ Pro W3" w:hAnsi="Arial" w:cs="Arial"/>
          <w:noProof/>
          <w:lang w:val="sr-Cyrl-RS" w:eastAsia="sr-Cyrl-CS"/>
        </w:rPr>
        <w:t>у</w:t>
      </w:r>
      <w:r w:rsidR="00192A39" w:rsidRPr="000271D4">
        <w:rPr>
          <w:rFonts w:ascii="Arial" w:eastAsia="ヒラギノ角ゴ Pro W3" w:hAnsi="Arial" w:cs="Arial"/>
          <w:noProof/>
          <w:lang w:val="sr-Cyrl-RS" w:eastAsia="sr-Cyrl-CS"/>
        </w:rPr>
        <w:t xml:space="preserve">колико би се решило питање приступачности бањских капацитета, пре свега у хотелским деловима смештаја, део анкетираних </w:t>
      </w:r>
      <w:r w:rsidR="00192A39">
        <w:rPr>
          <w:rFonts w:ascii="Arial" w:eastAsia="ヒラギノ角ゴ Pro W3" w:hAnsi="Arial" w:cs="Arial"/>
          <w:noProof/>
          <w:lang w:val="sr-Cyrl-RS" w:eastAsia="sr-Cyrl-CS"/>
        </w:rPr>
        <w:t xml:space="preserve">особа са инвалидитетом </w:t>
      </w:r>
      <w:r w:rsidR="00192A39" w:rsidRPr="000271D4">
        <w:rPr>
          <w:rFonts w:ascii="Arial" w:eastAsia="ヒラギノ角ゴ Pro W3" w:hAnsi="Arial" w:cs="Arial"/>
          <w:noProof/>
          <w:lang w:val="sr-Cyrl-RS" w:eastAsia="sr-Cyrl-CS"/>
        </w:rPr>
        <w:t xml:space="preserve">би био спреман да плати боравак </w:t>
      </w:r>
      <w:r w:rsidR="00192A39">
        <w:rPr>
          <w:rFonts w:ascii="Arial" w:eastAsia="ヒラギノ角ゴ Pro W3" w:hAnsi="Arial" w:cs="Arial"/>
          <w:noProof/>
          <w:lang w:val="sr-Cyrl-RS" w:eastAsia="sr-Cyrl-CS"/>
        </w:rPr>
        <w:t xml:space="preserve">у бањи </w:t>
      </w:r>
      <w:r w:rsidR="00192A39" w:rsidRPr="000271D4">
        <w:rPr>
          <w:rFonts w:ascii="Arial" w:eastAsia="ヒラギノ角ゴ Pro W3" w:hAnsi="Arial" w:cs="Arial"/>
          <w:noProof/>
          <w:lang w:val="sr-Cyrl-RS" w:eastAsia="sr-Cyrl-CS"/>
        </w:rPr>
        <w:t xml:space="preserve">једном годишње, док је осталима новац </w:t>
      </w:r>
      <w:r w:rsidR="00192A39">
        <w:rPr>
          <w:rFonts w:ascii="Arial" w:eastAsia="ヒラギノ角ゴ Pro W3" w:hAnsi="Arial" w:cs="Arial"/>
          <w:noProof/>
          <w:lang w:val="sr-Cyrl-RS" w:eastAsia="sr-Cyrl-CS"/>
        </w:rPr>
        <w:t xml:space="preserve">и даље </w:t>
      </w:r>
      <w:r w:rsidR="00192A39" w:rsidRPr="000271D4">
        <w:rPr>
          <w:rFonts w:ascii="Arial" w:eastAsia="ヒラギノ角ゴ Pro W3" w:hAnsi="Arial" w:cs="Arial"/>
          <w:noProof/>
          <w:lang w:val="sr-Cyrl-RS" w:eastAsia="sr-Cyrl-CS"/>
        </w:rPr>
        <w:t>непремостива препрека</w:t>
      </w:r>
      <w:r w:rsidR="00192A39">
        <w:rPr>
          <w:rFonts w:ascii="Arial" w:eastAsia="ヒラギノ角ゴ Pro W3" w:hAnsi="Arial" w:cs="Arial"/>
          <w:noProof/>
          <w:lang w:val="sr-Cyrl-RS" w:eastAsia="sr-Cyrl-CS"/>
        </w:rPr>
        <w:t xml:space="preserve"> због чега услуге рехабилитационог центра користе посредством </w:t>
      </w:r>
      <w:r w:rsidR="00454EE4">
        <w:rPr>
          <w:rFonts w:ascii="Arial" w:eastAsia="ヒラギノ角ゴ Pro W3" w:hAnsi="Arial" w:cs="Arial"/>
          <w:noProof/>
          <w:lang w:val="sr-Cyrl-RS" w:eastAsia="sr-Cyrl-CS"/>
        </w:rPr>
        <w:t>надлежног фонда</w:t>
      </w:r>
      <w:r w:rsidR="00192A39" w:rsidRPr="000271D4">
        <w:rPr>
          <w:rFonts w:ascii="Arial" w:eastAsia="ヒラギノ角ゴ Pro W3" w:hAnsi="Arial" w:cs="Arial"/>
          <w:noProof/>
          <w:lang w:val="sr-Cyrl-RS" w:eastAsia="sr-Cyrl-CS"/>
        </w:rPr>
        <w:t>.</w:t>
      </w:r>
      <w:r w:rsidR="00454EE4">
        <w:rPr>
          <w:rFonts w:ascii="Arial" w:eastAsia="ヒラギノ角ゴ Pro W3" w:hAnsi="Arial" w:cs="Arial"/>
          <w:noProof/>
          <w:lang w:val="sr-Cyrl-RS" w:eastAsia="sr-Cyrl-CS"/>
        </w:rPr>
        <w:t xml:space="preserve"> </w:t>
      </w:r>
    </w:p>
    <w:p w:rsidR="005D18C2" w:rsidRDefault="00454EE4" w:rsidP="00454EE4">
      <w:pPr>
        <w:spacing w:line="240" w:lineRule="auto"/>
        <w:jc w:val="both"/>
        <w:rPr>
          <w:rFonts w:ascii="Arial" w:eastAsia="ヒラギノ角ゴ Pro W3" w:hAnsi="Arial" w:cs="Arial"/>
          <w:noProof/>
          <w:lang w:val="sr-Cyrl-RS" w:eastAsia="sr-Cyrl-CS"/>
        </w:rPr>
      </w:pPr>
      <w:r>
        <w:rPr>
          <w:rFonts w:ascii="Arial" w:eastAsia="ヒラギノ角ゴ Pro W3" w:hAnsi="Arial" w:cs="Arial"/>
          <w:noProof/>
          <w:lang w:val="sr-Cyrl-RS" w:eastAsia="sr-Cyrl-CS"/>
        </w:rPr>
        <w:t xml:space="preserve">У истраживању је истакнуто да су </w:t>
      </w:r>
      <w:r w:rsidR="000271D4">
        <w:rPr>
          <w:rFonts w:ascii="Arial" w:eastAsia="ヒラギノ角ゴ Pro W3" w:hAnsi="Arial" w:cs="Arial"/>
          <w:noProof/>
          <w:lang w:val="sr-Cyrl-RS" w:eastAsia="sr-Cyrl-CS"/>
        </w:rPr>
        <w:t xml:space="preserve">спроведени обиласци шест бања у Србији, при чему је </w:t>
      </w:r>
      <w:r w:rsidR="000271D4" w:rsidRPr="000271D4">
        <w:rPr>
          <w:rFonts w:ascii="Arial" w:eastAsia="ヒラギノ角ゴ Pro W3" w:hAnsi="Arial" w:cs="Arial"/>
          <w:noProof/>
          <w:lang w:val="sr-Cyrl-RS" w:eastAsia="sr-Cyrl-CS"/>
        </w:rPr>
        <w:t>уочено да ниједна не поседује у потпуности одговарајуће услове за боравак особа са инвалидитетом и да је потребно донети свеобухватан план прилагођавања бањских комплекса особама са инвалидитетом и старијим особама</w:t>
      </w:r>
      <w:r w:rsidR="000271D4">
        <w:rPr>
          <w:rFonts w:ascii="Arial" w:eastAsia="ヒラギノ角ゴ Pro W3" w:hAnsi="Arial" w:cs="Arial"/>
          <w:noProof/>
          <w:lang w:val="sr-Cyrl-RS" w:eastAsia="sr-Cyrl-CS"/>
        </w:rPr>
        <w:t>, као и другим особама које из здравствених или других разлога се отежано крећу или се крећу помоћу колица.</w:t>
      </w:r>
      <w:r w:rsidR="000271D4" w:rsidRPr="000271D4">
        <w:rPr>
          <w:rFonts w:ascii="Arial" w:eastAsia="ヒラギノ角ゴ Pro W3" w:hAnsi="Arial" w:cs="Arial"/>
          <w:noProof/>
          <w:lang w:val="sr-Cyrl-RS" w:eastAsia="sr-Cyrl-CS"/>
        </w:rPr>
        <w:t xml:space="preserve"> Иако су неке бање реконструисале своје објекте, нису узеле у обзир стандарде приступачности који су по закону обавезни, па тако у већини случајева недостају столице за улазак у базен, нема приступачних соба за кориснике у инвалидским колицима, не постоје приступачни тоалети, већина нема обележена паркинг места за особе са инвалидитетом. Истраживање је показало да је неприступачност услуга и капацитета једнако велика препрека особама са инвалидитетом да бораве у бањама, ко</w:t>
      </w:r>
      <w:r w:rsidR="005D18C2">
        <w:rPr>
          <w:rFonts w:ascii="Arial" w:eastAsia="ヒラギノ角ゴ Pro W3" w:hAnsi="Arial" w:cs="Arial"/>
          <w:noProof/>
          <w:lang w:val="sr-Cyrl-RS" w:eastAsia="sr-Cyrl-CS"/>
        </w:rPr>
        <w:t xml:space="preserve">лико и финансирање тог боравка јер је </w:t>
      </w:r>
      <w:r w:rsidR="000271D4" w:rsidRPr="000271D4">
        <w:rPr>
          <w:rFonts w:ascii="Arial" w:eastAsia="ヒラギノ角ゴ Pro W3" w:hAnsi="Arial" w:cs="Arial"/>
          <w:noProof/>
          <w:lang w:val="sr-Cyrl-RS" w:eastAsia="sr-Cyrl-CS"/>
        </w:rPr>
        <w:t>правилници</w:t>
      </w:r>
      <w:r w:rsidR="005D18C2">
        <w:rPr>
          <w:rFonts w:ascii="Arial" w:eastAsia="ヒラギノ角ゴ Pro W3" w:hAnsi="Arial" w:cs="Arial"/>
          <w:noProof/>
          <w:lang w:val="sr-Cyrl-RS" w:eastAsia="sr-Cyrl-CS"/>
        </w:rPr>
        <w:t>ма</w:t>
      </w:r>
      <w:r w:rsidR="000271D4" w:rsidRPr="000271D4">
        <w:rPr>
          <w:rFonts w:ascii="Arial" w:eastAsia="ヒラギノ角ゴ Pro W3" w:hAnsi="Arial" w:cs="Arial"/>
          <w:noProof/>
          <w:lang w:val="sr-Cyrl-RS" w:eastAsia="sr-Cyrl-CS"/>
        </w:rPr>
        <w:t xml:space="preserve"> отежано</w:t>
      </w:r>
      <w:r w:rsidR="005D18C2">
        <w:rPr>
          <w:rFonts w:ascii="Arial" w:eastAsia="ヒラギノ角ゴ Pro W3" w:hAnsi="Arial" w:cs="Arial"/>
          <w:noProof/>
          <w:lang w:val="sr-Cyrl-RS" w:eastAsia="sr-Cyrl-CS"/>
        </w:rPr>
        <w:t>, односно ограничено</w:t>
      </w:r>
      <w:r w:rsidR="000271D4" w:rsidRPr="000271D4">
        <w:rPr>
          <w:rFonts w:ascii="Arial" w:eastAsia="ヒラギノ角ゴ Pro W3" w:hAnsi="Arial" w:cs="Arial"/>
          <w:noProof/>
          <w:lang w:val="sr-Cyrl-RS" w:eastAsia="sr-Cyrl-CS"/>
        </w:rPr>
        <w:t xml:space="preserve"> остваривање </w:t>
      </w:r>
      <w:r w:rsidR="005D18C2">
        <w:rPr>
          <w:rFonts w:ascii="Arial" w:eastAsia="ヒラギノ角ゴ Pro W3" w:hAnsi="Arial" w:cs="Arial"/>
          <w:noProof/>
          <w:lang w:val="sr-Cyrl-RS" w:eastAsia="sr-Cyrl-CS"/>
        </w:rPr>
        <w:t xml:space="preserve">овог </w:t>
      </w:r>
      <w:r w:rsidR="000271D4" w:rsidRPr="000271D4">
        <w:rPr>
          <w:rFonts w:ascii="Arial" w:eastAsia="ヒラギノ角ゴ Pro W3" w:hAnsi="Arial" w:cs="Arial"/>
          <w:noProof/>
          <w:lang w:val="sr-Cyrl-RS" w:eastAsia="sr-Cyrl-CS"/>
        </w:rPr>
        <w:t xml:space="preserve">права. </w:t>
      </w:r>
    </w:p>
    <w:p w:rsidR="005D18C2" w:rsidRDefault="005D18C2" w:rsidP="005D18C2">
      <w:pPr>
        <w:spacing w:after="0" w:line="240" w:lineRule="auto"/>
        <w:jc w:val="both"/>
        <w:rPr>
          <w:rFonts w:ascii="Arial" w:eastAsia="ヒラギノ角ゴ Pro W3" w:hAnsi="Arial" w:cs="Arial"/>
          <w:noProof/>
          <w:lang w:val="sr-Cyrl-RS" w:eastAsia="sr-Cyrl-CS"/>
        </w:rPr>
      </w:pPr>
      <w:r>
        <w:rPr>
          <w:rFonts w:ascii="Arial" w:eastAsia="ヒラギノ角ゴ Pro W3" w:hAnsi="Arial" w:cs="Arial"/>
          <w:noProof/>
          <w:lang w:val="sr-Cyrl-RS" w:eastAsia="sr-Cyrl-CS"/>
        </w:rPr>
        <w:t xml:space="preserve">Повереник је и ранијих година, након спроведених поступака по притужбама, указивао на овакво стање ствари, дајући </w:t>
      </w:r>
      <w:r w:rsidR="00454EE4">
        <w:rPr>
          <w:rFonts w:ascii="Arial" w:eastAsia="ヒラギノ角ゴ Pro W3" w:hAnsi="Arial" w:cs="Arial"/>
          <w:noProof/>
          <w:lang w:val="sr-Cyrl-RS" w:eastAsia="sr-Cyrl-CS"/>
        </w:rPr>
        <w:t xml:space="preserve">у конкретним случајевима </w:t>
      </w:r>
      <w:r>
        <w:rPr>
          <w:rFonts w:ascii="Arial" w:eastAsia="ヒラギノ角ゴ Pro W3" w:hAnsi="Arial" w:cs="Arial"/>
          <w:noProof/>
          <w:lang w:val="sr-Cyrl-RS" w:eastAsia="sr-Cyrl-CS"/>
        </w:rPr>
        <w:t xml:space="preserve">препоруке које мере је потребно предузети  како би се ово стање поправило. </w:t>
      </w:r>
    </w:p>
    <w:p w:rsidR="005D18C2" w:rsidRDefault="005D18C2" w:rsidP="005D18C2">
      <w:pPr>
        <w:spacing w:after="0" w:line="240" w:lineRule="auto"/>
        <w:jc w:val="both"/>
        <w:rPr>
          <w:rFonts w:ascii="Arial" w:eastAsia="ヒラギノ角ゴ Pro W3" w:hAnsi="Arial" w:cs="Arial"/>
          <w:noProof/>
          <w:lang w:val="sr-Cyrl-RS" w:eastAsia="sr-Cyrl-CS"/>
        </w:rPr>
      </w:pPr>
    </w:p>
    <w:p w:rsidR="005D18C2" w:rsidRPr="004620A2" w:rsidRDefault="00454EE4" w:rsidP="004620A2">
      <w:pPr>
        <w:pStyle w:val="Body"/>
        <w:tabs>
          <w:tab w:val="left" w:pos="9072"/>
        </w:tabs>
        <w:spacing w:after="120"/>
        <w:jc w:val="both"/>
        <w:rPr>
          <w:rFonts w:ascii="Arial" w:hAnsi="Arial" w:cs="Arial"/>
          <w:noProof/>
          <w:color w:val="auto"/>
          <w:sz w:val="22"/>
          <w:szCs w:val="22"/>
          <w:lang w:val="sr-Cyrl-RS"/>
        </w:rPr>
      </w:pPr>
      <w:r>
        <w:rPr>
          <w:rFonts w:ascii="Arial" w:hAnsi="Arial" w:cs="Arial"/>
          <w:noProof/>
          <w:lang w:val="sr-Cyrl-RS"/>
        </w:rPr>
        <w:t>С обзиром</w:t>
      </w:r>
      <w:r w:rsidR="005D18C2">
        <w:rPr>
          <w:rFonts w:ascii="Arial" w:hAnsi="Arial" w:cs="Arial"/>
          <w:noProof/>
          <w:lang w:val="sr-Cyrl-RS"/>
        </w:rPr>
        <w:t xml:space="preserve"> да </w:t>
      </w:r>
      <w:r w:rsidR="003D533A">
        <w:rPr>
          <w:rFonts w:ascii="Arial" w:hAnsi="Arial" w:cs="Arial"/>
          <w:noProof/>
          <w:lang w:val="sr-Cyrl-RS"/>
        </w:rPr>
        <w:t xml:space="preserve">проблем и даље постоји, као и да је </w:t>
      </w:r>
      <w:r w:rsidR="005D18C2">
        <w:rPr>
          <w:rFonts w:ascii="Arial" w:hAnsi="Arial" w:cs="Arial"/>
          <w:noProof/>
          <w:lang w:val="sr-Cyrl-RS"/>
        </w:rPr>
        <w:t>рехабилитација изузетно битна у процесу побољшавања и унапређења здравственог стања особа са инвалидитетом</w:t>
      </w:r>
      <w:r w:rsidR="005D18C2" w:rsidRPr="005D18C2">
        <w:rPr>
          <w:rFonts w:ascii="Arial" w:hAnsi="Arial" w:cs="Arial"/>
          <w:noProof/>
          <w:lang w:val="sr-Cyrl-RS"/>
        </w:rPr>
        <w:t>, на основу члана 33. став 1. тачка 9) Закона о забрани дискриминације</w:t>
      </w:r>
      <w:r w:rsidR="003D533A">
        <w:rPr>
          <w:rFonts w:ascii="Arial" w:hAnsi="Arial" w:cs="Arial"/>
          <w:noProof/>
          <w:lang w:val="sr-Cyrl-RS"/>
        </w:rPr>
        <w:t>,</w:t>
      </w:r>
      <w:r w:rsidR="005D18C2" w:rsidRPr="005D18C2">
        <w:rPr>
          <w:rFonts w:ascii="Arial" w:hAnsi="Arial" w:cs="Arial"/>
          <w:noProof/>
          <w:lang w:val="sr-Cyrl-RS"/>
        </w:rPr>
        <w:t xml:space="preserve"> Повереник упућује ову препоруку мера у циљу унапређења приступачности сви</w:t>
      </w:r>
      <w:r w:rsidR="003D533A">
        <w:rPr>
          <w:rFonts w:ascii="Arial" w:hAnsi="Arial" w:cs="Arial"/>
          <w:noProof/>
          <w:lang w:val="sr-Cyrl-RS"/>
        </w:rPr>
        <w:t>х</w:t>
      </w:r>
      <w:r w:rsidR="005D18C2" w:rsidRPr="005D18C2">
        <w:rPr>
          <w:rFonts w:ascii="Arial" w:hAnsi="Arial" w:cs="Arial"/>
          <w:noProof/>
          <w:lang w:val="sr-Cyrl-RS"/>
        </w:rPr>
        <w:t xml:space="preserve"> </w:t>
      </w:r>
      <w:r w:rsidR="00A86B24">
        <w:rPr>
          <w:rFonts w:ascii="Arial" w:hAnsi="Arial" w:cs="Arial"/>
          <w:noProof/>
          <w:lang w:val="sr-Cyrl-RS"/>
        </w:rPr>
        <w:t xml:space="preserve">здравствених установа специјализованих за </w:t>
      </w:r>
      <w:r w:rsidR="004620A2">
        <w:rPr>
          <w:rFonts w:ascii="Arial" w:hAnsi="Arial" w:cs="Arial"/>
          <w:noProof/>
          <w:lang w:val="sr-Cyrl-RS"/>
        </w:rPr>
        <w:t xml:space="preserve">продужену </w:t>
      </w:r>
      <w:r w:rsidR="00A86B24">
        <w:rPr>
          <w:rFonts w:ascii="Arial" w:hAnsi="Arial" w:cs="Arial"/>
          <w:noProof/>
          <w:lang w:val="sr-Cyrl-RS"/>
        </w:rPr>
        <w:t>рехабилитацију</w:t>
      </w:r>
      <w:r w:rsidR="005D18C2" w:rsidRPr="005D18C2">
        <w:rPr>
          <w:rFonts w:ascii="Arial" w:hAnsi="Arial" w:cs="Arial"/>
          <w:noProof/>
          <w:lang w:val="sr-Cyrl-RS"/>
        </w:rPr>
        <w:t xml:space="preserve"> и то како они</w:t>
      </w:r>
      <w:r w:rsidR="003D533A">
        <w:rPr>
          <w:rFonts w:ascii="Arial" w:hAnsi="Arial" w:cs="Arial"/>
          <w:noProof/>
          <w:lang w:val="sr-Cyrl-RS"/>
        </w:rPr>
        <w:t>х</w:t>
      </w:r>
      <w:r w:rsidR="005D18C2" w:rsidRPr="005D18C2">
        <w:rPr>
          <w:rFonts w:ascii="Arial" w:hAnsi="Arial" w:cs="Arial"/>
          <w:noProof/>
          <w:lang w:val="sr-Cyrl-RS"/>
        </w:rPr>
        <w:t xml:space="preserve"> кој</w:t>
      </w:r>
      <w:r w:rsidR="003D533A">
        <w:rPr>
          <w:rFonts w:ascii="Arial" w:hAnsi="Arial" w:cs="Arial"/>
          <w:noProof/>
          <w:lang w:val="sr-Cyrl-RS"/>
        </w:rPr>
        <w:t>и</w:t>
      </w:r>
      <w:r w:rsidR="005D18C2" w:rsidRPr="005D18C2">
        <w:rPr>
          <w:rFonts w:ascii="Arial" w:hAnsi="Arial" w:cs="Arial"/>
          <w:noProof/>
          <w:lang w:val="sr-Cyrl-RS"/>
        </w:rPr>
        <w:t xml:space="preserve"> су скоро у потпуности приступачни, тако и они</w:t>
      </w:r>
      <w:r w:rsidR="003D533A">
        <w:rPr>
          <w:rFonts w:ascii="Arial" w:hAnsi="Arial" w:cs="Arial"/>
          <w:noProof/>
          <w:lang w:val="sr-Cyrl-RS"/>
        </w:rPr>
        <w:t>х</w:t>
      </w:r>
      <w:r w:rsidR="005D18C2" w:rsidRPr="005D18C2">
        <w:rPr>
          <w:rFonts w:ascii="Arial" w:hAnsi="Arial" w:cs="Arial"/>
          <w:noProof/>
          <w:lang w:val="sr-Cyrl-RS"/>
        </w:rPr>
        <w:t xml:space="preserve"> који треба још пуно тога да ураде по питању обезбеђивања прис</w:t>
      </w:r>
      <w:r w:rsidR="005D18C2">
        <w:rPr>
          <w:rFonts w:ascii="Arial" w:hAnsi="Arial" w:cs="Arial"/>
          <w:noProof/>
          <w:lang w:val="sr-Cyrl-RS"/>
        </w:rPr>
        <w:t>тупачности и то не само физичке</w:t>
      </w:r>
      <w:r w:rsidR="005D18C2" w:rsidRPr="005D18C2">
        <w:rPr>
          <w:rFonts w:ascii="Arial" w:hAnsi="Arial" w:cs="Arial"/>
          <w:noProof/>
          <w:lang w:val="sr-Cyrl-RS"/>
        </w:rPr>
        <w:t xml:space="preserve">, већ и </w:t>
      </w:r>
      <w:r w:rsidR="005D18C2" w:rsidRPr="004620A2">
        <w:rPr>
          <w:rFonts w:ascii="Arial" w:hAnsi="Arial" w:cs="Arial"/>
          <w:noProof/>
          <w:color w:val="auto"/>
          <w:sz w:val="22"/>
          <w:szCs w:val="22"/>
          <w:lang w:val="sr-Cyrl-RS"/>
        </w:rPr>
        <w:t xml:space="preserve">информационо-комуникационе за особе са сензорним инвалидитетом. </w:t>
      </w:r>
    </w:p>
    <w:p w:rsidR="00CF1E47" w:rsidRPr="00CF1E47" w:rsidRDefault="003D533A" w:rsidP="00CF1E47">
      <w:pPr>
        <w:pStyle w:val="Body"/>
        <w:tabs>
          <w:tab w:val="left" w:pos="9072"/>
        </w:tabs>
        <w:spacing w:after="120"/>
        <w:jc w:val="both"/>
        <w:rPr>
          <w:rFonts w:ascii="Arial" w:hAnsi="Arial" w:cs="Arial"/>
          <w:noProof/>
          <w:color w:val="auto"/>
          <w:sz w:val="22"/>
          <w:szCs w:val="22"/>
          <w:lang w:val="sr-Cyrl-RS"/>
        </w:rPr>
      </w:pPr>
      <w:r>
        <w:rPr>
          <w:rFonts w:ascii="Arial" w:hAnsi="Arial" w:cs="Arial"/>
          <w:noProof/>
          <w:color w:val="auto"/>
          <w:sz w:val="22"/>
          <w:szCs w:val="22"/>
          <w:lang w:val="sr-Cyrl-RS"/>
        </w:rPr>
        <w:t>С тим у вези, Повереник указује на</w:t>
      </w:r>
      <w:r w:rsidR="00CF1E47" w:rsidRPr="00CF1E47">
        <w:rPr>
          <w:rFonts w:ascii="Arial" w:hAnsi="Arial" w:cs="Arial"/>
          <w:noProof/>
          <w:color w:val="auto"/>
          <w:sz w:val="22"/>
          <w:szCs w:val="22"/>
          <w:lang w:val="sr-Cyrl-RS"/>
        </w:rPr>
        <w:t xml:space="preserve"> поједине одредбе прописа које се односе на </w:t>
      </w:r>
      <w:r w:rsidR="005D18C2">
        <w:rPr>
          <w:rFonts w:ascii="Arial" w:hAnsi="Arial" w:cs="Arial"/>
          <w:noProof/>
          <w:color w:val="auto"/>
          <w:sz w:val="22"/>
          <w:szCs w:val="22"/>
          <w:lang w:val="sr-Cyrl-RS"/>
        </w:rPr>
        <w:t>обавезност обезбеђивања приступачности.</w:t>
      </w:r>
    </w:p>
    <w:p w:rsidR="005D18C2" w:rsidRDefault="00CF1E47" w:rsidP="00CF1E47">
      <w:pPr>
        <w:pStyle w:val="Body"/>
        <w:tabs>
          <w:tab w:val="left" w:pos="9072"/>
        </w:tabs>
        <w:spacing w:after="120"/>
        <w:jc w:val="both"/>
        <w:rPr>
          <w:rFonts w:ascii="Arial" w:hAnsi="Arial" w:cs="Arial"/>
          <w:noProof/>
          <w:color w:val="auto"/>
          <w:sz w:val="22"/>
          <w:szCs w:val="22"/>
          <w:lang w:val="sr-Cyrl-RS"/>
        </w:rPr>
      </w:pPr>
      <w:r w:rsidRPr="00CF1E47">
        <w:rPr>
          <w:rFonts w:ascii="Arial" w:hAnsi="Arial" w:cs="Arial"/>
          <w:noProof/>
          <w:color w:val="auto"/>
          <w:sz w:val="22"/>
          <w:szCs w:val="22"/>
          <w:lang w:val="sr-Cyrl-RS"/>
        </w:rPr>
        <w:t xml:space="preserve">Уставом Републике Србије  прописана забрана дискриминације, непосредне или посредне,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 </w:t>
      </w:r>
    </w:p>
    <w:p w:rsidR="005D18C2" w:rsidRDefault="005D18C2" w:rsidP="00CF1E47">
      <w:pPr>
        <w:pStyle w:val="Body"/>
        <w:tabs>
          <w:tab w:val="left" w:pos="9072"/>
        </w:tabs>
        <w:spacing w:after="120"/>
        <w:jc w:val="both"/>
        <w:rPr>
          <w:rFonts w:ascii="Arial" w:hAnsi="Arial" w:cs="Arial"/>
          <w:noProof/>
          <w:color w:val="auto"/>
          <w:sz w:val="22"/>
          <w:szCs w:val="22"/>
          <w:lang w:val="sr-Cyrl-RS"/>
        </w:rPr>
      </w:pPr>
      <w:r w:rsidRPr="005D18C2">
        <w:rPr>
          <w:rFonts w:ascii="Arial" w:hAnsi="Arial" w:cs="Arial"/>
          <w:noProof/>
          <w:color w:val="auto"/>
          <w:sz w:val="22"/>
          <w:szCs w:val="22"/>
          <w:lang w:val="sr-Cyrl-RS"/>
        </w:rPr>
        <w:t>Република Србија ратификовала УН Конвенцију о</w:t>
      </w:r>
      <w:r>
        <w:rPr>
          <w:rFonts w:ascii="Arial" w:hAnsi="Arial" w:cs="Arial"/>
          <w:noProof/>
          <w:color w:val="auto"/>
          <w:sz w:val="22"/>
          <w:szCs w:val="22"/>
          <w:lang w:val="sr-Cyrl-RS"/>
        </w:rPr>
        <w:t xml:space="preserve"> правима особа са инвалидитетом</w:t>
      </w:r>
      <w:r w:rsidRPr="005D18C2">
        <w:rPr>
          <w:rFonts w:ascii="Arial" w:hAnsi="Arial" w:cs="Arial"/>
          <w:noProof/>
          <w:color w:val="auto"/>
          <w:sz w:val="22"/>
          <w:szCs w:val="22"/>
          <w:lang w:val="sr-Cyrl-RS"/>
        </w:rPr>
        <w:t>, чији је циљ да се унапреди, заштити и осигура пуно и једнако уживање свих људских права и основних слобода свим особама са инвалидитетом и унапреди поштовањ</w:t>
      </w:r>
      <w:r>
        <w:rPr>
          <w:rFonts w:ascii="Arial" w:hAnsi="Arial" w:cs="Arial"/>
          <w:noProof/>
          <w:color w:val="auto"/>
          <w:sz w:val="22"/>
          <w:szCs w:val="22"/>
          <w:lang w:val="sr-Cyrl-RS"/>
        </w:rPr>
        <w:t>е њиховог урођеног достојанства</w:t>
      </w:r>
      <w:r w:rsidRPr="005D18C2">
        <w:rPr>
          <w:rFonts w:ascii="Arial" w:hAnsi="Arial" w:cs="Arial"/>
          <w:noProof/>
          <w:color w:val="auto"/>
          <w:sz w:val="22"/>
          <w:szCs w:val="22"/>
          <w:lang w:val="sr-Cyrl-RS"/>
        </w:rPr>
        <w:t xml:space="preserve">. Конвенција под дискриминацијом на основу инвалидитета подразумева сваку разлику, искључивање или ограничење по основу инвалидитета, што има за циљ или ефекат нарушења или поништења признавања, уживања или вршења, равноправно са другима, свих људских права и основних слобода у политичкој, економској, друштвеној, културној, цивилној или било којој другој области. Конвенцијом су обухваћени и сви облици дискриминације, укључујући и ускраћивање разумног прилагођавања, а државе уговорнице се обавезују да забране сваку дискриминацију по основу инвалидитета и гарантују особама са инвалидитетом једнаку и ефикасну правну заштиту од дискриминације по било ком основу. Чланом 9. Конвенције између осталог је прописано да ће у циљу омогућавања самосталног живота и пуног учешћа особа са инвалидитетом у свим сферама живота, државе уговорнице предузети одговарајуће мере да особама са инвалидитетом обезбеде приступ, равноправно са другима, физичком окружењу, превозу, информацијама и комуникацијама, укључујући информационе и комуникационе технологије и системе, као и другим погодностима и услугама које стоје на располагању јавности. Те мере, које укључују и идентификацију и уклањање препрека и баријера приступачности, односе се, између осталог на зграде, путеве, превозна средства и друге погодности у затвореном и на отвореном простору, укључујући школе, стамбене објекте, здравствене објекте и радна места. </w:t>
      </w:r>
      <w:r>
        <w:rPr>
          <w:rFonts w:ascii="Arial" w:hAnsi="Arial" w:cs="Arial"/>
          <w:noProof/>
          <w:color w:val="auto"/>
          <w:sz w:val="22"/>
          <w:szCs w:val="22"/>
          <w:lang w:val="sr-Cyrl-RS"/>
        </w:rPr>
        <w:t>Ч</w:t>
      </w:r>
      <w:r w:rsidRPr="005D18C2">
        <w:rPr>
          <w:rFonts w:ascii="Arial" w:hAnsi="Arial" w:cs="Arial"/>
          <w:noProof/>
          <w:color w:val="auto"/>
          <w:sz w:val="22"/>
          <w:szCs w:val="22"/>
          <w:lang w:val="sr-Cyrl-RS"/>
        </w:rPr>
        <w:t>ланом 25. став 1. Конвенције прописано је да државе стране уговорнице признају особама са инвалидитетом право на остваривање највишег могућег стандарда без дискриминације засноване на инвалидитету, као и да ће државе стране уговорнице предузети све одговарајуће мере како би особама са инвалидитетом омогућиле приступ здравственим услугама, водећи рачуна о полу, укључујући и рехабилитацију у вези са здрављем.</w:t>
      </w:r>
    </w:p>
    <w:p w:rsidR="00CF1E47" w:rsidRPr="00592036" w:rsidRDefault="00CF1E47" w:rsidP="00CF1E47">
      <w:pPr>
        <w:pStyle w:val="Body"/>
        <w:tabs>
          <w:tab w:val="left" w:pos="9072"/>
        </w:tabs>
        <w:spacing w:after="120"/>
        <w:jc w:val="both"/>
        <w:rPr>
          <w:rFonts w:ascii="Arial" w:hAnsi="Arial" w:cs="Arial"/>
          <w:noProof/>
          <w:color w:val="auto"/>
          <w:sz w:val="22"/>
          <w:szCs w:val="22"/>
          <w:lang w:val="sr-Cyrl-RS"/>
        </w:rPr>
      </w:pPr>
      <w:r w:rsidRPr="00592036">
        <w:rPr>
          <w:rFonts w:ascii="Arial" w:hAnsi="Arial" w:cs="Arial"/>
          <w:noProof/>
          <w:color w:val="auto"/>
          <w:sz w:val="22"/>
          <w:szCs w:val="22"/>
          <w:lang w:val="sr-Cyrl-RS"/>
        </w:rPr>
        <w:t>Уставна забрана дискриминације ближе је разрађена Законом о забрани дискриминације , којим је дискриминација дефинисана као свако неоправдано прављење разлике или неједнако поступање, односно пропуштање (искључивање, ограничавање или давање првенства), у односу на лица или групе као и чланове њихових породица, или њима блиска лица, на отворен или прикривен начин, а која се заснива на раси, боји коже, прецима, држављанству, националној припадности или етничком пореклу, језику, верским или политичким убеђењима, полу родном идентитету, сексуалној оријентацији, имовном стању, рођењу, генетским особеностима, здравственом стању, инвалидитету, брачном и породичном статусу, осуђиваности, старосном добу, изгледу и чланству у политичким, синдикалним и другим организацијама и другим стварним, односно претпостављеним личним својствима. Одредбама члана 17. став 1. овог закона прописано је да дискриминација у пружању јавних услуга постоји ако правно или физичко лице, у оквиру своје делатности, односно занимања, на основу личног својства лица или групе лица, одбије пружање услуге, за пружање услуге тражи испуњење услова који се не траже од других лица или групе лица, односно ако у пружању услуга неоправдано омогући првенс</w:t>
      </w:r>
      <w:r w:rsidR="00592036" w:rsidRPr="00592036">
        <w:rPr>
          <w:rFonts w:ascii="Arial" w:hAnsi="Arial" w:cs="Arial"/>
          <w:noProof/>
          <w:color w:val="auto"/>
          <w:sz w:val="22"/>
          <w:szCs w:val="22"/>
          <w:lang w:val="sr-Cyrl-RS"/>
        </w:rPr>
        <w:t>тво другом лицу или групи лица</w:t>
      </w:r>
      <w:r w:rsidR="005D18C2" w:rsidRPr="00592036">
        <w:rPr>
          <w:rFonts w:ascii="Arial" w:hAnsi="Arial" w:cs="Arial"/>
          <w:noProof/>
          <w:sz w:val="22"/>
          <w:szCs w:val="22"/>
          <w:lang w:val="sr-Cyrl-CS"/>
        </w:rPr>
        <w:t>, док је ставом 2. истог члана између осталог прописано да свако има право на једнак приступ објектима у јавној употреби (објекти у којима се налазе седишта органа јавне власти, објекти у области образовања, здравства, социјалне заштите, културе, спорта, туризма, објекти који се користе за заштиту животне средине, за заштиту од елементарних непогода и сл.), у складу са законом.</w:t>
      </w:r>
      <w:r w:rsidR="005D18C2" w:rsidRPr="00592036">
        <w:rPr>
          <w:rFonts w:ascii="Arial" w:hAnsi="Arial" w:cs="Arial"/>
          <w:noProof/>
          <w:sz w:val="22"/>
          <w:szCs w:val="22"/>
          <w:lang w:val="sr-Cyrl-RS"/>
        </w:rPr>
        <w:t xml:space="preserve"> Такође, ч</w:t>
      </w:r>
      <w:r w:rsidR="005D18C2" w:rsidRPr="00592036">
        <w:rPr>
          <w:rFonts w:ascii="Arial" w:hAnsi="Arial" w:cs="Arial"/>
          <w:noProof/>
          <w:sz w:val="22"/>
          <w:szCs w:val="22"/>
          <w:lang w:val="sr-Cyrl-CS"/>
        </w:rPr>
        <w:t xml:space="preserve">ланом 26. став 1. Закона о забрани дискриминације прописано је да дискриминација постоји ако се поступа противно начелу поштовања једнаких права и слобода особа са инвалидитетом у политичком, економском, културном и другом аспекту јавног, професионалног, приватног и породичног живота. </w:t>
      </w:r>
      <w:r w:rsidRPr="00592036">
        <w:rPr>
          <w:rFonts w:ascii="Arial" w:hAnsi="Arial" w:cs="Arial"/>
          <w:noProof/>
          <w:color w:val="auto"/>
          <w:sz w:val="22"/>
          <w:szCs w:val="22"/>
          <w:lang w:val="sr-Cyrl-RS"/>
        </w:rPr>
        <w:t>Одредбама члана 27. забрањена је дискриминација лица или групе лица с обзиром на њихово здравствено стање, као и чланова њихових породица.</w:t>
      </w:r>
    </w:p>
    <w:p w:rsidR="00CF1E47" w:rsidRDefault="00CF1E47" w:rsidP="00CF1E47">
      <w:pPr>
        <w:pStyle w:val="Body"/>
        <w:tabs>
          <w:tab w:val="left" w:pos="9072"/>
        </w:tabs>
        <w:spacing w:after="120"/>
        <w:jc w:val="both"/>
        <w:rPr>
          <w:rFonts w:ascii="Arial" w:hAnsi="Arial" w:cs="Arial"/>
          <w:noProof/>
          <w:color w:val="auto"/>
          <w:sz w:val="22"/>
          <w:szCs w:val="22"/>
          <w:lang w:val="sr-Cyrl-RS"/>
        </w:rPr>
      </w:pPr>
      <w:r w:rsidRPr="00CF1E47">
        <w:rPr>
          <w:rFonts w:ascii="Arial" w:hAnsi="Arial" w:cs="Arial"/>
          <w:noProof/>
          <w:color w:val="auto"/>
          <w:sz w:val="22"/>
          <w:szCs w:val="22"/>
          <w:lang w:val="sr-Cyrl-RS"/>
        </w:rPr>
        <w:t>Закон о спречавању дискриминације особа са инвалидитетом  у члану 13. став 1. прописује да  је забрањена дискриминација на основу инвалидности у погледу доступности услуга и приступа објектима у јавној употреби и јавним површинама. Ставом 2. исте одредбе прописано је да се под услугом, у смислу овог закона, сматра свака услуга коју, уз накнаду или без ње, правно или физичко лице пружа у оквиру своје делатности, односно трајног занимања, док је ставом 3. исте одредбе закона прописано да се под објектима у јавној употреби, у смислу овог закона, сматрају: објекти у области образовања, здравства, социјалне заштите, културе, спорта, туризма или објекти који се користе за заштиту животне средине, заштиту од елементарних непогода и слично. Одредбама члана 13. став 5. прописано је да дискриминација на основу инвалидности у погледу доступности услуга нарочито обухвата, између осталог, одбијање да се изврши техничка адаптација објекта неопходна да би се услуга пружила кориснику са инвалидитетом. Чланом 16. став 1. истог закона, између осталог, прописано је да је власник објекта у јавној употреби, дужан да обезбеде приступ објекту у јавној употреби, односно јавној површини свим особама са инвалидитетом, без обзира на врсту и степен њихове инвалидности, док је ставом 2. исте одредбе прописано да обавезу из става 1. овог члана има и друго лице на које је пренето право коришћења, осим ако је са власником, односно надлежним органом уговорило другачије. Одредбама члана 15. став 3. овог закона прописано је да је власник објекта у јавној употреби дужан да изврши адаптацију објекта у циљу задовољавања услова за испуњавање обавезе из става 1. овог члана.</w:t>
      </w:r>
    </w:p>
    <w:p w:rsidR="0099010E" w:rsidRDefault="0042639C" w:rsidP="0042639C">
      <w:pPr>
        <w:pStyle w:val="Body"/>
        <w:tabs>
          <w:tab w:val="left" w:pos="9072"/>
        </w:tabs>
        <w:spacing w:after="120"/>
        <w:jc w:val="both"/>
        <w:rPr>
          <w:rFonts w:ascii="Arial" w:hAnsi="Arial" w:cs="Arial"/>
          <w:noProof/>
          <w:sz w:val="22"/>
          <w:szCs w:val="22"/>
        </w:rPr>
      </w:pPr>
      <w:r w:rsidRPr="0042639C">
        <w:rPr>
          <w:rFonts w:ascii="Arial" w:hAnsi="Arial" w:cs="Arial"/>
          <w:noProof/>
          <w:sz w:val="22"/>
          <w:szCs w:val="22"/>
          <w:lang w:val="sr-Cyrl-CS"/>
        </w:rPr>
        <w:t>Одредбом члана 23. Закона о здравственој заштити</w:t>
      </w:r>
      <w:r w:rsidRPr="0042639C">
        <w:rPr>
          <w:rFonts w:ascii="Arial" w:hAnsi="Arial" w:cs="Arial"/>
          <w:noProof/>
          <w:sz w:val="22"/>
          <w:szCs w:val="22"/>
          <w:vertAlign w:val="superscript"/>
          <w:lang w:val="sr-Cyrl-CS"/>
        </w:rPr>
        <w:footnoteReference w:id="3"/>
      </w:r>
      <w:r w:rsidRPr="0042639C">
        <w:rPr>
          <w:rFonts w:ascii="Arial" w:hAnsi="Arial" w:cs="Arial"/>
          <w:noProof/>
          <w:sz w:val="22"/>
          <w:szCs w:val="22"/>
          <w:lang w:val="sr-Cyrl-CS"/>
        </w:rPr>
        <w:t xml:space="preserve"> прописано је да </w:t>
      </w:r>
      <w:r w:rsidRPr="0042639C">
        <w:rPr>
          <w:rFonts w:ascii="Arial" w:hAnsi="Arial" w:cs="Arial"/>
          <w:noProof/>
          <w:sz w:val="22"/>
          <w:szCs w:val="22"/>
          <w:lang w:val="sr-Cyrl-RS"/>
        </w:rPr>
        <w:t>начело приступачности здравствене заштите подразумева обезбеђивање одговарајуће здравствене заштите грађанима, која је физички, комуникацијски, географски и економски доступна, односно културолошки прихватљива, а посебно особама са инвалидитетом.</w:t>
      </w:r>
    </w:p>
    <w:p w:rsidR="0099010E" w:rsidRPr="005027EE" w:rsidRDefault="00F465D7" w:rsidP="0042639C">
      <w:pPr>
        <w:pStyle w:val="Body"/>
        <w:tabs>
          <w:tab w:val="left" w:pos="9072"/>
        </w:tabs>
        <w:spacing w:after="120"/>
        <w:jc w:val="both"/>
        <w:rPr>
          <w:rFonts w:ascii="Arial" w:hAnsi="Arial" w:cs="Arial"/>
          <w:noProof/>
          <w:sz w:val="22"/>
          <w:szCs w:val="22"/>
          <w:lang w:val="sr-Cyrl-RS"/>
        </w:rPr>
      </w:pPr>
      <w:r>
        <w:rPr>
          <w:rFonts w:ascii="Arial" w:hAnsi="Arial" w:cs="Arial"/>
          <w:noProof/>
          <w:sz w:val="22"/>
          <w:szCs w:val="22"/>
          <w:lang w:val="sr-Cyrl-RS"/>
        </w:rPr>
        <w:t>Одредбом члана 30. Уредбе о плану мреже здравствених установа</w:t>
      </w:r>
      <w:r w:rsidR="00E65717" w:rsidRPr="0042639C">
        <w:rPr>
          <w:rFonts w:ascii="Arial" w:hAnsi="Arial" w:cs="Arial"/>
          <w:noProof/>
          <w:sz w:val="22"/>
          <w:szCs w:val="22"/>
          <w:vertAlign w:val="superscript"/>
          <w:lang w:val="sr-Cyrl-CS"/>
        </w:rPr>
        <w:footnoteReference w:id="4"/>
      </w:r>
      <w:r>
        <w:rPr>
          <w:rFonts w:ascii="Arial" w:hAnsi="Arial" w:cs="Arial"/>
          <w:noProof/>
          <w:sz w:val="22"/>
          <w:szCs w:val="22"/>
          <w:lang w:val="sr-Cyrl-RS"/>
        </w:rPr>
        <w:t xml:space="preserve"> прописано је да се </w:t>
      </w:r>
      <w:r>
        <w:rPr>
          <w:rFonts w:ascii="Arial" w:hAnsi="Arial" w:cs="Arial"/>
          <w:noProof/>
          <w:sz w:val="22"/>
          <w:szCs w:val="22"/>
        </w:rPr>
        <w:t>п</w:t>
      </w:r>
      <w:r w:rsidRPr="00F465D7">
        <w:rPr>
          <w:rFonts w:ascii="Arial" w:hAnsi="Arial" w:cs="Arial"/>
          <w:noProof/>
          <w:sz w:val="22"/>
          <w:szCs w:val="22"/>
        </w:rPr>
        <w:t>родужена рехабилитација у стационарним установама специјализованим</w:t>
      </w:r>
      <w:r>
        <w:rPr>
          <w:rFonts w:ascii="Arial" w:hAnsi="Arial" w:cs="Arial"/>
          <w:noProof/>
          <w:sz w:val="22"/>
          <w:szCs w:val="22"/>
        </w:rPr>
        <w:t xml:space="preserve"> за рехабилитацију обезбеђује</w:t>
      </w:r>
      <w:r w:rsidRPr="00F465D7">
        <w:rPr>
          <w:rFonts w:ascii="Arial" w:hAnsi="Arial" w:cs="Arial"/>
          <w:noProof/>
          <w:sz w:val="22"/>
          <w:szCs w:val="22"/>
        </w:rPr>
        <w:t xml:space="preserve"> </w:t>
      </w:r>
      <w:r>
        <w:rPr>
          <w:rFonts w:ascii="Arial" w:hAnsi="Arial" w:cs="Arial"/>
          <w:noProof/>
          <w:sz w:val="22"/>
          <w:szCs w:val="22"/>
        </w:rPr>
        <w:t>за следећа индикациона подручја</w:t>
      </w:r>
      <w:r>
        <w:rPr>
          <w:rFonts w:ascii="Arial" w:hAnsi="Arial" w:cs="Arial"/>
          <w:noProof/>
          <w:sz w:val="22"/>
          <w:szCs w:val="22"/>
          <w:lang w:val="sr-Cyrl-RS"/>
        </w:rPr>
        <w:t xml:space="preserve"> 1)</w:t>
      </w:r>
      <w:r>
        <w:rPr>
          <w:rFonts w:ascii="Arial" w:hAnsi="Arial" w:cs="Arial"/>
          <w:noProof/>
          <w:sz w:val="22"/>
          <w:szCs w:val="22"/>
        </w:rPr>
        <w:t xml:space="preserve"> неуролошких обољења;</w:t>
      </w:r>
      <w:r>
        <w:rPr>
          <w:rFonts w:ascii="Arial" w:hAnsi="Arial" w:cs="Arial"/>
          <w:noProof/>
          <w:sz w:val="22"/>
          <w:szCs w:val="22"/>
          <w:lang w:val="sr-Cyrl-RS"/>
        </w:rPr>
        <w:t xml:space="preserve"> </w:t>
      </w:r>
      <w:r w:rsidRPr="00F465D7">
        <w:rPr>
          <w:rFonts w:ascii="Arial" w:hAnsi="Arial" w:cs="Arial"/>
          <w:noProof/>
          <w:sz w:val="22"/>
          <w:szCs w:val="22"/>
        </w:rPr>
        <w:t>2</w:t>
      </w:r>
      <w:r>
        <w:rPr>
          <w:rFonts w:ascii="Arial" w:hAnsi="Arial" w:cs="Arial"/>
          <w:noProof/>
          <w:sz w:val="22"/>
          <w:szCs w:val="22"/>
        </w:rPr>
        <w:t>) обољења срца и крвних судова:</w:t>
      </w:r>
      <w:r w:rsidR="005027EE">
        <w:rPr>
          <w:rFonts w:ascii="Arial" w:hAnsi="Arial" w:cs="Arial"/>
          <w:noProof/>
          <w:sz w:val="22"/>
          <w:szCs w:val="22"/>
          <w:lang w:val="sr-Cyrl-RS"/>
        </w:rPr>
        <w:t xml:space="preserve"> </w:t>
      </w:r>
      <w:r w:rsidRPr="00F465D7">
        <w:rPr>
          <w:rFonts w:ascii="Arial" w:hAnsi="Arial" w:cs="Arial"/>
          <w:noProof/>
          <w:sz w:val="22"/>
          <w:szCs w:val="22"/>
        </w:rPr>
        <w:t>(а) об</w:t>
      </w:r>
      <w:r>
        <w:rPr>
          <w:rFonts w:ascii="Arial" w:hAnsi="Arial" w:cs="Arial"/>
          <w:noProof/>
          <w:sz w:val="22"/>
          <w:szCs w:val="22"/>
        </w:rPr>
        <w:t>ољења периферних крвних судова;</w:t>
      </w:r>
      <w:r>
        <w:rPr>
          <w:rFonts w:ascii="Arial" w:hAnsi="Arial" w:cs="Arial"/>
          <w:noProof/>
          <w:sz w:val="22"/>
          <w:szCs w:val="22"/>
          <w:lang w:val="sr-Cyrl-RS"/>
        </w:rPr>
        <w:t xml:space="preserve"> </w:t>
      </w:r>
      <w:r>
        <w:rPr>
          <w:rFonts w:ascii="Arial" w:hAnsi="Arial" w:cs="Arial"/>
          <w:noProof/>
          <w:sz w:val="22"/>
          <w:szCs w:val="22"/>
        </w:rPr>
        <w:t>3) реуматска обољења;</w:t>
      </w:r>
      <w:r>
        <w:rPr>
          <w:rFonts w:ascii="Arial" w:hAnsi="Arial" w:cs="Arial"/>
          <w:noProof/>
          <w:sz w:val="22"/>
          <w:szCs w:val="22"/>
          <w:lang w:val="sr-Cyrl-RS"/>
        </w:rPr>
        <w:t xml:space="preserve"> </w:t>
      </w:r>
      <w:r w:rsidRPr="00F465D7">
        <w:rPr>
          <w:rFonts w:ascii="Arial" w:hAnsi="Arial" w:cs="Arial"/>
          <w:noProof/>
          <w:sz w:val="22"/>
          <w:szCs w:val="22"/>
        </w:rPr>
        <w:t>4)</w:t>
      </w:r>
      <w:r>
        <w:rPr>
          <w:rFonts w:ascii="Arial" w:hAnsi="Arial" w:cs="Arial"/>
          <w:noProof/>
          <w:sz w:val="22"/>
          <w:szCs w:val="22"/>
        </w:rPr>
        <w:t xml:space="preserve"> обољења респираторног система;</w:t>
      </w:r>
      <w:r>
        <w:rPr>
          <w:rFonts w:ascii="Arial" w:hAnsi="Arial" w:cs="Arial"/>
          <w:noProof/>
          <w:sz w:val="22"/>
          <w:szCs w:val="22"/>
          <w:lang w:val="sr-Cyrl-RS"/>
        </w:rPr>
        <w:t xml:space="preserve"> </w:t>
      </w:r>
      <w:r w:rsidRPr="00F465D7">
        <w:rPr>
          <w:rFonts w:ascii="Arial" w:hAnsi="Arial" w:cs="Arial"/>
          <w:noProof/>
          <w:sz w:val="22"/>
          <w:szCs w:val="22"/>
        </w:rPr>
        <w:t xml:space="preserve">5) повреде </w:t>
      </w:r>
      <w:r>
        <w:rPr>
          <w:rFonts w:ascii="Arial" w:hAnsi="Arial" w:cs="Arial"/>
          <w:noProof/>
          <w:sz w:val="22"/>
          <w:szCs w:val="22"/>
        </w:rPr>
        <w:t>и обољења локомоторног система;</w:t>
      </w:r>
      <w:r>
        <w:rPr>
          <w:rFonts w:ascii="Arial" w:hAnsi="Arial" w:cs="Arial"/>
          <w:noProof/>
          <w:sz w:val="22"/>
          <w:szCs w:val="22"/>
          <w:lang w:val="sr-Cyrl-RS"/>
        </w:rPr>
        <w:t xml:space="preserve"> </w:t>
      </w:r>
      <w:r w:rsidRPr="00F465D7">
        <w:rPr>
          <w:rFonts w:ascii="Arial" w:hAnsi="Arial" w:cs="Arial"/>
          <w:noProof/>
          <w:sz w:val="22"/>
          <w:szCs w:val="22"/>
        </w:rPr>
        <w:t>6) ендокринолошка обољења.</w:t>
      </w:r>
      <w:r w:rsidR="005027EE">
        <w:rPr>
          <w:rFonts w:ascii="Arial" w:hAnsi="Arial" w:cs="Arial"/>
          <w:noProof/>
          <w:sz w:val="22"/>
          <w:szCs w:val="22"/>
          <w:lang w:val="sr-Cyrl-RS"/>
        </w:rPr>
        <w:t xml:space="preserve"> </w:t>
      </w:r>
      <w:r w:rsidRPr="00F465D7">
        <w:rPr>
          <w:rFonts w:ascii="Arial" w:hAnsi="Arial" w:cs="Arial"/>
          <w:noProof/>
          <w:sz w:val="22"/>
          <w:szCs w:val="22"/>
        </w:rPr>
        <w:t>Продужену рехабилитацију из области поменутих индикационих подручја обезбеђују следеће здравствене установе специјализоване за рехабилитацију:</w:t>
      </w:r>
      <w:r w:rsidR="007823F4">
        <w:rPr>
          <w:rFonts w:ascii="Arial" w:hAnsi="Arial" w:cs="Arial"/>
          <w:noProof/>
          <w:sz w:val="22"/>
          <w:szCs w:val="22"/>
          <w:lang w:val="sr-Cyrl-RS"/>
        </w:rPr>
        <w:t xml:space="preserve"> </w:t>
      </w:r>
      <w:r w:rsidRPr="00F465D7">
        <w:rPr>
          <w:rFonts w:ascii="Arial" w:hAnsi="Arial" w:cs="Arial"/>
          <w:noProof/>
          <w:sz w:val="22"/>
          <w:szCs w:val="22"/>
        </w:rPr>
        <w:t>1) Специјална болница за рехабилитацију Меленци, 300 постеља за рехабилитацију - за неуролошка обољења, реуматска обољења и повреде и обољења локомоторног система;</w:t>
      </w:r>
      <w:r w:rsidR="007823F4">
        <w:rPr>
          <w:rFonts w:ascii="Arial" w:hAnsi="Arial" w:cs="Arial"/>
          <w:noProof/>
          <w:sz w:val="22"/>
          <w:szCs w:val="22"/>
          <w:lang w:val="sr-Cyrl-RS"/>
        </w:rPr>
        <w:t xml:space="preserve"> </w:t>
      </w:r>
      <w:r w:rsidR="007823F4">
        <w:rPr>
          <w:rFonts w:ascii="Arial" w:hAnsi="Arial" w:cs="Arial"/>
          <w:noProof/>
          <w:sz w:val="22"/>
          <w:szCs w:val="22"/>
        </w:rPr>
        <w:t xml:space="preserve">2) </w:t>
      </w:r>
      <w:r w:rsidRPr="00F465D7">
        <w:rPr>
          <w:rFonts w:ascii="Arial" w:hAnsi="Arial" w:cs="Arial"/>
          <w:noProof/>
          <w:sz w:val="22"/>
          <w:szCs w:val="22"/>
        </w:rPr>
        <w:t>Специјална болница за рехабилитацију Бања Кањижа, 140 постеља за рехабилитацију - за неуролошка обољења, реуматска обољења и повреде и обољења локомоторног система;</w:t>
      </w:r>
      <w:r w:rsidR="007823F4">
        <w:rPr>
          <w:rFonts w:ascii="Arial" w:hAnsi="Arial" w:cs="Arial"/>
          <w:noProof/>
          <w:sz w:val="22"/>
          <w:szCs w:val="22"/>
          <w:lang w:val="sr-Cyrl-RS"/>
        </w:rPr>
        <w:t xml:space="preserve"> </w:t>
      </w:r>
      <w:r w:rsidRPr="00F465D7">
        <w:rPr>
          <w:rFonts w:ascii="Arial" w:hAnsi="Arial" w:cs="Arial"/>
          <w:noProof/>
          <w:sz w:val="22"/>
          <w:szCs w:val="22"/>
        </w:rPr>
        <w:t>3) Специјална болница за рехабилитацију "Јунаковић" Апатин, 140 постеља за рехабилитацију - за неуролошка обољења, реуматска обољења, повреде и обољења локомоторног система и ендокринолошка обољења;4) Специјална болница за неуролошка и посттрауматска стања Стари Сланкамен, 295 постеља за рехабилитацију - за неуролошка обољења, реуматска обољења и повреде и обољења локомоторног система;</w:t>
      </w:r>
      <w:r w:rsidR="005027EE">
        <w:rPr>
          <w:rFonts w:ascii="Arial" w:hAnsi="Arial" w:cs="Arial"/>
          <w:noProof/>
          <w:sz w:val="22"/>
          <w:szCs w:val="22"/>
          <w:lang w:val="sr-Cyrl-RS"/>
        </w:rPr>
        <w:t xml:space="preserve"> </w:t>
      </w:r>
      <w:r w:rsidRPr="00F465D7">
        <w:rPr>
          <w:rFonts w:ascii="Arial" w:hAnsi="Arial" w:cs="Arial"/>
          <w:noProof/>
          <w:sz w:val="22"/>
          <w:szCs w:val="22"/>
        </w:rPr>
        <w:t>5) Специјална болница за рехабилитацију Врдник, 90 постеља за рехабилитацију - за реуматска обољења и повреде и обољења локомоторног система;</w:t>
      </w:r>
      <w:r w:rsidR="004620A2">
        <w:rPr>
          <w:rFonts w:ascii="Arial" w:hAnsi="Arial" w:cs="Arial"/>
          <w:noProof/>
          <w:sz w:val="22"/>
          <w:szCs w:val="22"/>
          <w:lang w:val="sr-Cyrl-RS"/>
        </w:rPr>
        <w:t xml:space="preserve"> </w:t>
      </w:r>
      <w:r w:rsidRPr="00F465D7">
        <w:rPr>
          <w:rFonts w:ascii="Arial" w:hAnsi="Arial" w:cs="Arial"/>
          <w:noProof/>
          <w:sz w:val="22"/>
          <w:szCs w:val="22"/>
        </w:rPr>
        <w:t>6) Специјална болница за рехабилитацију Бања Ковиљача, 200 постеља за рехабилитацију - за неуролошка обољења, реуматска обољења, повреде и обољења локомоторног система и рехабилитацију деце;</w:t>
      </w:r>
      <w:r w:rsidR="005027EE">
        <w:rPr>
          <w:rFonts w:ascii="Arial" w:hAnsi="Arial" w:cs="Arial"/>
          <w:noProof/>
          <w:sz w:val="22"/>
          <w:szCs w:val="22"/>
          <w:lang w:val="sr-Cyrl-RS"/>
        </w:rPr>
        <w:t xml:space="preserve"> </w:t>
      </w:r>
      <w:r w:rsidRPr="00F465D7">
        <w:rPr>
          <w:rFonts w:ascii="Arial" w:hAnsi="Arial" w:cs="Arial"/>
          <w:noProof/>
          <w:sz w:val="22"/>
          <w:szCs w:val="22"/>
        </w:rPr>
        <w:t>7) Специјална болница за рехабилитацију "Буковичка Бања", Аранђеловац, 50 постеља за рехабилитацију - за реуматска обољења, обољења респираторног система, повреде и обољења локомоторног система и рехабилитацију деце;</w:t>
      </w:r>
      <w:r w:rsidR="005027EE">
        <w:rPr>
          <w:rFonts w:ascii="Arial" w:hAnsi="Arial" w:cs="Arial"/>
          <w:noProof/>
          <w:sz w:val="22"/>
          <w:szCs w:val="22"/>
          <w:lang w:val="sr-Cyrl-RS"/>
        </w:rPr>
        <w:t xml:space="preserve"> </w:t>
      </w:r>
      <w:r w:rsidRPr="00F465D7">
        <w:rPr>
          <w:rFonts w:ascii="Arial" w:hAnsi="Arial" w:cs="Arial"/>
          <w:noProof/>
          <w:sz w:val="22"/>
          <w:szCs w:val="22"/>
        </w:rPr>
        <w:t>8) Специјална болница за неспецифичне плућне болести "Сокобања", Сокобања, 165 постеља за рехабилитацију - за реуматска обољења, обољења респираторног система, повреде и обољења локомоторног система и рехабилитацију деце;</w:t>
      </w:r>
      <w:r w:rsidR="005027EE">
        <w:rPr>
          <w:rFonts w:ascii="Arial" w:hAnsi="Arial" w:cs="Arial"/>
          <w:noProof/>
          <w:sz w:val="22"/>
          <w:szCs w:val="22"/>
          <w:lang w:val="sr-Cyrl-RS"/>
        </w:rPr>
        <w:t xml:space="preserve"> </w:t>
      </w:r>
      <w:r w:rsidRPr="00F465D7">
        <w:rPr>
          <w:rFonts w:ascii="Arial" w:hAnsi="Arial" w:cs="Arial"/>
          <w:noProof/>
          <w:sz w:val="22"/>
          <w:szCs w:val="22"/>
        </w:rPr>
        <w:t>9) Специјална болница за рехабилитацију "Гамзиград", Зајечар, 90 постеља за рехабилитацију - за неуролошка обољења, обољења периферних крвних судова, реуматска обољења и повреде и обољења локомоторног система;</w:t>
      </w:r>
      <w:r w:rsidR="005027EE">
        <w:rPr>
          <w:rFonts w:ascii="Arial" w:hAnsi="Arial" w:cs="Arial"/>
          <w:noProof/>
          <w:sz w:val="22"/>
          <w:szCs w:val="22"/>
          <w:lang w:val="sr-Cyrl-RS"/>
        </w:rPr>
        <w:t xml:space="preserve"> </w:t>
      </w:r>
      <w:r w:rsidRPr="00F465D7">
        <w:rPr>
          <w:rFonts w:ascii="Arial" w:hAnsi="Arial" w:cs="Arial"/>
          <w:noProof/>
          <w:sz w:val="22"/>
          <w:szCs w:val="22"/>
        </w:rPr>
        <w:t>10) Специјална болница за болести штитасте жлезде и болести метаболизма "Златибор", Чајетина, 70 постеља за рехабилитацију - за реуматска обољења, повреде и обољења локомоторног система, ендокринолошка обољења и рехабилитацију деце;</w:t>
      </w:r>
      <w:r w:rsidR="005027EE">
        <w:rPr>
          <w:rFonts w:ascii="Arial" w:hAnsi="Arial" w:cs="Arial"/>
          <w:noProof/>
          <w:sz w:val="22"/>
          <w:szCs w:val="22"/>
          <w:lang w:val="sr-Cyrl-RS"/>
        </w:rPr>
        <w:t xml:space="preserve"> </w:t>
      </w:r>
      <w:r w:rsidRPr="00F465D7">
        <w:rPr>
          <w:rFonts w:ascii="Arial" w:hAnsi="Arial" w:cs="Arial"/>
          <w:noProof/>
          <w:sz w:val="22"/>
          <w:szCs w:val="22"/>
        </w:rPr>
        <w:t>11) Специјална болница за рехабилитацију Ивањица, 90 постеља за рехабилитацију - за реуматска обољења, обољења респираторног система и повреде и обољења локомоторног система и онколошку рехабилитацију деце;</w:t>
      </w:r>
      <w:r w:rsidR="005027EE">
        <w:rPr>
          <w:rFonts w:ascii="Arial" w:hAnsi="Arial" w:cs="Arial"/>
          <w:noProof/>
          <w:sz w:val="22"/>
          <w:szCs w:val="22"/>
          <w:lang w:val="sr-Cyrl-RS"/>
        </w:rPr>
        <w:t xml:space="preserve"> </w:t>
      </w:r>
      <w:r w:rsidRPr="00F465D7">
        <w:rPr>
          <w:rFonts w:ascii="Arial" w:hAnsi="Arial" w:cs="Arial"/>
          <w:noProof/>
          <w:sz w:val="22"/>
          <w:szCs w:val="22"/>
        </w:rPr>
        <w:t>12) Специјална болница за лечење и рехабилитацију "Меркур" Врњачка Бања, 300 постеља за рехабилитацију - за неуролошка обољења, реуматска обољења, повреде и обољења локомоторног система и ендокринолошка обољења;</w:t>
      </w:r>
      <w:r w:rsidR="005027EE">
        <w:rPr>
          <w:rFonts w:ascii="Arial" w:hAnsi="Arial" w:cs="Arial"/>
          <w:noProof/>
          <w:sz w:val="22"/>
          <w:szCs w:val="22"/>
          <w:lang w:val="sr-Cyrl-RS"/>
        </w:rPr>
        <w:t xml:space="preserve"> </w:t>
      </w:r>
      <w:r w:rsidRPr="00F465D7">
        <w:rPr>
          <w:rFonts w:ascii="Arial" w:hAnsi="Arial" w:cs="Arial"/>
          <w:noProof/>
          <w:sz w:val="22"/>
          <w:szCs w:val="22"/>
        </w:rPr>
        <w:t>13) Специјална болница за рехабилитацију "Агенс", Матарушка Бања, Краљево, 140 постеља за рехабилитацију - за неуролошка обољења, реуматска обољења и повреде и обољења локомоторног система;</w:t>
      </w:r>
      <w:r w:rsidR="005027EE">
        <w:rPr>
          <w:rFonts w:ascii="Arial" w:hAnsi="Arial" w:cs="Arial"/>
          <w:noProof/>
          <w:sz w:val="22"/>
          <w:szCs w:val="22"/>
          <w:lang w:val="sr-Cyrl-RS"/>
        </w:rPr>
        <w:t xml:space="preserve"> </w:t>
      </w:r>
      <w:r w:rsidRPr="00F465D7">
        <w:rPr>
          <w:rFonts w:ascii="Arial" w:hAnsi="Arial" w:cs="Arial"/>
          <w:noProof/>
          <w:sz w:val="22"/>
          <w:szCs w:val="22"/>
        </w:rPr>
        <w:t>14) Специјална болница за прогресивне мишићне и неуромишићне болести Нови Пазар, 100 постеља за рехабилитацију - за неуролошка обољења, реуматска обољења, повреде и обољења локомоторног система и рехабилитацију деце;</w:t>
      </w:r>
      <w:r w:rsidR="005027EE">
        <w:rPr>
          <w:rFonts w:ascii="Arial" w:hAnsi="Arial" w:cs="Arial"/>
          <w:noProof/>
          <w:sz w:val="22"/>
          <w:szCs w:val="22"/>
          <w:lang w:val="sr-Cyrl-RS"/>
        </w:rPr>
        <w:t xml:space="preserve"> </w:t>
      </w:r>
      <w:r w:rsidRPr="00F465D7">
        <w:rPr>
          <w:rFonts w:ascii="Arial" w:hAnsi="Arial" w:cs="Arial"/>
          <w:noProof/>
          <w:sz w:val="22"/>
          <w:szCs w:val="22"/>
        </w:rPr>
        <w:t>15) Специјална болница за рехабилитацију "Рибарска Бања", Крушевац, 260 постеља за рехабилитацију - за неуролошка обољења, реуматска обољења и повреде и обољења локомоторног система;</w:t>
      </w:r>
      <w:r w:rsidR="005027EE">
        <w:rPr>
          <w:rFonts w:ascii="Arial" w:hAnsi="Arial" w:cs="Arial"/>
          <w:noProof/>
          <w:sz w:val="22"/>
          <w:szCs w:val="22"/>
          <w:lang w:val="sr-Cyrl-RS"/>
        </w:rPr>
        <w:t xml:space="preserve"> </w:t>
      </w:r>
      <w:r w:rsidRPr="00F465D7">
        <w:rPr>
          <w:rFonts w:ascii="Arial" w:hAnsi="Arial" w:cs="Arial"/>
          <w:noProof/>
          <w:sz w:val="22"/>
          <w:szCs w:val="22"/>
        </w:rPr>
        <w:t>16) Институт за лечење и рехабилитацију "Нишка Бања", Ниш, 350 постеља за рехабилитацију - за обољења срца и крвних судова, реуматска обољења и повреде и обољења локомоторног система;</w:t>
      </w:r>
      <w:r w:rsidR="005027EE">
        <w:rPr>
          <w:rFonts w:ascii="Arial" w:hAnsi="Arial" w:cs="Arial"/>
          <w:noProof/>
          <w:sz w:val="22"/>
          <w:szCs w:val="22"/>
          <w:lang w:val="sr-Cyrl-RS"/>
        </w:rPr>
        <w:t xml:space="preserve"> </w:t>
      </w:r>
      <w:r w:rsidRPr="00F465D7">
        <w:rPr>
          <w:rFonts w:ascii="Arial" w:hAnsi="Arial" w:cs="Arial"/>
          <w:noProof/>
          <w:sz w:val="22"/>
          <w:szCs w:val="22"/>
        </w:rPr>
        <w:t>17) Специјална болница за рехабилитацију "Гејзер", Сијаринска Бања, Медвеђа, 50 постеља за рехабилитацију - за реуматска обољења и повреде и обољења локомоторног система;</w:t>
      </w:r>
      <w:r w:rsidR="005027EE">
        <w:rPr>
          <w:rFonts w:ascii="Arial" w:hAnsi="Arial" w:cs="Arial"/>
          <w:noProof/>
          <w:sz w:val="22"/>
          <w:szCs w:val="22"/>
          <w:lang w:val="sr-Cyrl-RS"/>
        </w:rPr>
        <w:t xml:space="preserve"> </w:t>
      </w:r>
      <w:r w:rsidRPr="00F465D7">
        <w:rPr>
          <w:rFonts w:ascii="Arial" w:hAnsi="Arial" w:cs="Arial"/>
          <w:noProof/>
          <w:sz w:val="22"/>
          <w:szCs w:val="22"/>
        </w:rPr>
        <w:t>18) Специјална болница за рехабилитацију Бујановац, 40 постеља за рехабилитацију - обољења периферних крвних судова, реуматска обољења и повреде и обољења локомоторног система;</w:t>
      </w:r>
      <w:r w:rsidR="005027EE">
        <w:rPr>
          <w:rFonts w:ascii="Arial" w:hAnsi="Arial" w:cs="Arial"/>
          <w:noProof/>
          <w:sz w:val="22"/>
          <w:szCs w:val="22"/>
          <w:lang w:val="sr-Cyrl-RS"/>
        </w:rPr>
        <w:t xml:space="preserve"> </w:t>
      </w:r>
      <w:r w:rsidRPr="00F465D7">
        <w:rPr>
          <w:rFonts w:ascii="Arial" w:hAnsi="Arial" w:cs="Arial"/>
          <w:noProof/>
          <w:sz w:val="22"/>
          <w:szCs w:val="22"/>
        </w:rPr>
        <w:t>20) Институт за рехабилитацију, Београд, 370 постеља за рехабилитацију - за неуролошка обољења, обољења срца и крвних судова, реуматска обољења, обољења респираторног система и повреде, обољења локомоторног система и рехабилитацију деце, укључујући и онколошку рехабилитацију.</w:t>
      </w:r>
    </w:p>
    <w:p w:rsidR="00CF1E47" w:rsidRPr="00CF1E47" w:rsidRDefault="00CF1E47" w:rsidP="00CF1E47">
      <w:pPr>
        <w:pStyle w:val="Body"/>
        <w:tabs>
          <w:tab w:val="left" w:pos="9072"/>
        </w:tabs>
        <w:spacing w:after="120"/>
        <w:jc w:val="both"/>
        <w:rPr>
          <w:rFonts w:ascii="Arial" w:hAnsi="Arial" w:cs="Arial"/>
          <w:noProof/>
          <w:color w:val="auto"/>
          <w:sz w:val="22"/>
          <w:szCs w:val="22"/>
          <w:lang w:val="sr-Cyrl-RS"/>
        </w:rPr>
      </w:pPr>
      <w:r w:rsidRPr="00CF1E47">
        <w:rPr>
          <w:rFonts w:ascii="Arial" w:hAnsi="Arial" w:cs="Arial"/>
          <w:noProof/>
          <w:color w:val="auto"/>
          <w:sz w:val="22"/>
          <w:szCs w:val="22"/>
          <w:lang w:val="sr-Cyrl-RS"/>
        </w:rPr>
        <w:t>Закон о планирању и изградњи</w:t>
      </w:r>
      <w:r w:rsidR="003D533A">
        <w:rPr>
          <w:rStyle w:val="FootnoteReference"/>
          <w:rFonts w:ascii="Arial" w:hAnsi="Arial" w:cs="Arial"/>
          <w:noProof/>
          <w:color w:val="auto"/>
          <w:sz w:val="22"/>
          <w:szCs w:val="22"/>
          <w:lang w:val="sr-Cyrl-RS"/>
        </w:rPr>
        <w:footnoteReference w:id="5"/>
      </w:r>
      <w:r w:rsidRPr="00CF1E47">
        <w:rPr>
          <w:rFonts w:ascii="Arial" w:hAnsi="Arial" w:cs="Arial"/>
          <w:noProof/>
          <w:color w:val="auto"/>
          <w:sz w:val="22"/>
          <w:szCs w:val="22"/>
          <w:lang w:val="sr-Cyrl-RS"/>
        </w:rPr>
        <w:t xml:space="preserve"> у члану 2. став 1. тачка 40. пропис</w:t>
      </w:r>
      <w:r w:rsidR="003D533A">
        <w:rPr>
          <w:rFonts w:ascii="Arial" w:hAnsi="Arial" w:cs="Arial"/>
          <w:noProof/>
          <w:color w:val="auto"/>
          <w:sz w:val="22"/>
          <w:szCs w:val="22"/>
          <w:lang w:val="sr-Cyrl-RS"/>
        </w:rPr>
        <w:t>ује</w:t>
      </w:r>
      <w:r w:rsidRPr="00CF1E47">
        <w:rPr>
          <w:rFonts w:ascii="Arial" w:hAnsi="Arial" w:cs="Arial"/>
          <w:noProof/>
          <w:color w:val="auto"/>
          <w:sz w:val="22"/>
          <w:szCs w:val="22"/>
          <w:lang w:val="sr-Cyrl-RS"/>
        </w:rPr>
        <w:t xml:space="preserve"> да стандарди приступачности јесу обавезне техничке мере, стандарди и услови пројектовања, планирања и изградње којима се осигурава несметано кретање и приступ особама са инвалидитетом, деци и старим особама. Одредбама члана 5. став 1. овог закона прописано је да се зграде јавне и пословне намене, као и други објекти за јавну употребу морају пројектовати, градити и одржавати тако да се свим корисницима, а нарочито особама са инвалидитетом, деци и старим особама омогући несметан приступ, кретање и боравак, односно коришћење у складу са одговарајућим техничким прописима чији су саставни део стандарди који дефинишу обавезне техничке мере и услове пројектовања, планирања и изградње, којима се осигурава несметано кретање и приступ особама са инвалидитетом, деци и старим особама.</w:t>
      </w:r>
    </w:p>
    <w:p w:rsidR="00CF1E47" w:rsidRDefault="00CF1E47" w:rsidP="00CF1E47">
      <w:pPr>
        <w:pStyle w:val="Body"/>
        <w:tabs>
          <w:tab w:val="left" w:pos="9072"/>
        </w:tabs>
        <w:spacing w:after="120"/>
        <w:jc w:val="both"/>
        <w:rPr>
          <w:rFonts w:ascii="Arial" w:hAnsi="Arial" w:cs="Arial"/>
          <w:noProof/>
          <w:color w:val="auto"/>
          <w:sz w:val="22"/>
          <w:szCs w:val="22"/>
          <w:lang w:val="sr-Cyrl-RS"/>
        </w:rPr>
      </w:pPr>
      <w:r w:rsidRPr="00CF1E47">
        <w:rPr>
          <w:rFonts w:ascii="Arial" w:hAnsi="Arial" w:cs="Arial"/>
          <w:noProof/>
          <w:color w:val="auto"/>
          <w:sz w:val="22"/>
          <w:szCs w:val="22"/>
          <w:lang w:val="sr-Cyrl-RS"/>
        </w:rPr>
        <w:t>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r w:rsidR="00FA6F09">
        <w:rPr>
          <w:rStyle w:val="FootnoteReference"/>
          <w:rFonts w:ascii="Arial" w:hAnsi="Arial" w:cs="Arial"/>
          <w:noProof/>
          <w:color w:val="auto"/>
          <w:sz w:val="22"/>
          <w:szCs w:val="22"/>
          <w:lang w:val="sr-Cyrl-RS"/>
        </w:rPr>
        <w:footnoteReference w:id="6"/>
      </w:r>
      <w:r w:rsidRPr="00CF1E47">
        <w:rPr>
          <w:rFonts w:ascii="Arial" w:hAnsi="Arial" w:cs="Arial"/>
          <w:noProof/>
          <w:color w:val="auto"/>
          <w:sz w:val="22"/>
          <w:szCs w:val="22"/>
          <w:lang w:val="sr-Cyrl-RS"/>
        </w:rPr>
        <w:t xml:space="preserve">  се ближе утврђују технички стандарди приступачности за несметано кретање особа са инвалидитетом. Приступачност, у смислу овог правилника, резултат је примене техничких решења у пројектовању и грађењу грађевина, којим се особама са инвалидитетом омогућава несметан приступ, кретање, боравак и рад у тим грађевинама на једнакој основи као и осталим особама. Одредбом члана 2. овог правилника наведени су објекти који се могу сматрати објектима за јавно коришћење, па је између осталог прописано да ту спадају објекти у области здравства. Одредбом члана 3. став 1. тачка 2.</w:t>
      </w:r>
      <w:r w:rsidR="00013430">
        <w:rPr>
          <w:rFonts w:ascii="Arial" w:hAnsi="Arial" w:cs="Arial"/>
          <w:noProof/>
          <w:color w:val="auto"/>
          <w:sz w:val="22"/>
          <w:szCs w:val="22"/>
          <w:lang w:val="sr-Cyrl-RS"/>
        </w:rPr>
        <w:t xml:space="preserve"> прописано је да су особе смањен</w:t>
      </w:r>
      <w:r w:rsidRPr="00CF1E47">
        <w:rPr>
          <w:rFonts w:ascii="Arial" w:hAnsi="Arial" w:cs="Arial"/>
          <w:noProof/>
          <w:color w:val="auto"/>
          <w:sz w:val="22"/>
          <w:szCs w:val="22"/>
          <w:lang w:val="sr-Cyrl-RS"/>
        </w:rPr>
        <w:t>е покретљивости</w:t>
      </w:r>
      <w:r w:rsidR="00013430">
        <w:rPr>
          <w:rFonts w:ascii="Arial" w:hAnsi="Arial" w:cs="Arial"/>
          <w:noProof/>
          <w:color w:val="auto"/>
          <w:sz w:val="22"/>
          <w:szCs w:val="22"/>
          <w:lang w:val="sr-Cyrl-RS"/>
        </w:rPr>
        <w:t>,</w:t>
      </w:r>
      <w:r w:rsidRPr="00CF1E47">
        <w:rPr>
          <w:rFonts w:ascii="Arial" w:hAnsi="Arial" w:cs="Arial"/>
          <w:noProof/>
          <w:color w:val="auto"/>
          <w:sz w:val="22"/>
          <w:szCs w:val="22"/>
          <w:lang w:val="sr-Cyrl-RS"/>
        </w:rPr>
        <w:t xml:space="preserve"> особе са физичким или сензорним инвалидитетом, старе особе, труднице, и/или друге особе чија је могућност несметаног кретања повремено или трајно смањења услед баријера са којима се сусрећу у окружењу, као и да је тачком 6. утврђено да је препрека физичка, комуникацијска и/или оријентацијска сметња која постоји у простору, а која особу може ометати и/или спречавати у несметаном приступу, кретању, боравку, примању неке услуге и/или у раду. Тачком 8. наведеног члана утврђено је да приступачан објекат, његов део или опрема јесте онај објекат, део објекта или опреме која осигурава испуњавање обавезних елемената приступачности прописаних овим правилником. Одредбом члана 5. овог правилника као обавезни елементи приступачности између осталих утврђени су и елементи приступачности за савладавање висинских разлика, који подразумевају обезбеђивање приступачности прилаза до објеката, улаза у објекат и слично и елементи приступачности кретања и боравка у простору – стамбене и стамбено-пословне зграде и објекте за јавно коришћење, који подразумевају обезбеђивање несметаног кретања и боравка у простору, савладавање етажних разлика, обезбеђивање приступачности тоалета и слично,  док је чланом 9. утврђено да су обавезни елементи приступачности елементи за пројектовање, грађење, реконструкцију, доградњу и адаптацију којима се одређује величина, својства, инсталације, уређаји и друга опрема на јавним површинама и објектима ради осигурања приступа, кретања, боравка и рада за све потенцијалне кориснике, а у складу са овим правилником.</w:t>
      </w:r>
    </w:p>
    <w:p w:rsidR="00B82E01" w:rsidRDefault="0007590D" w:rsidP="00CF1E47">
      <w:pPr>
        <w:pStyle w:val="Body"/>
        <w:tabs>
          <w:tab w:val="left" w:pos="9072"/>
        </w:tabs>
        <w:spacing w:after="120"/>
        <w:jc w:val="both"/>
        <w:rPr>
          <w:rFonts w:ascii="Arial" w:hAnsi="Arial" w:cs="Arial"/>
          <w:noProof/>
          <w:color w:val="auto"/>
          <w:sz w:val="22"/>
          <w:szCs w:val="22"/>
          <w:lang w:val="sr-Cyrl-CS"/>
        </w:rPr>
      </w:pPr>
      <w:r w:rsidRPr="0007590D">
        <w:rPr>
          <w:rFonts w:ascii="Arial" w:hAnsi="Arial" w:cs="Arial"/>
          <w:noProof/>
          <w:color w:val="auto"/>
          <w:sz w:val="22"/>
          <w:szCs w:val="22"/>
          <w:lang w:val="sr-Cyrl-RS"/>
        </w:rPr>
        <w:t xml:space="preserve">Република Србија се определила за унапређење приступачности, па је тако у </w:t>
      </w:r>
      <w:r w:rsidRPr="0007590D">
        <w:rPr>
          <w:rFonts w:ascii="Arial" w:hAnsi="Arial" w:cs="Arial"/>
          <w:noProof/>
          <w:color w:val="auto"/>
          <w:sz w:val="22"/>
          <w:szCs w:val="22"/>
          <w:lang w:val="sr-Cyrl-CS"/>
        </w:rPr>
        <w:t xml:space="preserve">оквиру </w:t>
      </w:r>
      <w:r w:rsidR="006B454D">
        <w:rPr>
          <w:rFonts w:ascii="Arial" w:hAnsi="Arial" w:cs="Arial"/>
          <w:noProof/>
          <w:color w:val="auto"/>
          <w:sz w:val="22"/>
          <w:szCs w:val="22"/>
          <w:lang w:val="sr-Cyrl-CS"/>
        </w:rPr>
        <w:t>Стратегије</w:t>
      </w:r>
      <w:r w:rsidRPr="0007590D">
        <w:rPr>
          <w:rFonts w:ascii="Arial" w:hAnsi="Arial" w:cs="Arial"/>
          <w:noProof/>
          <w:color w:val="auto"/>
          <w:sz w:val="22"/>
          <w:szCs w:val="22"/>
          <w:lang w:val="sr-Cyrl-CS"/>
        </w:rPr>
        <w:t xml:space="preserve"> за унапређења положаја особа са инвалидитетом у Републици Србији за период од 2020. до 2024. године</w:t>
      </w:r>
      <w:r w:rsidR="00A2009D">
        <w:rPr>
          <w:rStyle w:val="FootnoteReference"/>
          <w:rFonts w:ascii="Arial" w:hAnsi="Arial" w:cs="Arial"/>
          <w:noProof/>
          <w:color w:val="auto"/>
          <w:sz w:val="22"/>
          <w:szCs w:val="22"/>
          <w:lang w:val="sr-Cyrl-CS"/>
        </w:rPr>
        <w:footnoteReference w:id="7"/>
      </w:r>
      <w:r w:rsidRPr="0007590D">
        <w:rPr>
          <w:rFonts w:ascii="Arial" w:hAnsi="Arial" w:cs="Arial"/>
          <w:noProof/>
          <w:color w:val="auto"/>
          <w:sz w:val="22"/>
          <w:szCs w:val="22"/>
          <w:lang w:val="sr-Cyrl-CS"/>
        </w:rPr>
        <w:t xml:space="preserve"> дефинисано да државе треба да идентификују препреке и баријере у приступачности, између осталог и у односу на: (а) зграде, путеве, превозна средства и друге погодности у затвореном и на отвореном простору, укључујући школе, стамбене објекте, </w:t>
      </w:r>
      <w:r w:rsidRPr="006B454D">
        <w:rPr>
          <w:rFonts w:ascii="Arial" w:hAnsi="Arial" w:cs="Arial"/>
          <w:bCs/>
          <w:noProof/>
          <w:color w:val="auto"/>
          <w:sz w:val="22"/>
          <w:szCs w:val="22"/>
          <w:lang w:val="sr-Cyrl-CS"/>
        </w:rPr>
        <w:t>здравствене објекте</w:t>
      </w:r>
      <w:r w:rsidRPr="0007590D">
        <w:rPr>
          <w:rFonts w:ascii="Arial" w:hAnsi="Arial" w:cs="Arial"/>
          <w:noProof/>
          <w:color w:val="auto"/>
          <w:sz w:val="22"/>
          <w:szCs w:val="22"/>
          <w:lang w:val="sr-Cyrl-CS"/>
        </w:rPr>
        <w:t xml:space="preserve"> и радна места; (б) информације, комуникације и друге услуге, укључујући и електронске услуге и хитне службе. Поменуте „друге погодности у затвореном и на отвореном простору” требало би, између осталог, да обухватају зграде органа јавног реда, правосудне објекте и затворе, социјалне установе, просторе и објекте за друштвене интеракције, рекреацију, културне, верске, политичке и спортске активности, као и трговинске објекте, док „друге услуге” треба да обухватају, између осталог, поште, банке, телекомуникацијске и информативне услуге и сервисе. Даље је наведено да се особе са инвалидитетом и даље се суочавају са препрекама у приступу здравственим услугама, услед архитектонске, комуникацијске и техничке неприступачности здравствених услуга, као и због недостатка особља сензибилисаног за рад са особама са инвалидитетом што може да доведе до неједнакости у остваривању права на здравствену заштиту. Истраживање о праћењу индивидуалних искустава особа са инвалидитетом показује да је област здравља и рехабилитације једна од најважнијих за испитане особе са инвалидитетом. Искуства у ограничењима у коришћењу здравствених услуга и рехабилитације због неприступачности или рестриктивних критеријума за остваривање појединих права из области здравствене заштите, доживело је 45% испитаника. Дискриминацију у овој области доживело је 28,3% испитаника, а у области остваривања права на заштиту репродуктивног здравља 43,3%. </w:t>
      </w:r>
    </w:p>
    <w:p w:rsidR="00BD1419" w:rsidRDefault="00BD1419" w:rsidP="00CF1E47">
      <w:pPr>
        <w:tabs>
          <w:tab w:val="left" w:pos="450"/>
        </w:tabs>
        <w:spacing w:line="240" w:lineRule="auto"/>
        <w:jc w:val="both"/>
        <w:rPr>
          <w:rFonts w:ascii="Arial" w:hAnsi="Arial" w:cs="Arial"/>
          <w:noProof/>
          <w:lang w:val="sr-Cyrl-RS"/>
        </w:rPr>
      </w:pPr>
      <w:r w:rsidRPr="006777A8">
        <w:rPr>
          <w:rFonts w:ascii="Arial" w:hAnsi="Arial" w:cs="Arial"/>
          <w:noProof/>
          <w:lang w:val="sr-Cyrl-RS"/>
        </w:rPr>
        <w:t>У редовном годишњем извештају Повереника за заштиту равноправности за 2023. годину</w:t>
      </w:r>
      <w:r w:rsidRPr="006777A8">
        <w:rPr>
          <w:rStyle w:val="FootnoteReference"/>
          <w:rFonts w:ascii="Arial" w:hAnsi="Arial" w:cs="Arial"/>
          <w:noProof/>
          <w:lang w:val="sr-Cyrl-RS"/>
        </w:rPr>
        <w:footnoteReference w:id="8"/>
      </w:r>
      <w:r w:rsidRPr="006818CC">
        <w:rPr>
          <w:rFonts w:ascii="Arial" w:hAnsi="Arial" w:cs="Arial"/>
          <w:noProof/>
          <w:lang w:val="sr-Cyrl-RS"/>
        </w:rPr>
        <w:t xml:space="preserve"> </w:t>
      </w:r>
      <w:r w:rsidR="0083648E">
        <w:rPr>
          <w:rFonts w:ascii="Arial" w:hAnsi="Arial" w:cs="Arial"/>
          <w:noProof/>
          <w:lang w:val="sr-Cyrl-RS"/>
        </w:rPr>
        <w:t xml:space="preserve">указано је да је </w:t>
      </w:r>
      <w:r>
        <w:rPr>
          <w:rFonts w:ascii="Arial" w:hAnsi="Arial" w:cs="Arial"/>
          <w:noProof/>
          <w:lang w:val="sr-Cyrl-RS"/>
        </w:rPr>
        <w:t xml:space="preserve">инвалидитет као лично својство </w:t>
      </w:r>
      <w:r w:rsidRPr="0095582C">
        <w:rPr>
          <w:rFonts w:ascii="Arial" w:hAnsi="Arial" w:cs="Arial"/>
          <w:noProof/>
          <w:lang w:val="sr-Cyrl-RS"/>
        </w:rPr>
        <w:t>трећи основ дискриминације по броју поднетих притужби, а особе са инвалидитетом су једна од најугроженијих група у свим областима друштвеног живота</w:t>
      </w:r>
      <w:r w:rsidR="0083648E">
        <w:rPr>
          <w:rFonts w:ascii="Arial" w:hAnsi="Arial" w:cs="Arial"/>
          <w:noProof/>
          <w:lang w:val="sr-Cyrl-RS"/>
        </w:rPr>
        <w:t xml:space="preserve"> када говоримо о дискриминацији</w:t>
      </w:r>
      <w:r w:rsidRPr="0095582C">
        <w:rPr>
          <w:rFonts w:ascii="Arial" w:hAnsi="Arial" w:cs="Arial"/>
          <w:noProof/>
          <w:lang w:val="sr-Cyrl-RS"/>
        </w:rPr>
        <w:t xml:space="preserve">. Највећи број притужби поднет је због неприступачности различитих објеката </w:t>
      </w:r>
      <w:r w:rsidR="0083648E">
        <w:rPr>
          <w:rFonts w:ascii="Arial" w:hAnsi="Arial" w:cs="Arial"/>
          <w:noProof/>
          <w:lang w:val="sr-Cyrl-RS"/>
        </w:rPr>
        <w:t>и</w:t>
      </w:r>
      <w:r w:rsidRPr="0095582C">
        <w:rPr>
          <w:rFonts w:ascii="Arial" w:hAnsi="Arial" w:cs="Arial"/>
          <w:noProof/>
          <w:lang w:val="sr-Cyrl-RS"/>
        </w:rPr>
        <w:t xml:space="preserve"> услуга. </w:t>
      </w:r>
      <w:r>
        <w:rPr>
          <w:rFonts w:ascii="Arial" w:hAnsi="Arial" w:cs="Arial"/>
          <w:noProof/>
          <w:lang w:val="sr-Cyrl-RS"/>
        </w:rPr>
        <w:t xml:space="preserve">Такође, Повереник је </w:t>
      </w:r>
      <w:r w:rsidR="00A517D8">
        <w:rPr>
          <w:rFonts w:ascii="Arial" w:hAnsi="Arial" w:cs="Arial"/>
          <w:noProof/>
          <w:lang w:val="sr-Cyrl-RS"/>
        </w:rPr>
        <w:t xml:space="preserve">у извештају </w:t>
      </w:r>
      <w:r>
        <w:rPr>
          <w:rFonts w:ascii="Arial" w:hAnsi="Arial" w:cs="Arial"/>
          <w:noProof/>
          <w:lang w:val="sr-Cyrl-RS"/>
        </w:rPr>
        <w:t>навео да је н</w:t>
      </w:r>
      <w:r w:rsidRPr="0095582C">
        <w:rPr>
          <w:rFonts w:ascii="Arial" w:hAnsi="Arial" w:cs="Arial"/>
          <w:noProof/>
          <w:lang w:val="sr-Cyrl-RS"/>
        </w:rPr>
        <w:t xml:space="preserve">арочито важно да су приступачне установе у којима грађани најчешће остварују права и услуге, као што су на пример образовне институције, установе здравствене, социјалне заштите, </w:t>
      </w:r>
      <w:r w:rsidR="00A86B24">
        <w:rPr>
          <w:rFonts w:ascii="Arial" w:hAnsi="Arial" w:cs="Arial"/>
          <w:noProof/>
          <w:lang w:val="sr-Cyrl-RS"/>
        </w:rPr>
        <w:t>здравствене установе специјализоване за рехабилитацију</w:t>
      </w:r>
      <w:r w:rsidRPr="0095582C">
        <w:rPr>
          <w:rFonts w:ascii="Arial" w:hAnsi="Arial" w:cs="Arial"/>
          <w:noProof/>
          <w:lang w:val="sr-Cyrl-RS"/>
        </w:rPr>
        <w:t xml:space="preserve">, објекти које користе јединице локалних самоуправа и комунална предузећа, судови, али и установе културе, биоскопи и позоришта и др. </w:t>
      </w:r>
      <w:r w:rsidR="0083648E">
        <w:rPr>
          <w:rFonts w:ascii="Arial" w:hAnsi="Arial" w:cs="Arial"/>
          <w:noProof/>
          <w:lang w:val="sr-Cyrl-RS"/>
        </w:rPr>
        <w:t xml:space="preserve">Имајући у виду значај приступачности, </w:t>
      </w:r>
      <w:r w:rsidRPr="009B2AAF">
        <w:rPr>
          <w:rFonts w:ascii="Arial" w:hAnsi="Arial" w:cs="Arial"/>
          <w:noProof/>
          <w:lang w:val="sr-Cyrl-RS"/>
        </w:rPr>
        <w:t xml:space="preserve">Повереник је </w:t>
      </w:r>
      <w:r w:rsidR="003F240B">
        <w:rPr>
          <w:rFonts w:ascii="Arial" w:hAnsi="Arial" w:cs="Arial"/>
          <w:noProof/>
          <w:lang w:val="sr-Cyrl-RS"/>
        </w:rPr>
        <w:t>упутио Министарству грађевинарства, саобраћаја и инфраструктуре</w:t>
      </w:r>
      <w:r>
        <w:rPr>
          <w:rFonts w:ascii="Arial" w:hAnsi="Arial" w:cs="Arial"/>
          <w:noProof/>
          <w:lang w:val="sr-Cyrl-RS"/>
        </w:rPr>
        <w:t xml:space="preserve"> три иницијативе, и то</w:t>
      </w:r>
      <w:r w:rsidRPr="009B2AAF">
        <w:rPr>
          <w:rFonts w:ascii="Arial" w:hAnsi="Arial" w:cs="Arial"/>
          <w:noProof/>
          <w:lang w:val="sr-Cyrl-RS"/>
        </w:rPr>
        <w:t>, две за измене Закона о планирању и изградњи, а једну за израду системског дугорочног плана на националном нивоу за отклањање архитектонских баријера и унапређење приступачности свих објеката у јавн</w:t>
      </w:r>
      <w:r>
        <w:rPr>
          <w:rFonts w:ascii="Arial" w:hAnsi="Arial" w:cs="Arial"/>
          <w:noProof/>
          <w:lang w:val="sr-Cyrl-RS"/>
        </w:rPr>
        <w:t>ој употреби и јавним површинама</w:t>
      </w:r>
      <w:r w:rsidRPr="006818CC">
        <w:rPr>
          <w:rFonts w:ascii="Arial" w:hAnsi="Arial" w:cs="Arial"/>
          <w:noProof/>
          <w:lang w:val="sr-Cyrl-RS"/>
        </w:rPr>
        <w:t xml:space="preserve">. </w:t>
      </w:r>
      <w:r w:rsidR="0042639C">
        <w:rPr>
          <w:rFonts w:ascii="Arial" w:hAnsi="Arial" w:cs="Arial"/>
          <w:noProof/>
          <w:lang w:val="sr-Cyrl-RS"/>
        </w:rPr>
        <w:t>Указано је да је н</w:t>
      </w:r>
      <w:r w:rsidRPr="006818CC">
        <w:rPr>
          <w:rFonts w:ascii="Arial" w:hAnsi="Arial" w:cs="Arial"/>
          <w:noProof/>
          <w:lang w:val="sr-Cyrl-RS"/>
        </w:rPr>
        <w:t>ужно</w:t>
      </w:r>
      <w:r>
        <w:rPr>
          <w:rFonts w:ascii="Arial" w:hAnsi="Arial" w:cs="Arial"/>
          <w:noProof/>
          <w:lang w:val="sr-Cyrl-RS"/>
        </w:rPr>
        <w:t xml:space="preserve"> </w:t>
      </w:r>
      <w:r w:rsidR="0042639C">
        <w:rPr>
          <w:rFonts w:ascii="Arial" w:hAnsi="Arial" w:cs="Arial"/>
          <w:noProof/>
          <w:lang w:val="sr-Cyrl-RS"/>
        </w:rPr>
        <w:t>да</w:t>
      </w:r>
      <w:r w:rsidRPr="006818CC">
        <w:rPr>
          <w:rFonts w:ascii="Arial" w:hAnsi="Arial" w:cs="Arial"/>
          <w:noProof/>
          <w:lang w:val="sr-Cyrl-RS"/>
        </w:rPr>
        <w:t xml:space="preserve"> </w:t>
      </w:r>
      <w:r w:rsidR="0083648E">
        <w:rPr>
          <w:rFonts w:ascii="Arial" w:hAnsi="Arial" w:cs="Arial"/>
          <w:noProof/>
          <w:lang w:val="sr-Cyrl-RS"/>
        </w:rPr>
        <w:t>приступачност буде</w:t>
      </w:r>
      <w:r w:rsidRPr="006818CC">
        <w:rPr>
          <w:rFonts w:ascii="Arial" w:hAnsi="Arial" w:cs="Arial"/>
          <w:noProof/>
          <w:lang w:val="sr-Cyrl-RS"/>
        </w:rPr>
        <w:t xml:space="preserve"> стално у врху приоритета </w:t>
      </w:r>
      <w:r w:rsidR="0083648E">
        <w:rPr>
          <w:rFonts w:ascii="Arial" w:hAnsi="Arial" w:cs="Arial"/>
          <w:noProof/>
          <w:lang w:val="sr-Cyrl-RS"/>
        </w:rPr>
        <w:t>како би</w:t>
      </w:r>
      <w:r w:rsidRPr="006818CC">
        <w:rPr>
          <w:rFonts w:ascii="Arial" w:hAnsi="Arial" w:cs="Arial"/>
          <w:noProof/>
          <w:lang w:val="sr-Cyrl-RS"/>
        </w:rPr>
        <w:t xml:space="preserve"> објекти у јавној употреби </w:t>
      </w:r>
      <w:r w:rsidR="0083648E">
        <w:rPr>
          <w:rFonts w:ascii="Arial" w:hAnsi="Arial" w:cs="Arial"/>
          <w:noProof/>
          <w:lang w:val="sr-Cyrl-RS"/>
        </w:rPr>
        <w:t xml:space="preserve">били што пре приступачни, </w:t>
      </w:r>
      <w:r w:rsidRPr="006818CC">
        <w:rPr>
          <w:rFonts w:ascii="Arial" w:hAnsi="Arial" w:cs="Arial"/>
          <w:noProof/>
          <w:lang w:val="sr-Cyrl-RS"/>
        </w:rPr>
        <w:t xml:space="preserve">нарочито </w:t>
      </w:r>
      <w:r w:rsidR="0083648E">
        <w:rPr>
          <w:rFonts w:ascii="Arial" w:hAnsi="Arial" w:cs="Arial"/>
          <w:noProof/>
          <w:lang w:val="sr-Cyrl-RS"/>
        </w:rPr>
        <w:t xml:space="preserve">оне </w:t>
      </w:r>
      <w:r w:rsidRPr="006818CC">
        <w:rPr>
          <w:rFonts w:ascii="Arial" w:hAnsi="Arial" w:cs="Arial"/>
          <w:noProof/>
          <w:lang w:val="sr-Cyrl-RS"/>
        </w:rPr>
        <w:t xml:space="preserve">установе </w:t>
      </w:r>
      <w:r w:rsidR="0083648E">
        <w:rPr>
          <w:rFonts w:ascii="Arial" w:hAnsi="Arial" w:cs="Arial"/>
          <w:noProof/>
          <w:lang w:val="sr-Cyrl-RS"/>
        </w:rPr>
        <w:t xml:space="preserve">које су од кључне важности за свакодневно функционисање и живот, као што су објекти </w:t>
      </w:r>
      <w:r w:rsidRPr="006818CC">
        <w:rPr>
          <w:rFonts w:ascii="Arial" w:hAnsi="Arial" w:cs="Arial"/>
          <w:noProof/>
          <w:lang w:val="sr-Cyrl-RS"/>
        </w:rPr>
        <w:t>здравствене</w:t>
      </w:r>
      <w:r w:rsidR="0083648E">
        <w:rPr>
          <w:rFonts w:ascii="Arial" w:hAnsi="Arial" w:cs="Arial"/>
          <w:noProof/>
          <w:lang w:val="sr-Cyrl-RS"/>
        </w:rPr>
        <w:t>,</w:t>
      </w:r>
      <w:r w:rsidRPr="006818CC">
        <w:rPr>
          <w:rFonts w:ascii="Arial" w:hAnsi="Arial" w:cs="Arial"/>
          <w:noProof/>
          <w:lang w:val="sr-Cyrl-RS"/>
        </w:rPr>
        <w:t xml:space="preserve"> социјалне </w:t>
      </w:r>
      <w:r w:rsidR="0083648E">
        <w:rPr>
          <w:rFonts w:ascii="Arial" w:hAnsi="Arial" w:cs="Arial"/>
          <w:noProof/>
          <w:lang w:val="sr-Cyrl-RS"/>
        </w:rPr>
        <w:t>заштите, образовне институције и сл</w:t>
      </w:r>
      <w:r>
        <w:rPr>
          <w:rFonts w:ascii="Arial" w:hAnsi="Arial" w:cs="Arial"/>
          <w:noProof/>
          <w:lang w:val="sr-Cyrl-RS"/>
        </w:rPr>
        <w:t>.</w:t>
      </w:r>
    </w:p>
    <w:p w:rsidR="004A7F8D" w:rsidRPr="00BD1419" w:rsidRDefault="004A7F8D" w:rsidP="00CF1E47">
      <w:pPr>
        <w:spacing w:line="240" w:lineRule="auto"/>
        <w:jc w:val="both"/>
        <w:rPr>
          <w:rFonts w:ascii="Arial" w:hAnsi="Arial" w:cs="Arial"/>
        </w:rPr>
      </w:pPr>
      <w:r>
        <w:rPr>
          <w:rFonts w:ascii="Arial" w:hAnsi="Arial" w:cs="Arial"/>
          <w:lang w:val="sr-Cyrl-RS"/>
        </w:rPr>
        <w:t xml:space="preserve">О положају особа са инвалидитетом говоре и резултати истраживања </w:t>
      </w:r>
      <w:r w:rsidRPr="00710162">
        <w:rPr>
          <w:rFonts w:ascii="Arial" w:hAnsi="Arial" w:cs="Arial"/>
          <w:i/>
          <w:lang w:val="sr-Cyrl-RS"/>
        </w:rPr>
        <w:t>Однос грађана и грађанки према дискриминацији у Србији</w:t>
      </w:r>
      <w:r w:rsidR="00BD1419">
        <w:rPr>
          <w:rStyle w:val="FootnoteReference"/>
          <w:rFonts w:ascii="Arial" w:hAnsi="Arial" w:cs="Arial"/>
          <w:i/>
          <w:lang w:val="sr-Cyrl-RS"/>
        </w:rPr>
        <w:footnoteReference w:id="9"/>
      </w:r>
      <w:r>
        <w:rPr>
          <w:rFonts w:ascii="Arial" w:hAnsi="Arial" w:cs="Arial"/>
          <w:lang w:val="sr-Cyrl-RS"/>
        </w:rPr>
        <w:t>, које је Повереник спровео т</w:t>
      </w:r>
      <w:r w:rsidRPr="00710162">
        <w:rPr>
          <w:rFonts w:ascii="Arial" w:hAnsi="Arial" w:cs="Arial"/>
        </w:rPr>
        <w:t>оком 2023. године.</w:t>
      </w:r>
      <w:r>
        <w:rPr>
          <w:rFonts w:ascii="Arial" w:hAnsi="Arial" w:cs="Arial"/>
        </w:rPr>
        <w:t xml:space="preserve"> Наиме, у</w:t>
      </w:r>
      <w:r w:rsidRPr="00710162">
        <w:rPr>
          <w:rFonts w:ascii="Arial" w:hAnsi="Arial" w:cs="Arial"/>
          <w:lang w:val="sr-Cyrl-RS"/>
        </w:rPr>
        <w:t>чесници истраживања сматрају</w:t>
      </w:r>
      <w:r w:rsidRPr="00710162">
        <w:rPr>
          <w:rFonts w:ascii="Arial" w:hAnsi="Arial" w:cs="Arial"/>
        </w:rPr>
        <w:t xml:space="preserve"> да је </w:t>
      </w:r>
      <w:r w:rsidR="00C03B74">
        <w:rPr>
          <w:rFonts w:ascii="Arial" w:hAnsi="Arial" w:cs="Arial"/>
          <w:lang w:val="sr-Cyrl-RS"/>
        </w:rPr>
        <w:t xml:space="preserve">међу најприсутнијим </w:t>
      </w:r>
      <w:r w:rsidRPr="00710162">
        <w:rPr>
          <w:rFonts w:ascii="Arial" w:hAnsi="Arial" w:cs="Arial"/>
        </w:rPr>
        <w:t xml:space="preserve">дискриминација по основу </w:t>
      </w:r>
      <w:r w:rsidR="00C03B74" w:rsidRPr="00710162">
        <w:rPr>
          <w:rFonts w:ascii="Arial" w:hAnsi="Arial" w:cs="Arial"/>
        </w:rPr>
        <w:t>инвалидитет</w:t>
      </w:r>
      <w:r w:rsidR="00C03B74">
        <w:rPr>
          <w:rFonts w:ascii="Arial" w:hAnsi="Arial" w:cs="Arial"/>
          <w:lang w:val="sr-Cyrl-RS"/>
        </w:rPr>
        <w:t>а као</w:t>
      </w:r>
      <w:r w:rsidR="00C03B74" w:rsidRPr="00710162">
        <w:rPr>
          <w:rFonts w:ascii="Arial" w:hAnsi="Arial" w:cs="Arial"/>
        </w:rPr>
        <w:t xml:space="preserve"> </w:t>
      </w:r>
      <w:r w:rsidRPr="00710162">
        <w:rPr>
          <w:rFonts w:ascii="Arial" w:hAnsi="Arial" w:cs="Arial"/>
        </w:rPr>
        <w:t xml:space="preserve">личног својства (54%). </w:t>
      </w:r>
      <w:r w:rsidR="003C0F45">
        <w:rPr>
          <w:rFonts w:ascii="Arial" w:hAnsi="Arial" w:cs="Arial"/>
          <w:lang w:val="sr-Cyrl-RS"/>
        </w:rPr>
        <w:t xml:space="preserve">Такође, </w:t>
      </w:r>
      <w:r w:rsidRPr="00710162">
        <w:rPr>
          <w:rFonts w:ascii="Arial" w:hAnsi="Arial" w:cs="Arial"/>
          <w:lang w:val="sr-Latn-RS"/>
        </w:rPr>
        <w:t xml:space="preserve">значајна већина од 82% </w:t>
      </w:r>
      <w:r w:rsidRPr="00710162">
        <w:rPr>
          <w:rFonts w:ascii="Arial" w:hAnsi="Arial" w:cs="Arial"/>
          <w:lang w:val="sr-Cyrl-RS"/>
        </w:rPr>
        <w:t xml:space="preserve">испитаника </w:t>
      </w:r>
      <w:r w:rsidRPr="00710162">
        <w:rPr>
          <w:rFonts w:ascii="Arial" w:hAnsi="Arial" w:cs="Arial"/>
          <w:lang w:val="sr-Latn-RS"/>
        </w:rPr>
        <w:t xml:space="preserve">верује да особе са инвалидитетом, уколико добију адекватну подршку, могу </w:t>
      </w:r>
      <w:r w:rsidR="003C0F45">
        <w:rPr>
          <w:rFonts w:ascii="Arial" w:hAnsi="Arial" w:cs="Arial"/>
          <w:lang w:val="sr-Latn-RS"/>
        </w:rPr>
        <w:t>да се укључе у живот заједнице</w:t>
      </w:r>
      <w:r w:rsidR="003C0F45">
        <w:rPr>
          <w:rFonts w:ascii="Arial" w:hAnsi="Arial" w:cs="Arial"/>
        </w:rPr>
        <w:t xml:space="preserve">, док </w:t>
      </w:r>
      <w:r w:rsidRPr="00710162">
        <w:rPr>
          <w:rFonts w:ascii="Arial" w:hAnsi="Arial" w:cs="Arial"/>
          <w:lang w:val="sr-Latn-RS"/>
        </w:rPr>
        <w:t>80% сматра да јавни објекти и саобраћај треба да буду прилагођени особама са инвалидитетом</w:t>
      </w:r>
      <w:r w:rsidRPr="00710162">
        <w:rPr>
          <w:rFonts w:ascii="Arial" w:hAnsi="Arial" w:cs="Arial"/>
          <w:lang w:val="sr-Cyrl-RS"/>
        </w:rPr>
        <w:t xml:space="preserve"> и другим лицима која се отежано крећу</w:t>
      </w:r>
      <w:r w:rsidR="003C0F45">
        <w:rPr>
          <w:rFonts w:ascii="Arial" w:hAnsi="Arial" w:cs="Arial"/>
          <w:lang w:val="sr-Latn-RS"/>
        </w:rPr>
        <w:t>.</w:t>
      </w:r>
      <w:r w:rsidR="00BD1419">
        <w:rPr>
          <w:rFonts w:ascii="Arial" w:hAnsi="Arial" w:cs="Arial"/>
        </w:rPr>
        <w:t xml:space="preserve"> </w:t>
      </w:r>
    </w:p>
    <w:p w:rsidR="007262CF" w:rsidRPr="007262CF" w:rsidRDefault="0051630A" w:rsidP="00CF1E47">
      <w:pPr>
        <w:tabs>
          <w:tab w:val="left" w:pos="450"/>
        </w:tabs>
        <w:autoSpaceDE w:val="0"/>
        <w:autoSpaceDN w:val="0"/>
        <w:adjustRightInd w:val="0"/>
        <w:spacing w:line="240" w:lineRule="auto"/>
        <w:jc w:val="both"/>
        <w:rPr>
          <w:rFonts w:ascii="Arial" w:hAnsi="Arial" w:cs="Arial"/>
          <w:color w:val="000000"/>
          <w:lang w:val="sr-Latn-CS"/>
        </w:rPr>
      </w:pPr>
      <w:r w:rsidRPr="006818CC">
        <w:rPr>
          <w:rFonts w:ascii="Arial" w:hAnsi="Arial" w:cs="Arial"/>
          <w:lang w:val="sr-Cyrl-RS"/>
        </w:rPr>
        <w:t>Повереник за заштиту равноправности</w:t>
      </w:r>
      <w:r w:rsidR="00BE3AA1">
        <w:rPr>
          <w:rFonts w:ascii="Arial" w:hAnsi="Arial" w:cs="Arial"/>
          <w:lang w:val="sr-Cyrl-RS"/>
        </w:rPr>
        <w:t xml:space="preserve"> указује да п</w:t>
      </w:r>
      <w:r w:rsidR="004D61E7" w:rsidRPr="006818CC">
        <w:rPr>
          <w:rFonts w:ascii="Arial" w:hAnsi="Arial" w:cs="Arial"/>
          <w:lang w:val="sr-Cyrl-RS"/>
        </w:rPr>
        <w:t>риступачност представља један од основних предуслова за равноправно учешће особа са инвалидитетом у свим сферама друштвеног живота. Неприступачношћу јавних површина и објеката особе са инвалидитетом се доводе у ситуацију у којој им је онемогућено или веома отежано остваривање основних људских права, која су доступна другим грађаним</w:t>
      </w:r>
      <w:r w:rsidR="00C03B74">
        <w:rPr>
          <w:rFonts w:ascii="Arial" w:hAnsi="Arial" w:cs="Arial"/>
          <w:lang w:val="sr-Cyrl-RS"/>
        </w:rPr>
        <w:t>а</w:t>
      </w:r>
      <w:r w:rsidR="004D61E7" w:rsidRPr="006818CC">
        <w:rPr>
          <w:rFonts w:ascii="Arial" w:hAnsi="Arial" w:cs="Arial"/>
          <w:lang w:val="sr-Cyrl-RS"/>
        </w:rPr>
        <w:t xml:space="preserve">. </w:t>
      </w:r>
      <w:r w:rsidR="0042639C">
        <w:rPr>
          <w:rFonts w:ascii="Arial" w:hAnsi="Arial" w:cs="Arial"/>
          <w:lang w:val="sr-Cyrl-RS"/>
        </w:rPr>
        <w:t>У</w:t>
      </w:r>
      <w:r w:rsidR="00C20A6A">
        <w:rPr>
          <w:rFonts w:ascii="Arial" w:hAnsi="Arial" w:cs="Arial"/>
          <w:color w:val="000000"/>
          <w:lang w:val="sr-Cyrl-RS"/>
        </w:rPr>
        <w:t xml:space="preserve"> </w:t>
      </w:r>
      <w:r w:rsidR="00C20A6A" w:rsidRPr="00692B80">
        <w:rPr>
          <w:rFonts w:ascii="Arial" w:hAnsi="Arial" w:cs="Arial"/>
          <w:color w:val="000000"/>
          <w:lang w:val="sr-Latn-CS"/>
        </w:rPr>
        <w:t xml:space="preserve">циљу развијања инклузивног друштва заснованог на принципима једнакости, пружаоци услуга треба да преузму део одговорности тако што ће свако у својој области деловања особама са </w:t>
      </w:r>
      <w:r w:rsidR="00C20A6A" w:rsidRPr="00692B80">
        <w:rPr>
          <w:rFonts w:ascii="Arial" w:hAnsi="Arial" w:cs="Arial"/>
          <w:color w:val="000000"/>
          <w:lang w:val="sr-Cyrl-RS"/>
        </w:rPr>
        <w:t xml:space="preserve">инвалидитетом </w:t>
      </w:r>
      <w:r w:rsidR="00C20A6A" w:rsidRPr="00692B80">
        <w:rPr>
          <w:rFonts w:ascii="Arial" w:hAnsi="Arial" w:cs="Arial"/>
          <w:color w:val="000000"/>
          <w:lang w:val="sr-Latn-CS"/>
        </w:rPr>
        <w:t>олакшати приступ својим услугама.</w:t>
      </w:r>
    </w:p>
    <w:p w:rsidR="00BB2A08" w:rsidRPr="00C20A6A" w:rsidRDefault="00377E28" w:rsidP="00CF1E47">
      <w:pPr>
        <w:pStyle w:val="ListParagraph"/>
        <w:tabs>
          <w:tab w:val="left" w:pos="450"/>
        </w:tabs>
        <w:ind w:left="0"/>
        <w:jc w:val="both"/>
        <w:rPr>
          <w:rFonts w:ascii="Arial" w:hAnsi="Arial" w:cs="Arial"/>
          <w:noProof/>
          <w:sz w:val="22"/>
          <w:szCs w:val="22"/>
          <w:lang w:val="sr-Cyrl-RS"/>
        </w:rPr>
      </w:pPr>
      <w:r w:rsidRPr="00C20A6A">
        <w:rPr>
          <w:rFonts w:ascii="Arial" w:hAnsi="Arial" w:cs="Arial"/>
          <w:noProof/>
          <w:sz w:val="22"/>
          <w:szCs w:val="22"/>
          <w:lang w:val="sr-Cyrl-RS"/>
        </w:rPr>
        <w:t xml:space="preserve">Имајући у виду </w:t>
      </w:r>
      <w:r w:rsidR="00C03B74" w:rsidRPr="00C20A6A">
        <w:rPr>
          <w:rFonts w:ascii="Arial" w:hAnsi="Arial" w:cs="Arial"/>
          <w:noProof/>
          <w:sz w:val="22"/>
          <w:szCs w:val="22"/>
          <w:lang w:val="sr-Cyrl-RS"/>
        </w:rPr>
        <w:t xml:space="preserve">важност </w:t>
      </w:r>
      <w:r w:rsidR="009041B4">
        <w:rPr>
          <w:rFonts w:ascii="Arial" w:hAnsi="Arial" w:cs="Arial"/>
          <w:noProof/>
          <w:sz w:val="22"/>
          <w:szCs w:val="22"/>
          <w:lang w:val="sr-Cyrl-RS"/>
        </w:rPr>
        <w:t>здравствених установа специјализованих за рехабилитацију</w:t>
      </w:r>
      <w:r w:rsidR="00C03B74" w:rsidRPr="00C20A6A">
        <w:rPr>
          <w:rFonts w:ascii="Arial" w:hAnsi="Arial" w:cs="Arial"/>
          <w:noProof/>
          <w:sz w:val="22"/>
          <w:szCs w:val="22"/>
          <w:lang w:val="sr-Cyrl-RS"/>
        </w:rPr>
        <w:t xml:space="preserve">, </w:t>
      </w:r>
      <w:r w:rsidRPr="00C20A6A">
        <w:rPr>
          <w:rFonts w:ascii="Arial" w:hAnsi="Arial" w:cs="Arial"/>
          <w:noProof/>
          <w:sz w:val="22"/>
          <w:szCs w:val="22"/>
          <w:lang w:val="sr-Cyrl-RS"/>
        </w:rPr>
        <w:t>Повереник за заштиту равноправности</w:t>
      </w:r>
      <w:r w:rsidR="00C03B74" w:rsidRPr="00C20A6A">
        <w:rPr>
          <w:rFonts w:ascii="Arial" w:hAnsi="Arial" w:cs="Arial"/>
          <w:noProof/>
          <w:sz w:val="22"/>
          <w:szCs w:val="22"/>
          <w:lang w:val="sr-Cyrl-RS"/>
        </w:rPr>
        <w:t xml:space="preserve"> је користећи овлашћење из </w:t>
      </w:r>
      <w:r w:rsidRPr="00C20A6A">
        <w:rPr>
          <w:rFonts w:ascii="Arial" w:hAnsi="Arial" w:cs="Arial"/>
          <w:noProof/>
          <w:sz w:val="22"/>
          <w:szCs w:val="22"/>
          <w:lang w:val="sr-Cyrl-RS"/>
        </w:rPr>
        <w:t>члан</w:t>
      </w:r>
      <w:r w:rsidR="00C03B74" w:rsidRPr="00C20A6A">
        <w:rPr>
          <w:rFonts w:ascii="Arial" w:hAnsi="Arial" w:cs="Arial"/>
          <w:noProof/>
          <w:sz w:val="22"/>
          <w:szCs w:val="22"/>
          <w:lang w:val="sr-Cyrl-RS"/>
        </w:rPr>
        <w:t>а</w:t>
      </w:r>
      <w:r w:rsidRPr="00C20A6A">
        <w:rPr>
          <w:rFonts w:ascii="Arial" w:hAnsi="Arial" w:cs="Arial"/>
          <w:noProof/>
          <w:sz w:val="22"/>
          <w:szCs w:val="22"/>
          <w:lang w:val="sr-Cyrl-RS"/>
        </w:rPr>
        <w:t xml:space="preserve"> 33. </w:t>
      </w:r>
      <w:r w:rsidR="00AA5372" w:rsidRPr="00C20A6A">
        <w:rPr>
          <w:rFonts w:ascii="Arial" w:hAnsi="Arial" w:cs="Arial"/>
          <w:noProof/>
          <w:sz w:val="22"/>
          <w:szCs w:val="22"/>
          <w:lang w:val="sr-Cyrl-RS"/>
        </w:rPr>
        <w:t xml:space="preserve">став 1. </w:t>
      </w:r>
      <w:r w:rsidRPr="00C20A6A">
        <w:rPr>
          <w:rFonts w:ascii="Arial" w:hAnsi="Arial" w:cs="Arial"/>
          <w:noProof/>
          <w:sz w:val="22"/>
          <w:szCs w:val="22"/>
          <w:lang w:val="sr-Cyrl-RS"/>
        </w:rPr>
        <w:t>тачка 9. Закона о забрани дискриминације, упу</w:t>
      </w:r>
      <w:r w:rsidR="00C03B74" w:rsidRPr="00C20A6A">
        <w:rPr>
          <w:rFonts w:ascii="Arial" w:hAnsi="Arial" w:cs="Arial"/>
          <w:noProof/>
          <w:sz w:val="22"/>
          <w:szCs w:val="22"/>
          <w:lang w:val="sr-Cyrl-RS"/>
        </w:rPr>
        <w:t xml:space="preserve">тио ову препоруку мера свим </w:t>
      </w:r>
      <w:r w:rsidR="009041B4">
        <w:rPr>
          <w:rFonts w:ascii="Arial" w:hAnsi="Arial" w:cs="Arial"/>
          <w:noProof/>
          <w:sz w:val="22"/>
          <w:szCs w:val="22"/>
          <w:lang w:val="sr-Cyrl-RS"/>
        </w:rPr>
        <w:t>здравственим установама специјализованим за рехабилитацију</w:t>
      </w:r>
      <w:r w:rsidR="00C03B74" w:rsidRPr="00C20A6A">
        <w:rPr>
          <w:rFonts w:ascii="Arial" w:hAnsi="Arial" w:cs="Arial"/>
          <w:noProof/>
          <w:sz w:val="22"/>
          <w:szCs w:val="22"/>
          <w:lang w:val="sr-Cyrl-RS"/>
        </w:rPr>
        <w:t xml:space="preserve">. </w:t>
      </w:r>
    </w:p>
    <w:p w:rsidR="007B641C" w:rsidRPr="00C20A6A" w:rsidRDefault="007B641C" w:rsidP="00CF1E47">
      <w:pPr>
        <w:pStyle w:val="ListParagraph"/>
        <w:rPr>
          <w:rFonts w:ascii="Arial" w:hAnsi="Arial" w:cs="Arial"/>
          <w:noProof/>
          <w:sz w:val="22"/>
          <w:szCs w:val="22"/>
          <w:lang w:val="sr-Cyrl-RS"/>
        </w:rPr>
      </w:pPr>
    </w:p>
    <w:p w:rsidR="00BB72CC" w:rsidRDefault="009041B4" w:rsidP="00CF1E47">
      <w:pPr>
        <w:pStyle w:val="ListParagraph"/>
        <w:tabs>
          <w:tab w:val="left" w:pos="450"/>
        </w:tabs>
        <w:ind w:left="0"/>
        <w:jc w:val="both"/>
        <w:rPr>
          <w:rFonts w:ascii="Arial" w:hAnsi="Arial" w:cs="Arial"/>
          <w:noProof/>
          <w:sz w:val="22"/>
          <w:szCs w:val="22"/>
          <w:lang w:val="sr-Cyrl-RS"/>
        </w:rPr>
      </w:pPr>
      <w:r>
        <w:rPr>
          <w:rFonts w:ascii="Arial" w:hAnsi="Arial" w:cs="Arial"/>
          <w:noProof/>
          <w:sz w:val="22"/>
          <w:szCs w:val="22"/>
          <w:lang w:val="sr-Cyrl-RS"/>
        </w:rPr>
        <w:t xml:space="preserve">Здравствене установе специјализоване за рехабилитацију </w:t>
      </w:r>
      <w:r w:rsidR="00C20A6A">
        <w:rPr>
          <w:rFonts w:ascii="Arial" w:hAnsi="Arial" w:cs="Arial"/>
          <w:noProof/>
          <w:sz w:val="22"/>
          <w:szCs w:val="22"/>
          <w:lang w:val="sr-Cyrl-RS"/>
        </w:rPr>
        <w:t>обавестиће</w:t>
      </w:r>
      <w:r w:rsidR="00C20A6A" w:rsidRPr="006818CC">
        <w:rPr>
          <w:rFonts w:ascii="Arial" w:hAnsi="Arial" w:cs="Arial"/>
          <w:noProof/>
          <w:sz w:val="22"/>
          <w:szCs w:val="22"/>
          <w:lang w:val="sr-Cyrl-RS"/>
        </w:rPr>
        <w:t xml:space="preserve"> </w:t>
      </w:r>
      <w:r w:rsidR="00863B8D" w:rsidRPr="006818CC">
        <w:rPr>
          <w:rFonts w:ascii="Arial" w:hAnsi="Arial" w:cs="Arial"/>
          <w:noProof/>
          <w:sz w:val="22"/>
          <w:szCs w:val="22"/>
          <w:lang w:val="sr-Cyrl-RS"/>
        </w:rPr>
        <w:t>Повереника за заштиту равноправности о предузетим мерама у циљу спровођења ове препоруке</w:t>
      </w:r>
      <w:r w:rsidR="00BB72CC" w:rsidRPr="006818CC">
        <w:rPr>
          <w:rFonts w:ascii="Arial" w:hAnsi="Arial" w:cs="Arial"/>
          <w:noProof/>
          <w:sz w:val="22"/>
          <w:szCs w:val="22"/>
          <w:lang w:val="sr-Cyrl-RS"/>
        </w:rPr>
        <w:t xml:space="preserve">, </w:t>
      </w:r>
      <w:r w:rsidR="00377E28" w:rsidRPr="006818CC">
        <w:rPr>
          <w:rFonts w:ascii="Arial" w:hAnsi="Arial" w:cs="Arial"/>
          <w:noProof/>
          <w:sz w:val="22"/>
          <w:szCs w:val="22"/>
          <w:lang w:val="sr-Cyrl-RS"/>
        </w:rPr>
        <w:t>у року</w:t>
      </w:r>
      <w:r w:rsidR="00BB72CC" w:rsidRPr="006818CC">
        <w:rPr>
          <w:rFonts w:ascii="Arial" w:hAnsi="Arial" w:cs="Arial"/>
          <w:noProof/>
          <w:sz w:val="22"/>
          <w:szCs w:val="22"/>
          <w:lang w:val="sr-Cyrl-RS"/>
        </w:rPr>
        <w:t xml:space="preserve"> од 30 дана од дана пријема </w:t>
      </w:r>
      <w:r w:rsidR="00377E28" w:rsidRPr="006818CC">
        <w:rPr>
          <w:rFonts w:ascii="Arial" w:hAnsi="Arial" w:cs="Arial"/>
          <w:noProof/>
          <w:sz w:val="22"/>
          <w:szCs w:val="22"/>
          <w:lang w:val="sr-Cyrl-RS"/>
        </w:rPr>
        <w:t>препоруке</w:t>
      </w:r>
      <w:r w:rsidR="00BB72CC" w:rsidRPr="006818CC">
        <w:rPr>
          <w:rFonts w:ascii="Arial" w:hAnsi="Arial" w:cs="Arial"/>
          <w:noProof/>
          <w:sz w:val="22"/>
          <w:szCs w:val="22"/>
          <w:lang w:val="sr-Cyrl-RS"/>
        </w:rPr>
        <w:t xml:space="preserve"> мера за остваривање равноправности.</w:t>
      </w:r>
    </w:p>
    <w:p w:rsidR="007A6F91" w:rsidRDefault="007A6F91" w:rsidP="00CF1E47">
      <w:pPr>
        <w:pStyle w:val="ListParagraph"/>
        <w:tabs>
          <w:tab w:val="left" w:pos="450"/>
        </w:tabs>
        <w:ind w:left="0"/>
        <w:jc w:val="both"/>
        <w:rPr>
          <w:rFonts w:ascii="Arial" w:hAnsi="Arial" w:cs="Arial"/>
          <w:noProof/>
          <w:sz w:val="22"/>
          <w:szCs w:val="22"/>
          <w:lang w:val="sr-Cyrl-RS"/>
        </w:rPr>
      </w:pPr>
    </w:p>
    <w:p w:rsidR="007A6F91" w:rsidRPr="00882240" w:rsidRDefault="007A6F91" w:rsidP="00CF1E47">
      <w:pPr>
        <w:pStyle w:val="ListParagraph"/>
        <w:tabs>
          <w:tab w:val="left" w:pos="450"/>
        </w:tabs>
        <w:ind w:left="0"/>
        <w:jc w:val="both"/>
        <w:rPr>
          <w:rFonts w:ascii="Arial" w:hAnsi="Arial" w:cs="Arial"/>
          <w:noProof/>
          <w:sz w:val="22"/>
          <w:szCs w:val="22"/>
          <w:lang w:val="sr-Cyrl-RS"/>
        </w:rPr>
      </w:pPr>
    </w:p>
    <w:tbl>
      <w:tblPr>
        <w:tblW w:w="9129" w:type="dxa"/>
        <w:tblLook w:val="04A0" w:firstRow="1" w:lastRow="0" w:firstColumn="1" w:lastColumn="0" w:noHBand="0" w:noVBand="1"/>
      </w:tblPr>
      <w:tblGrid>
        <w:gridCol w:w="5070"/>
        <w:gridCol w:w="4059"/>
      </w:tblGrid>
      <w:tr w:rsidR="002534B3" w:rsidRPr="00882240" w:rsidTr="005F6416">
        <w:trPr>
          <w:trHeight w:val="503"/>
        </w:trPr>
        <w:tc>
          <w:tcPr>
            <w:tcW w:w="5070" w:type="dxa"/>
            <w:vMerge w:val="restart"/>
          </w:tcPr>
          <w:p w:rsidR="002534B3" w:rsidRPr="00882240" w:rsidRDefault="002534B3" w:rsidP="00CF1E47">
            <w:pPr>
              <w:pStyle w:val="Body"/>
              <w:tabs>
                <w:tab w:val="left" w:pos="1134"/>
              </w:tabs>
              <w:rPr>
                <w:rFonts w:ascii="Arial" w:eastAsia="Times New Roman" w:hAnsi="Arial" w:cs="Arial"/>
                <w:noProof/>
                <w:color w:val="auto"/>
                <w:sz w:val="22"/>
                <w:szCs w:val="22"/>
                <w:lang w:val="sr-Cyrl-RS"/>
              </w:rPr>
            </w:pPr>
          </w:p>
        </w:tc>
        <w:tc>
          <w:tcPr>
            <w:tcW w:w="4059" w:type="dxa"/>
          </w:tcPr>
          <w:p w:rsidR="002534B3" w:rsidRPr="00882240" w:rsidRDefault="002534B3" w:rsidP="00CF1E47">
            <w:pPr>
              <w:pStyle w:val="Body"/>
              <w:tabs>
                <w:tab w:val="left" w:pos="1134"/>
              </w:tabs>
              <w:jc w:val="center"/>
              <w:rPr>
                <w:rFonts w:ascii="Arial" w:eastAsia="Times New Roman" w:hAnsi="Arial" w:cs="Arial"/>
                <w:b/>
                <w:noProof/>
                <w:color w:val="auto"/>
                <w:szCs w:val="24"/>
                <w:lang w:val="sr-Cyrl-RS"/>
              </w:rPr>
            </w:pPr>
            <w:r w:rsidRPr="00882240">
              <w:rPr>
                <w:rFonts w:ascii="Arial" w:eastAsia="Times New Roman" w:hAnsi="Arial" w:cs="Arial"/>
                <w:b/>
                <w:noProof/>
                <w:color w:val="auto"/>
                <w:szCs w:val="24"/>
                <w:lang w:val="sr-Cyrl-RS"/>
              </w:rPr>
              <w:t>ПОВЕРЕНИЦА ЗА ЗАШТИТУ РАВНОПРАВНОСТИ</w:t>
            </w:r>
          </w:p>
          <w:p w:rsidR="002534B3" w:rsidRPr="00882240" w:rsidRDefault="002534B3" w:rsidP="00CF1E47">
            <w:pPr>
              <w:pStyle w:val="Body"/>
              <w:tabs>
                <w:tab w:val="left" w:pos="1134"/>
              </w:tabs>
              <w:jc w:val="center"/>
              <w:rPr>
                <w:rFonts w:ascii="Arial" w:eastAsia="Times New Roman" w:hAnsi="Arial" w:cs="Arial"/>
                <w:b/>
                <w:noProof/>
                <w:color w:val="auto"/>
                <w:szCs w:val="24"/>
                <w:lang w:val="sr-Cyrl-RS"/>
              </w:rPr>
            </w:pPr>
          </w:p>
        </w:tc>
      </w:tr>
      <w:tr w:rsidR="002534B3" w:rsidRPr="00882240" w:rsidTr="005F6416">
        <w:trPr>
          <w:trHeight w:val="502"/>
        </w:trPr>
        <w:tc>
          <w:tcPr>
            <w:tcW w:w="5070" w:type="dxa"/>
            <w:vMerge/>
          </w:tcPr>
          <w:p w:rsidR="002534B3" w:rsidRPr="00882240" w:rsidRDefault="002534B3" w:rsidP="00CF1E47">
            <w:pPr>
              <w:pStyle w:val="Body"/>
              <w:tabs>
                <w:tab w:val="left" w:pos="1134"/>
              </w:tabs>
              <w:rPr>
                <w:rFonts w:ascii="Arial" w:eastAsia="Times New Roman" w:hAnsi="Arial" w:cs="Arial"/>
                <w:noProof/>
                <w:color w:val="auto"/>
                <w:sz w:val="22"/>
                <w:szCs w:val="22"/>
                <w:lang w:val="sr-Cyrl-RS"/>
              </w:rPr>
            </w:pPr>
          </w:p>
        </w:tc>
        <w:tc>
          <w:tcPr>
            <w:tcW w:w="4059" w:type="dxa"/>
            <w:vAlign w:val="center"/>
          </w:tcPr>
          <w:p w:rsidR="002534B3" w:rsidRPr="00882240" w:rsidRDefault="002534B3" w:rsidP="00CF1E47">
            <w:pPr>
              <w:pStyle w:val="Body"/>
              <w:tabs>
                <w:tab w:val="left" w:pos="1134"/>
              </w:tabs>
              <w:jc w:val="center"/>
              <w:rPr>
                <w:rFonts w:ascii="Arial" w:eastAsia="Times New Roman" w:hAnsi="Arial" w:cs="Arial"/>
                <w:b/>
                <w:noProof/>
                <w:color w:val="auto"/>
                <w:szCs w:val="24"/>
                <w:lang w:val="sr-Cyrl-RS"/>
              </w:rPr>
            </w:pPr>
            <w:r w:rsidRPr="00882240">
              <w:rPr>
                <w:rFonts w:ascii="Arial" w:eastAsia="Times New Roman" w:hAnsi="Arial" w:cs="Arial"/>
                <w:b/>
                <w:noProof/>
                <w:color w:val="auto"/>
                <w:szCs w:val="24"/>
                <w:lang w:val="sr-Cyrl-RS"/>
              </w:rPr>
              <w:t>Бранкица Јанковић</w:t>
            </w:r>
          </w:p>
        </w:tc>
      </w:tr>
    </w:tbl>
    <w:p w:rsidR="00377E28" w:rsidRPr="006E51BB" w:rsidRDefault="00377E28" w:rsidP="00CF1E47">
      <w:pPr>
        <w:pStyle w:val="Body"/>
        <w:tabs>
          <w:tab w:val="left" w:pos="9072"/>
        </w:tabs>
        <w:spacing w:after="120"/>
        <w:jc w:val="both"/>
        <w:rPr>
          <w:rFonts w:ascii="Arial" w:eastAsia="Times New Roman" w:hAnsi="Arial" w:cs="Arial"/>
          <w:noProof/>
          <w:color w:val="auto"/>
          <w:sz w:val="22"/>
          <w:szCs w:val="22"/>
          <w:lang w:val="sr-Latn-RS"/>
        </w:rPr>
      </w:pPr>
    </w:p>
    <w:sectPr w:rsidR="00377E28" w:rsidRPr="006E51BB" w:rsidSect="005C0A9F">
      <w:footerReference w:type="default" r:id="rId10"/>
      <w:footerReference w:type="first" r:id="rId11"/>
      <w:pgSz w:w="11906" w:h="16838"/>
      <w:pgMar w:top="1135" w:right="1021" w:bottom="1304" w:left="1021" w:header="709" w:footer="170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B09" w:rsidRDefault="002E5B09" w:rsidP="005D33F4">
      <w:pPr>
        <w:spacing w:after="0" w:line="240" w:lineRule="auto"/>
      </w:pPr>
      <w:r>
        <w:separator/>
      </w:r>
    </w:p>
  </w:endnote>
  <w:endnote w:type="continuationSeparator" w:id="0">
    <w:p w:rsidR="002E5B09" w:rsidRDefault="002E5B09" w:rsidP="005D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39" w:rsidRDefault="00192A39">
    <w:pPr>
      <w:pStyle w:val="Footer"/>
    </w:pPr>
    <w:r w:rsidRPr="00A54DC3">
      <w:rPr>
        <w:noProof/>
        <w:lang w:val="en-US"/>
      </w:rPr>
      <mc:AlternateContent>
        <mc:Choice Requires="wps">
          <w:drawing>
            <wp:anchor distT="152400" distB="152400" distL="152400" distR="152400" simplePos="0" relativeHeight="251655168" behindDoc="0" locked="0" layoutInCell="1" allowOverlap="1" wp14:anchorId="5F41B899" wp14:editId="7753AAE2">
              <wp:simplePos x="0" y="0"/>
              <wp:positionH relativeFrom="page">
                <wp:posOffset>711200</wp:posOffset>
              </wp:positionH>
              <wp:positionV relativeFrom="page">
                <wp:posOffset>9858375</wp:posOffset>
              </wp:positionV>
              <wp:extent cx="6165850" cy="57150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92A39" w:rsidRDefault="00192A39" w:rsidP="005F6416">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lang w:val="sr-Cyrl-RS"/>
                            </w:rPr>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r>
                            <w:rPr>
                              <w:rFonts w:ascii="Arial" w:hAnsi="Arial"/>
                              <w:spacing w:val="-1"/>
                              <w:sz w:val="16"/>
                              <w:lang w:val="sr-Cyrl-RS"/>
                            </w:rPr>
                            <w:t xml:space="preserve">           </w:t>
                          </w:r>
                          <w:r>
                            <w:rPr>
                              <w:rFonts w:ascii="Arial" w:hAnsi="Arial"/>
                              <w:spacing w:val="-1"/>
                              <w:sz w:val="16"/>
                            </w:rPr>
                            <w:t xml:space="preserve"> </w:t>
                          </w:r>
                          <w:r>
                            <w:rPr>
                              <w:rFonts w:ascii="Arial" w:hAnsi="Arial"/>
                              <w:spacing w:val="-1"/>
                              <w:sz w:val="16"/>
                              <w:lang w:val="sr-Cyrl-RS"/>
                            </w:rPr>
                            <w:t xml:space="preserve">      </w:t>
                          </w:r>
                          <w:r>
                            <w:rPr>
                              <w:rFonts w:ascii="Arial" w:hAnsi="Arial"/>
                              <w:spacing w:val="-1"/>
                              <w:sz w:val="16"/>
                            </w:rPr>
                            <w:t xml:space="preserve"> </w:t>
                          </w:r>
                          <w:hyperlink r:id="rId1" w:history="1">
                            <w:r>
                              <w:rPr>
                                <w:rFonts w:ascii="Arial" w:hAnsi="Arial"/>
                                <w:spacing w:val="-1"/>
                                <w:sz w:val="16"/>
                              </w:rPr>
                              <w:t>www.ravnopravnost.gov.rs</w:t>
                            </w:r>
                          </w:hyperlink>
                        </w:p>
                        <w:p w:rsidR="00192A39" w:rsidRPr="006560D2" w:rsidRDefault="00192A39" w:rsidP="005F6416">
                          <w:pPr>
                            <w:pStyle w:val="FreeFormAA"/>
                            <w:spacing w:line="288" w:lineRule="auto"/>
                            <w:rPr>
                              <w:rFonts w:ascii="Times New Roman" w:eastAsia="Times New Roman" w:hAnsi="Times New Roman"/>
                              <w:color w:val="auto"/>
                              <w:sz w:val="20"/>
                              <w:lang w:val="sr-Cyrl-R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Београд, Република Србија           </w:t>
                          </w:r>
                          <w:r>
                            <w:rPr>
                              <w:rFonts w:ascii="Arial" w:hAnsi="Arial"/>
                              <w:spacing w:val="-1"/>
                              <w:sz w:val="16"/>
                              <w:lang w:val="sr-Cyrl-RS"/>
                            </w:rPr>
                            <w:t xml:space="preserve">                     </w:t>
                          </w:r>
                          <w:hyperlink r:id="rId2" w:history="1">
                            <w:r>
                              <w:rPr>
                                <w:rFonts w:ascii="Arial" w:hAnsi="Arial"/>
                                <w:spacing w:val="-1"/>
                                <w:sz w:val="16"/>
                              </w:rPr>
                              <w:t>poverenik@ravnopravnost.gov.rs</w:t>
                            </w:r>
                          </w:hyperlink>
                          <w:r>
                            <w:rPr>
                              <w:lang w:val="sr-Cyrl-RS"/>
                            </w:rPr>
                            <w:t xml:space="preserve">     </w:t>
                          </w:r>
                          <w:r w:rsidRPr="006560D2">
                            <w:rPr>
                              <w:rFonts w:ascii="Arial" w:hAnsi="Arial" w:cs="Arial"/>
                              <w:sz w:val="16"/>
                              <w:lang w:val="sr-Cyrl-RS"/>
                            </w:rPr>
                            <w:fldChar w:fldCharType="begin"/>
                          </w:r>
                          <w:r w:rsidRPr="006560D2">
                            <w:rPr>
                              <w:rFonts w:ascii="Arial" w:hAnsi="Arial" w:cs="Arial"/>
                              <w:sz w:val="16"/>
                              <w:lang w:val="sr-Cyrl-RS"/>
                            </w:rPr>
                            <w:instrText xml:space="preserve"> PAGE   \* MERGEFORMAT </w:instrText>
                          </w:r>
                          <w:r w:rsidRPr="006560D2">
                            <w:rPr>
                              <w:rFonts w:ascii="Arial" w:hAnsi="Arial" w:cs="Arial"/>
                              <w:sz w:val="16"/>
                              <w:lang w:val="sr-Cyrl-RS"/>
                            </w:rPr>
                            <w:fldChar w:fldCharType="separate"/>
                          </w:r>
                          <w:r w:rsidR="00364867">
                            <w:rPr>
                              <w:rFonts w:ascii="Arial" w:hAnsi="Arial" w:cs="Arial"/>
                              <w:noProof/>
                              <w:sz w:val="16"/>
                              <w:lang w:val="sr-Cyrl-RS"/>
                            </w:rPr>
                            <w:t>2</w:t>
                          </w:r>
                          <w:r w:rsidRPr="006560D2">
                            <w:rPr>
                              <w:rFonts w:ascii="Arial" w:hAnsi="Arial" w:cs="Arial"/>
                              <w:sz w:val="16"/>
                              <w:lang w:val="sr-Cyrl-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1B899" id="Rectangle 6" o:spid="_x0000_s1026" style="position:absolute;margin-left:56pt;margin-top:776.25pt;width:485.5pt;height:45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UfnAIAAIoFAAAOAAAAZHJzL2Uyb0RvYy54bWysVFFvmzAQfp+0/2D5nQIZIYBKqjaEaVK3&#10;Vev2AxwwwZqxme2EdNP++86mJE2rSdM2HtDZdz5/393nu7w6dBztqdJMihyHFwFGVFSyZmKb4y+f&#10;Sy/BSBsiasKloDl+oBpfLV+/uhz6jM5kK3lNFYIkQmdDn+PWmD7zfV21tCP6QvZUgLORqiMGlmrr&#10;14oMkL3j/iwIYn+Qqu6VrKjWsFuMTrx0+ZuGVuZj02hqEM8xYDPur9x/Y//+8pJkW0X6llWPMMhf&#10;oOgIE3DpMVVBDEE7xV6k6lilpJaNuahk58umYRV1HIBNGDxjc9+SnjouUBzdH8uk/1/a6sP+TiFW&#10;5zjGSJAOWvQJikbEllMU2/IMvc4g6r6/U5ag7m9l9VWDwz/z2IWGGLQZ3ssa0pCdka4kh0Z19iSQ&#10;RQdX+Ydj5enBoAo24zCeJ3NoUAW++SKcB641Psmm073S5i2VHbJGjhWAdNnJ/lYbi4ZkU4i9TMiS&#10;ce66y8XZBgSOO3A3HLU+i8I160capOtknUReNIvXXhQUhXddriIvLsPFvHhTrFZF+NPeG0ZZy+qa&#10;CnvNJJww+rPGPEp4bPlROlpyVtt0FpJW282KK7QnINzSfbYZAP5JmH8Ow7mByzNK4SwKbmapV8bJ&#10;wovKaO6liyDxgjC9SeMgSqOiPKd0ywT9d0pogHkwW0AjHZ/fkgvc95IcyTpmYDZw1uU4OQaRrKWk&#10;Xova9dYQxkf7SS0s/lMtoGRTp51irUhHVZvD5gBZrHI3sn4A7SoJ0gIVwkADo5XqO0YDDIcc6287&#10;oihG/J2A12cnyWSoydhMBhEVHM2xwWg0V2acOLtesW0LmUNXEyGv4Y00zMn3hAKg2wU8eEficTjZ&#10;ifJ07aJOI3T5CwAA//8DAFBLAwQUAAYACAAAACEA27H7WN4AAAAOAQAADwAAAGRycy9kb3ducmV2&#10;LnhtbExPQU7DMBC8I/EHa5G4UachKSXEqRAILj0AhQdsY+NYjddR7LTh92xPcJuZHc3O1JvZ9+Jo&#10;xugCKVguMhCG2qAdWQVfny83axAxIWnsAxkFPybCprm8qLHS4UQf5rhLVnAIxQoVdCkNlZSx7YzH&#10;uAiDIb59h9FjYjpaqUc8cbjvZZ5lK+nREX/ocDBPnWkPu8krcO/2MBVh+4wdObu9L97c651U6vpq&#10;fnwAkcyc/sxwrs/VoeFO+zCRjqJnvsx5S2JQlnkJ4mzJ1res7RmtCtZkU8v/M5pfAAAA//8DAFBL&#10;AQItABQABgAIAAAAIQC2gziS/gAAAOEBAAATAAAAAAAAAAAAAAAAAAAAAABbQ29udGVudF9UeXBl&#10;c10ueG1sUEsBAi0AFAAGAAgAAAAhADj9If/WAAAAlAEAAAsAAAAAAAAAAAAAAAAALwEAAF9yZWxz&#10;Ly5yZWxzUEsBAi0AFAAGAAgAAAAhAATXNR+cAgAAigUAAA4AAAAAAAAAAAAAAAAALgIAAGRycy9l&#10;Mm9Eb2MueG1sUEsBAi0AFAAGAAgAAAAhANux+1jeAAAADgEAAA8AAAAAAAAAAAAAAAAA9gQAAGRy&#10;cy9kb3ducmV2LnhtbFBLBQYAAAAABAAEAPMAAAABBgAAAAA=&#10;" filled="f" stroked="f" strokeweight="1pt">
              <v:path arrowok="t"/>
              <v:textbox inset="0,0,0,0">
                <w:txbxContent>
                  <w:p w:rsidR="00192A39" w:rsidRDefault="00192A39" w:rsidP="005F6416">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lang w:val="sr-Cyrl-RS"/>
                      </w:rPr>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r>
                      <w:rPr>
                        <w:rFonts w:ascii="Arial" w:hAnsi="Arial"/>
                        <w:spacing w:val="-1"/>
                        <w:sz w:val="16"/>
                        <w:lang w:val="sr-Cyrl-RS"/>
                      </w:rPr>
                      <w:t xml:space="preserve">           </w:t>
                    </w:r>
                    <w:r>
                      <w:rPr>
                        <w:rFonts w:ascii="Arial" w:hAnsi="Arial"/>
                        <w:spacing w:val="-1"/>
                        <w:sz w:val="16"/>
                      </w:rPr>
                      <w:t xml:space="preserve"> </w:t>
                    </w:r>
                    <w:r>
                      <w:rPr>
                        <w:rFonts w:ascii="Arial" w:hAnsi="Arial"/>
                        <w:spacing w:val="-1"/>
                        <w:sz w:val="16"/>
                        <w:lang w:val="sr-Cyrl-RS"/>
                      </w:rPr>
                      <w:t xml:space="preserve">      </w:t>
                    </w:r>
                    <w:r>
                      <w:rPr>
                        <w:rFonts w:ascii="Arial" w:hAnsi="Arial"/>
                        <w:spacing w:val="-1"/>
                        <w:sz w:val="16"/>
                      </w:rPr>
                      <w:t xml:space="preserve"> </w:t>
                    </w:r>
                    <w:hyperlink r:id="rId3" w:history="1">
                      <w:r>
                        <w:rPr>
                          <w:rFonts w:ascii="Arial" w:hAnsi="Arial"/>
                          <w:spacing w:val="-1"/>
                          <w:sz w:val="16"/>
                        </w:rPr>
                        <w:t>www.ravnopravnost.gov.rs</w:t>
                      </w:r>
                    </w:hyperlink>
                  </w:p>
                  <w:p w:rsidR="00192A39" w:rsidRPr="006560D2" w:rsidRDefault="00192A39" w:rsidP="005F6416">
                    <w:pPr>
                      <w:pStyle w:val="FreeFormAA"/>
                      <w:spacing w:line="288" w:lineRule="auto"/>
                      <w:rPr>
                        <w:rFonts w:ascii="Times New Roman" w:eastAsia="Times New Roman" w:hAnsi="Times New Roman"/>
                        <w:color w:val="auto"/>
                        <w:sz w:val="20"/>
                        <w:lang w:val="sr-Cyrl-R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Београд, Република Србија           </w:t>
                    </w:r>
                    <w:r>
                      <w:rPr>
                        <w:rFonts w:ascii="Arial" w:hAnsi="Arial"/>
                        <w:spacing w:val="-1"/>
                        <w:sz w:val="16"/>
                        <w:lang w:val="sr-Cyrl-RS"/>
                      </w:rPr>
                      <w:t xml:space="preserve">                     </w:t>
                    </w:r>
                    <w:hyperlink r:id="rId4" w:history="1">
                      <w:r>
                        <w:rPr>
                          <w:rFonts w:ascii="Arial" w:hAnsi="Arial"/>
                          <w:spacing w:val="-1"/>
                          <w:sz w:val="16"/>
                        </w:rPr>
                        <w:t>poverenik@ravnopravnost.gov.rs</w:t>
                      </w:r>
                    </w:hyperlink>
                    <w:r>
                      <w:rPr>
                        <w:lang w:val="sr-Cyrl-RS"/>
                      </w:rPr>
                      <w:t xml:space="preserve">     </w:t>
                    </w:r>
                    <w:r w:rsidRPr="006560D2">
                      <w:rPr>
                        <w:rFonts w:ascii="Arial" w:hAnsi="Arial" w:cs="Arial"/>
                        <w:sz w:val="16"/>
                        <w:lang w:val="sr-Cyrl-RS"/>
                      </w:rPr>
                      <w:fldChar w:fldCharType="begin"/>
                    </w:r>
                    <w:r w:rsidRPr="006560D2">
                      <w:rPr>
                        <w:rFonts w:ascii="Arial" w:hAnsi="Arial" w:cs="Arial"/>
                        <w:sz w:val="16"/>
                        <w:lang w:val="sr-Cyrl-RS"/>
                      </w:rPr>
                      <w:instrText xml:space="preserve"> PAGE   \* MERGEFORMAT </w:instrText>
                    </w:r>
                    <w:r w:rsidRPr="006560D2">
                      <w:rPr>
                        <w:rFonts w:ascii="Arial" w:hAnsi="Arial" w:cs="Arial"/>
                        <w:sz w:val="16"/>
                        <w:lang w:val="sr-Cyrl-RS"/>
                      </w:rPr>
                      <w:fldChar w:fldCharType="separate"/>
                    </w:r>
                    <w:r w:rsidR="00364867">
                      <w:rPr>
                        <w:rFonts w:ascii="Arial" w:hAnsi="Arial" w:cs="Arial"/>
                        <w:noProof/>
                        <w:sz w:val="16"/>
                        <w:lang w:val="sr-Cyrl-RS"/>
                      </w:rPr>
                      <w:t>2</w:t>
                    </w:r>
                    <w:r w:rsidRPr="006560D2">
                      <w:rPr>
                        <w:rFonts w:ascii="Arial" w:hAnsi="Arial" w:cs="Arial"/>
                        <w:sz w:val="16"/>
                        <w:lang w:val="sr-Cyrl-RS"/>
                      </w:rPr>
                      <w:fldChar w:fldCharType="end"/>
                    </w:r>
                  </w:p>
                </w:txbxContent>
              </v:textbox>
              <w10:wrap type="square" anchorx="page" anchory="page"/>
            </v:rect>
          </w:pict>
        </mc:Fallback>
      </mc:AlternateContent>
    </w:r>
    <w:r>
      <w:rPr>
        <w:noProof/>
        <w:lang w:val="en-US"/>
      </w:rPr>
      <w:drawing>
        <wp:anchor distT="0" distB="0" distL="114300" distR="114300" simplePos="0" relativeHeight="251657216" behindDoc="0" locked="0" layoutInCell="1" allowOverlap="1" wp14:anchorId="5FCF901E" wp14:editId="38D8BE05">
          <wp:simplePos x="0" y="0"/>
          <wp:positionH relativeFrom="page">
            <wp:posOffset>457200</wp:posOffset>
          </wp:positionH>
          <wp:positionV relativeFrom="page">
            <wp:posOffset>9458325</wp:posOffset>
          </wp:positionV>
          <wp:extent cx="6642100" cy="523875"/>
          <wp:effectExtent l="0" t="0" r="635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39" w:rsidRDefault="00192A39">
    <w:pPr>
      <w:pStyle w:val="Footer"/>
    </w:pPr>
    <w:r>
      <w:rPr>
        <w:noProof/>
        <w:lang w:val="en-US"/>
      </w:rPr>
      <mc:AlternateContent>
        <mc:Choice Requires="wps">
          <w:drawing>
            <wp:anchor distT="152400" distB="152400" distL="152400" distR="152400" simplePos="0" relativeHeight="251661312" behindDoc="0" locked="0" layoutInCell="1" allowOverlap="1" wp14:anchorId="6DFE879A" wp14:editId="58A50B37">
              <wp:simplePos x="0" y="0"/>
              <wp:positionH relativeFrom="page">
                <wp:posOffset>751205</wp:posOffset>
              </wp:positionH>
              <wp:positionV relativeFrom="page">
                <wp:posOffset>9911715</wp:posOffset>
              </wp:positionV>
              <wp:extent cx="6165850" cy="571500"/>
              <wp:effectExtent l="0" t="0" r="0" b="381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92A39" w:rsidRDefault="00192A39" w:rsidP="005F6416">
                          <w:pPr>
                            <w:pStyle w:val="FreeFormAA"/>
                            <w:spacing w:line="288" w:lineRule="auto"/>
                            <w:rPr>
                              <w:rFonts w:ascii="Arial Bold" w:hAnsi="Arial Bold"/>
                              <w:spacing w:val="-1"/>
                              <w:sz w:val="16"/>
                            </w:rPr>
                          </w:pPr>
                          <w:r>
                            <w:rPr>
                              <w:rFonts w:ascii="Arial" w:hAnsi="Arial"/>
                              <w:spacing w:val="-1"/>
                              <w:sz w:val="16"/>
                            </w:rPr>
                            <w:br/>
                            <w:t>Повереник за заштиту равноправности</w:t>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r>
                          <w:r>
                            <w:rPr>
                              <w:rFonts w:ascii="Arial" w:hAnsi="Arial"/>
                              <w:spacing w:val="-1"/>
                              <w:sz w:val="16"/>
                              <w:lang w:val="sr-Cyrl-RS"/>
                            </w:rPr>
                            <w:t xml:space="preserve"> </w:t>
                          </w:r>
                          <w:r>
                            <w:rPr>
                              <w:rFonts w:ascii="Arial" w:hAnsi="Arial"/>
                              <w:spacing w:val="-1"/>
                              <w:sz w:val="16"/>
                            </w:rPr>
                            <w:t xml:space="preserve">               </w:t>
                          </w:r>
                          <w:hyperlink r:id="rId1" w:history="1">
                            <w:r>
                              <w:rPr>
                                <w:rFonts w:ascii="Arial" w:hAnsi="Arial"/>
                                <w:spacing w:val="-1"/>
                                <w:sz w:val="16"/>
                              </w:rPr>
                              <w:t>www.ravnopravnost.gov.rs</w:t>
                            </w:r>
                          </w:hyperlink>
                        </w:p>
                        <w:p w:rsidR="00192A39" w:rsidRPr="006560D2" w:rsidRDefault="00192A39" w:rsidP="005F6416">
                          <w:pPr>
                            <w:pStyle w:val="FreeFormAA"/>
                            <w:spacing w:line="288" w:lineRule="auto"/>
                            <w:rPr>
                              <w:rFonts w:ascii="Times New Roman" w:eastAsia="Times New Roman" w:hAnsi="Times New Roman"/>
                              <w:color w:val="auto"/>
                              <w:sz w:val="20"/>
                              <w:lang w:val="sr-Cyrl-R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Београд, Република Србија           </w:t>
                          </w:r>
                          <w:r>
                            <w:rPr>
                              <w:rFonts w:ascii="Arial" w:hAnsi="Arial"/>
                              <w:spacing w:val="-1"/>
                              <w:sz w:val="16"/>
                              <w:lang w:val="sr-Cyrl-RS"/>
                            </w:rPr>
                            <w:t xml:space="preserve">                              </w:t>
                          </w:r>
                          <w:hyperlink r:id="rId2" w:history="1">
                            <w:r>
                              <w:rPr>
                                <w:rFonts w:ascii="Arial" w:hAnsi="Arial"/>
                                <w:spacing w:val="-1"/>
                                <w:sz w:val="16"/>
                              </w:rPr>
                              <w:t>poverenik@ravnopravnost.gov.rs</w:t>
                            </w:r>
                          </w:hyperlink>
                          <w:r>
                            <w:rPr>
                              <w:lang w:val="sr-Cyrl-R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E879A" id="Rectangle 4" o:spid="_x0000_s1027" style="position:absolute;margin-left:59.15pt;margin-top:780.45pt;width:485.5pt;height:45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qoAIAAJEFAAAOAAAAZHJzL2Uyb0RvYy54bWysVFFvmzAQfp+0/2D5nQIZIYBCqjaEaVK3&#10;Vev2AxwwwZqxme2EdNP++86mpE2rSdM2HtDZdz7fd9/nW14eO44OVGkmRY7DiwAjKipZM7HL8ZfP&#10;pZdgpA0RNeFS0BzfU40vV69fLYc+ozPZSl5ThSCJ0NnQ57g1ps98X1ct7Yi+kD0V4Gyk6oiBpdr5&#10;tSIDZO+4PwuC2B+kqnslK6o17BajE69c/qahlfnYNJoaxHMMtRn3V+6/tX9/tSTZTpG+ZdVDGeQv&#10;qugIE3DpKVVBDEF7xV6k6lilpJaNuahk58umYRV1GABNGDxDc9eSnjos0Bzdn9qk/1/a6sPhViFW&#10;5zjCSJAOKPoETSNixymKbHuGXmcQddffKgtQ9zey+qrB4Z957EJDDNoO72UNacjeSNeSY6M6exLA&#10;oqPr/P2p8/RoUAWbcRjPkzkQVIFvvgjngaPGJ9l0ulfavKWyQ9bIsYIiXXZyuNHGVkOyKcReJmTJ&#10;OHfscnG2AYHjDtwNR63PVuHI+pEG6SbZJJEXzeKNFwVF4V2V68iLy3AxL94U63UR/rT3hlHWsrqm&#10;wl4zCSeM/oyYBwmPlJ+koyVntU1nS9Jqt11zhQ4EhFu6z5IBxT8J88/LcG7A8gxSOIuC61nqlXGy&#10;8KIymnvpIki8IEyv0ziI0qgozyHdMEH/HRIaYB7MFkCkw/NbcIH7XoIjWccMzAbOuhwnpyCStZTU&#10;G1E7bg1hfLSf9MLW/9gLaNnEtFOsFemoanPcHp30w0nnW1nfg4SVBIWBGGGugdFK9R2jAWZEjvW3&#10;PVEUI/5OwCO0A2Uy1GRsJ4OICo7m2GA0mmszDp59r9iuhcyha42QV/BUGuZUbJ/RWAUgsAt49w7L&#10;w4yyg+Xp2kU9TtLVLwAAAP//AwBQSwMEFAAGAAgAAAAhAAmVgvXdAAAADgEAAA8AAABkcnMvZG93&#10;bnJldi54bWxMT0FOwzAQvCPxB2uRuFG70IYkxKkQCC49AIUHuLGxrcbrKHba8Hu2J7jNzI5mZ5rN&#10;HHp2NGPyESUsFwKYwS5qj1bC1+fLTQksZYVa9RGNhB+TYNNeXjSq1vGEH+a4y5ZRCKZaSXA5DzXn&#10;qXMmqLSIg0G6fccxqEx0tFyP6kThoee3QhQ8KI/0wanBPDnTHXZTkODf7WFaxe2zcujttlq9+dd7&#10;LuX11fz4ACybOf+Z4VyfqkNLnfZxQp1YT3xZ3pGVwLoQFbCzRZQVaXtCxZo03jb8/4z2FwAA//8D&#10;AFBLAQItABQABgAIAAAAIQC2gziS/gAAAOEBAAATAAAAAAAAAAAAAAAAAAAAAABbQ29udGVudF9U&#10;eXBlc10ueG1sUEsBAi0AFAAGAAgAAAAhADj9If/WAAAAlAEAAAsAAAAAAAAAAAAAAAAALwEAAF9y&#10;ZWxzLy5yZWxzUEsBAi0AFAAGAAgAAAAhAObj+GqgAgAAkQUAAA4AAAAAAAAAAAAAAAAALgIAAGRy&#10;cy9lMm9Eb2MueG1sUEsBAi0AFAAGAAgAAAAhAAmVgvXdAAAADgEAAA8AAAAAAAAAAAAAAAAA+gQA&#10;AGRycy9kb3ducmV2LnhtbFBLBQYAAAAABAAEAPMAAAAEBgAAAAA=&#10;" filled="f" stroked="f" strokeweight="1pt">
              <v:path arrowok="t"/>
              <v:textbox inset="0,0,0,0">
                <w:txbxContent>
                  <w:p w:rsidR="00192A39" w:rsidRDefault="00192A39" w:rsidP="005F6416">
                    <w:pPr>
                      <w:pStyle w:val="FreeFormAA"/>
                      <w:spacing w:line="288" w:lineRule="auto"/>
                      <w:rPr>
                        <w:rFonts w:ascii="Arial Bold" w:hAnsi="Arial Bold"/>
                        <w:spacing w:val="-1"/>
                        <w:sz w:val="16"/>
                      </w:rPr>
                    </w:pPr>
                    <w:r>
                      <w:rPr>
                        <w:rFonts w:ascii="Arial" w:hAnsi="Arial"/>
                        <w:spacing w:val="-1"/>
                        <w:sz w:val="16"/>
                      </w:rPr>
                      <w:br/>
                      <w:t>Повереник за заштиту равноправности</w:t>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r>
                    <w:r>
                      <w:rPr>
                        <w:rFonts w:ascii="Arial" w:hAnsi="Arial"/>
                        <w:spacing w:val="-1"/>
                        <w:sz w:val="16"/>
                        <w:lang w:val="sr-Cyrl-RS"/>
                      </w:rPr>
                      <w:t xml:space="preserve"> </w:t>
                    </w:r>
                    <w:r>
                      <w:rPr>
                        <w:rFonts w:ascii="Arial" w:hAnsi="Arial"/>
                        <w:spacing w:val="-1"/>
                        <w:sz w:val="16"/>
                      </w:rPr>
                      <w:t xml:space="preserve">               </w:t>
                    </w:r>
                    <w:hyperlink r:id="rId3" w:history="1">
                      <w:r>
                        <w:rPr>
                          <w:rFonts w:ascii="Arial" w:hAnsi="Arial"/>
                          <w:spacing w:val="-1"/>
                          <w:sz w:val="16"/>
                        </w:rPr>
                        <w:t>www.ravnopravnost.gov.rs</w:t>
                      </w:r>
                    </w:hyperlink>
                  </w:p>
                  <w:p w:rsidR="00192A39" w:rsidRPr="006560D2" w:rsidRDefault="00192A39" w:rsidP="005F6416">
                    <w:pPr>
                      <w:pStyle w:val="FreeFormAA"/>
                      <w:spacing w:line="288" w:lineRule="auto"/>
                      <w:rPr>
                        <w:rFonts w:ascii="Times New Roman" w:eastAsia="Times New Roman" w:hAnsi="Times New Roman"/>
                        <w:color w:val="auto"/>
                        <w:sz w:val="20"/>
                        <w:lang w:val="sr-Cyrl-R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Београд, Република Србија           </w:t>
                    </w:r>
                    <w:r>
                      <w:rPr>
                        <w:rFonts w:ascii="Arial" w:hAnsi="Arial"/>
                        <w:spacing w:val="-1"/>
                        <w:sz w:val="16"/>
                        <w:lang w:val="sr-Cyrl-RS"/>
                      </w:rPr>
                      <w:t xml:space="preserve">                              </w:t>
                    </w:r>
                    <w:hyperlink r:id="rId4" w:history="1">
                      <w:r>
                        <w:rPr>
                          <w:rFonts w:ascii="Arial" w:hAnsi="Arial"/>
                          <w:spacing w:val="-1"/>
                          <w:sz w:val="16"/>
                        </w:rPr>
                        <w:t>poverenik@ravnopravnost.gov.rs</w:t>
                      </w:r>
                    </w:hyperlink>
                    <w:r>
                      <w:rPr>
                        <w:lang w:val="sr-Cyrl-RS"/>
                      </w:rPr>
                      <w:t xml:space="preserve">     </w:t>
                    </w:r>
                  </w:p>
                </w:txbxContent>
              </v:textbox>
              <w10:wrap type="square" anchorx="page" anchory="page"/>
            </v:rect>
          </w:pict>
        </mc:Fallback>
      </mc:AlternateContent>
    </w:r>
    <w:r>
      <w:rPr>
        <w:noProof/>
        <w:lang w:val="en-US"/>
      </w:rPr>
      <w:drawing>
        <wp:anchor distT="0" distB="0" distL="114300" distR="114300" simplePos="0" relativeHeight="251659264" behindDoc="0" locked="0" layoutInCell="1" allowOverlap="1" wp14:anchorId="4EAC28F4" wp14:editId="3DABE8AA">
          <wp:simplePos x="0" y="0"/>
          <wp:positionH relativeFrom="page">
            <wp:posOffset>530860</wp:posOffset>
          </wp:positionH>
          <wp:positionV relativeFrom="page">
            <wp:posOffset>9486900</wp:posOffset>
          </wp:positionV>
          <wp:extent cx="6642100" cy="523875"/>
          <wp:effectExtent l="0" t="0" r="635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B09" w:rsidRDefault="002E5B09" w:rsidP="005D33F4">
      <w:pPr>
        <w:spacing w:after="0" w:line="240" w:lineRule="auto"/>
      </w:pPr>
      <w:r>
        <w:separator/>
      </w:r>
    </w:p>
  </w:footnote>
  <w:footnote w:type="continuationSeparator" w:id="0">
    <w:p w:rsidR="002E5B09" w:rsidRDefault="002E5B09" w:rsidP="005D33F4">
      <w:pPr>
        <w:spacing w:after="0" w:line="240" w:lineRule="auto"/>
      </w:pPr>
      <w:r>
        <w:continuationSeparator/>
      </w:r>
    </w:p>
  </w:footnote>
  <w:footnote w:id="1">
    <w:p w:rsidR="00192A39" w:rsidRPr="00BE72F1" w:rsidRDefault="00192A39" w:rsidP="00265A6F">
      <w:pPr>
        <w:pStyle w:val="FootnoteText"/>
        <w:jc w:val="both"/>
        <w:rPr>
          <w:rFonts w:ascii="Arial" w:hAnsi="Arial" w:cs="Arial"/>
          <w:sz w:val="16"/>
          <w:szCs w:val="16"/>
          <w:lang w:val="sr-Cyrl-CS"/>
        </w:rPr>
      </w:pPr>
      <w:r w:rsidRPr="00BE72F1">
        <w:rPr>
          <w:rStyle w:val="FootnoteReference"/>
          <w:rFonts w:ascii="Arial" w:hAnsi="Arial" w:cs="Arial"/>
          <w:sz w:val="16"/>
          <w:szCs w:val="16"/>
          <w:lang w:val="sr-Cyrl-CS"/>
        </w:rPr>
        <w:footnoteRef/>
      </w:r>
      <w:r w:rsidRPr="00BE72F1">
        <w:rPr>
          <w:rFonts w:ascii="Arial" w:hAnsi="Arial" w:cs="Arial"/>
          <w:sz w:val="16"/>
          <w:szCs w:val="16"/>
          <w:lang w:val="sr-Cyrl-CS"/>
        </w:rPr>
        <w:t xml:space="preserve"> Закон о забрани дискриминације („Службени гласник РС”, број 22/09 и 52/21), члан 33. став 1. тaч. 9.</w:t>
      </w:r>
    </w:p>
  </w:footnote>
  <w:footnote w:id="2">
    <w:p w:rsidR="00192A39" w:rsidRPr="00DF790D" w:rsidRDefault="00192A39" w:rsidP="00192A39">
      <w:pPr>
        <w:rPr>
          <w:rFonts w:ascii="Arial" w:eastAsiaTheme="minorHAnsi" w:hAnsi="Arial" w:cs="Arial"/>
          <w:color w:val="211D1E"/>
          <w:sz w:val="16"/>
          <w:szCs w:val="16"/>
          <w:shd w:val="clear" w:color="auto" w:fill="FFFFFF"/>
          <w:lang w:val="sr-Cyrl-RS"/>
        </w:rPr>
      </w:pPr>
      <w:r w:rsidRPr="00DF790D">
        <w:rPr>
          <w:rStyle w:val="FootnoteReference"/>
          <w:rFonts w:ascii="Arial" w:hAnsi="Arial" w:cs="Arial"/>
          <w:sz w:val="16"/>
          <w:szCs w:val="16"/>
        </w:rPr>
        <w:footnoteRef/>
      </w:r>
      <w:r w:rsidRPr="00DF790D">
        <w:rPr>
          <w:rFonts w:ascii="Arial" w:hAnsi="Arial" w:cs="Arial"/>
          <w:i/>
          <w:color w:val="211D1E"/>
          <w:sz w:val="16"/>
          <w:szCs w:val="16"/>
          <w:shd w:val="clear" w:color="auto" w:fill="FFFFFF"/>
          <w:lang w:val="sr-Cyrl-RS"/>
        </w:rPr>
        <w:t>Резултати истраживања о доступности бањских услуга особама са инвалидитетом у Републици Србији</w:t>
      </w:r>
      <w:r w:rsidRPr="00DF790D">
        <w:rPr>
          <w:rFonts w:ascii="Arial" w:hAnsi="Arial" w:cs="Arial"/>
          <w:color w:val="211D1E"/>
          <w:sz w:val="16"/>
          <w:szCs w:val="16"/>
          <w:shd w:val="clear" w:color="auto" w:fill="FFFFFF"/>
          <w:lang w:val="sr-Cyrl-RS"/>
        </w:rPr>
        <w:t xml:space="preserve">, Црвени крст Србије и Савез за приступачност Србије, 2023, доступно на интернет страници: </w:t>
      </w:r>
      <w:hyperlink r:id="rId1" w:history="1">
        <w:r w:rsidRPr="00DF790D">
          <w:rPr>
            <w:rStyle w:val="Hyperlink"/>
            <w:rFonts w:ascii="Arial" w:hAnsi="Arial" w:cs="Arial"/>
            <w:sz w:val="16"/>
            <w:szCs w:val="16"/>
            <w:shd w:val="clear" w:color="auto" w:fill="FFFFFF"/>
            <w:lang w:val="sr-Cyrl-RS"/>
          </w:rPr>
          <w:t>https://saps.rs/preuzimanja/Dostupnost%20banjskih%20usluga%20osobama%20sa%20invaliditetom%20u%20Republici%20Srbiji_2023.pdf</w:t>
        </w:r>
      </w:hyperlink>
    </w:p>
  </w:footnote>
  <w:footnote w:id="3">
    <w:p w:rsidR="00454EE4" w:rsidRPr="002E49CF" w:rsidRDefault="0042639C" w:rsidP="0042639C">
      <w:pPr>
        <w:pStyle w:val="FootnoteText"/>
        <w:rPr>
          <w:rFonts w:ascii="Arial" w:hAnsi="Arial" w:cs="Arial"/>
          <w:sz w:val="16"/>
          <w:szCs w:val="16"/>
          <w:lang w:val="sr-Cyrl-CS"/>
        </w:rPr>
      </w:pPr>
      <w:r w:rsidRPr="002E49CF">
        <w:rPr>
          <w:rStyle w:val="FootnoteReference"/>
          <w:rFonts w:ascii="Arial" w:hAnsi="Arial" w:cs="Arial"/>
          <w:sz w:val="16"/>
          <w:szCs w:val="16"/>
        </w:rPr>
        <w:footnoteRef/>
      </w:r>
      <w:r w:rsidRPr="002E49CF">
        <w:rPr>
          <w:rFonts w:ascii="Arial" w:hAnsi="Arial" w:cs="Arial"/>
          <w:sz w:val="16"/>
          <w:szCs w:val="16"/>
        </w:rPr>
        <w:t xml:space="preserve"> </w:t>
      </w:r>
      <w:r>
        <w:rPr>
          <w:rFonts w:ascii="Arial" w:hAnsi="Arial" w:cs="Arial"/>
          <w:sz w:val="16"/>
          <w:szCs w:val="16"/>
          <w:lang w:val="sr-Cyrl-RS"/>
        </w:rPr>
        <w:t>„Службени</w:t>
      </w:r>
      <w:r w:rsidRPr="002E49CF">
        <w:rPr>
          <w:rFonts w:ascii="Arial" w:hAnsi="Arial" w:cs="Arial"/>
          <w:sz w:val="16"/>
          <w:szCs w:val="16"/>
        </w:rPr>
        <w:t xml:space="preserve"> гласник РС</w:t>
      </w:r>
      <w:r>
        <w:rPr>
          <w:rFonts w:ascii="Arial" w:hAnsi="Arial" w:cs="Arial"/>
          <w:sz w:val="16"/>
          <w:szCs w:val="16"/>
          <w:lang w:val="sr-Cyrl-RS"/>
        </w:rPr>
        <w:t>“</w:t>
      </w:r>
      <w:r w:rsidRPr="002E49CF">
        <w:rPr>
          <w:rFonts w:ascii="Arial" w:hAnsi="Arial" w:cs="Arial"/>
          <w:sz w:val="16"/>
          <w:szCs w:val="16"/>
        </w:rPr>
        <w:t xml:space="preserve">, бр. 25/2019 </w:t>
      </w:r>
      <w:r>
        <w:rPr>
          <w:rFonts w:ascii="Arial" w:hAnsi="Arial" w:cs="Arial"/>
          <w:sz w:val="16"/>
          <w:szCs w:val="16"/>
        </w:rPr>
        <w:t>и 92/2023 - аутентично тумачење</w:t>
      </w:r>
    </w:p>
  </w:footnote>
  <w:footnote w:id="4">
    <w:p w:rsidR="00E65717" w:rsidRPr="002E49CF" w:rsidRDefault="00E65717" w:rsidP="00E65717">
      <w:pPr>
        <w:pStyle w:val="FootnoteText"/>
        <w:rPr>
          <w:rFonts w:ascii="Arial" w:hAnsi="Arial" w:cs="Arial"/>
          <w:sz w:val="16"/>
          <w:szCs w:val="16"/>
          <w:lang w:val="sr-Cyrl-CS"/>
        </w:rPr>
      </w:pPr>
      <w:r w:rsidRPr="002E49CF">
        <w:rPr>
          <w:rStyle w:val="FootnoteReference"/>
          <w:rFonts w:ascii="Arial" w:hAnsi="Arial" w:cs="Arial"/>
          <w:sz w:val="16"/>
          <w:szCs w:val="16"/>
        </w:rPr>
        <w:footnoteRef/>
      </w:r>
      <w:r w:rsidRPr="002E49CF">
        <w:rPr>
          <w:rFonts w:ascii="Arial" w:hAnsi="Arial" w:cs="Arial"/>
          <w:sz w:val="16"/>
          <w:szCs w:val="16"/>
        </w:rPr>
        <w:t xml:space="preserve"> </w:t>
      </w:r>
      <w:r>
        <w:rPr>
          <w:rFonts w:ascii="Arial" w:hAnsi="Arial" w:cs="Arial"/>
          <w:sz w:val="16"/>
          <w:szCs w:val="16"/>
          <w:lang w:val="sr-Cyrl-RS"/>
        </w:rPr>
        <w:t>„Службени</w:t>
      </w:r>
      <w:r w:rsidRPr="002E49CF">
        <w:rPr>
          <w:rFonts w:ascii="Arial" w:hAnsi="Arial" w:cs="Arial"/>
          <w:sz w:val="16"/>
          <w:szCs w:val="16"/>
        </w:rPr>
        <w:t xml:space="preserve"> гласник РС</w:t>
      </w:r>
      <w:r>
        <w:rPr>
          <w:rFonts w:ascii="Arial" w:hAnsi="Arial" w:cs="Arial"/>
          <w:sz w:val="16"/>
          <w:szCs w:val="16"/>
          <w:lang w:val="sr-Cyrl-RS"/>
        </w:rPr>
        <w:t>“</w:t>
      </w:r>
      <w:r w:rsidRPr="002E49CF">
        <w:rPr>
          <w:rFonts w:ascii="Arial" w:hAnsi="Arial" w:cs="Arial"/>
          <w:sz w:val="16"/>
          <w:szCs w:val="16"/>
        </w:rPr>
        <w:t xml:space="preserve">, бр. </w:t>
      </w:r>
      <w:r w:rsidRPr="00E65717">
        <w:rPr>
          <w:rFonts w:ascii="Arial" w:hAnsi="Arial" w:cs="Arial"/>
          <w:sz w:val="16"/>
          <w:szCs w:val="16"/>
        </w:rPr>
        <w:t xml:space="preserve">5/2020, 11/2020, 52/2020, 88/2020, 62/2021, 69/2021, 74/2021 </w:t>
      </w:r>
      <w:r w:rsidR="004620A2">
        <w:rPr>
          <w:rFonts w:ascii="Arial" w:hAnsi="Arial" w:cs="Arial"/>
          <w:sz w:val="16"/>
          <w:szCs w:val="16"/>
          <w:lang w:val="sr-Cyrl-RS"/>
        </w:rPr>
        <w:t>и</w:t>
      </w:r>
      <w:r w:rsidRPr="00E65717">
        <w:rPr>
          <w:rFonts w:ascii="Arial" w:hAnsi="Arial" w:cs="Arial"/>
          <w:sz w:val="16"/>
          <w:szCs w:val="16"/>
        </w:rPr>
        <w:t xml:space="preserve"> 95/2021</w:t>
      </w:r>
    </w:p>
  </w:footnote>
  <w:footnote w:id="5">
    <w:p w:rsidR="003D533A" w:rsidRPr="003D533A" w:rsidRDefault="003D533A">
      <w:pPr>
        <w:pStyle w:val="FootnoteText"/>
        <w:rPr>
          <w:rFonts w:ascii="Arial" w:hAnsi="Arial" w:cs="Arial"/>
          <w:sz w:val="16"/>
          <w:szCs w:val="16"/>
          <w:lang w:val="sr-Cyrl-RS"/>
        </w:rPr>
      </w:pPr>
      <w:r w:rsidRPr="003D533A">
        <w:rPr>
          <w:rStyle w:val="FootnoteReference"/>
          <w:rFonts w:ascii="Arial" w:hAnsi="Arial" w:cs="Arial"/>
          <w:sz w:val="16"/>
          <w:szCs w:val="16"/>
        </w:rPr>
        <w:footnoteRef/>
      </w:r>
      <w:r w:rsidRPr="003D533A">
        <w:rPr>
          <w:rFonts w:ascii="Arial" w:hAnsi="Arial" w:cs="Arial"/>
          <w:sz w:val="16"/>
          <w:szCs w:val="16"/>
        </w:rPr>
        <w:t xml:space="preserve"> </w:t>
      </w:r>
      <w:r w:rsidRPr="003D533A">
        <w:rPr>
          <w:rFonts w:ascii="Arial" w:hAnsi="Arial" w:cs="Arial"/>
          <w:sz w:val="16"/>
          <w:szCs w:val="16"/>
          <w:lang w:val="sr-Cyrl-RS"/>
        </w:rPr>
        <w:t>„</w:t>
      </w:r>
      <w:r w:rsidRPr="003D533A">
        <w:rPr>
          <w:rFonts w:ascii="Arial" w:hAnsi="Arial" w:cs="Arial"/>
          <w:sz w:val="16"/>
          <w:szCs w:val="16"/>
          <w:lang w:val="en-US"/>
        </w:rPr>
        <w:t>Службени гласник РС”, бр. 72</w:t>
      </w:r>
      <w:r w:rsidRPr="003D533A">
        <w:rPr>
          <w:rFonts w:ascii="Arial" w:hAnsi="Arial" w:cs="Arial"/>
          <w:sz w:val="16"/>
          <w:szCs w:val="16"/>
          <w:lang w:val="sr-Cyrl-RS"/>
        </w:rPr>
        <w:t>/09</w:t>
      </w:r>
      <w:r w:rsidRPr="003D533A">
        <w:rPr>
          <w:rFonts w:ascii="Arial" w:hAnsi="Arial" w:cs="Arial"/>
          <w:sz w:val="16"/>
          <w:szCs w:val="16"/>
          <w:lang w:val="en-US"/>
        </w:rPr>
        <w:t>, 81</w:t>
      </w:r>
      <w:r w:rsidRPr="003D533A">
        <w:rPr>
          <w:rFonts w:ascii="Arial" w:hAnsi="Arial" w:cs="Arial"/>
          <w:sz w:val="16"/>
          <w:szCs w:val="16"/>
          <w:lang w:val="sr-Cyrl-RS"/>
        </w:rPr>
        <w:t>/09</w:t>
      </w:r>
      <w:r w:rsidRPr="003D533A">
        <w:rPr>
          <w:rFonts w:ascii="Arial" w:hAnsi="Arial" w:cs="Arial"/>
          <w:sz w:val="16"/>
          <w:szCs w:val="16"/>
          <w:lang w:val="en-US"/>
        </w:rPr>
        <w:t>, 64</w:t>
      </w:r>
      <w:r w:rsidRPr="003D533A">
        <w:rPr>
          <w:rFonts w:ascii="Arial" w:hAnsi="Arial" w:cs="Arial"/>
          <w:sz w:val="16"/>
          <w:szCs w:val="16"/>
          <w:lang w:val="sr-Cyrl-RS"/>
        </w:rPr>
        <w:t>/10- Одлука УС,</w:t>
      </w:r>
      <w:r w:rsidRPr="003D533A">
        <w:rPr>
          <w:rFonts w:ascii="Arial" w:hAnsi="Arial" w:cs="Arial"/>
          <w:sz w:val="16"/>
          <w:szCs w:val="16"/>
          <w:lang w:val="en-US"/>
        </w:rPr>
        <w:t xml:space="preserve"> 24</w:t>
      </w:r>
      <w:r w:rsidRPr="003D533A">
        <w:rPr>
          <w:rFonts w:ascii="Arial" w:hAnsi="Arial" w:cs="Arial"/>
          <w:sz w:val="16"/>
          <w:szCs w:val="16"/>
          <w:lang w:val="sr-Cyrl-RS"/>
        </w:rPr>
        <w:t>/11,</w:t>
      </w:r>
      <w:r w:rsidRPr="003D533A">
        <w:rPr>
          <w:rFonts w:ascii="Arial" w:hAnsi="Arial" w:cs="Arial"/>
          <w:sz w:val="16"/>
          <w:szCs w:val="16"/>
          <w:lang w:val="en-US"/>
        </w:rPr>
        <w:t xml:space="preserve"> 121</w:t>
      </w:r>
      <w:r w:rsidRPr="003D533A">
        <w:rPr>
          <w:rFonts w:ascii="Arial" w:hAnsi="Arial" w:cs="Arial"/>
          <w:sz w:val="16"/>
          <w:szCs w:val="16"/>
          <w:lang w:val="sr-Cyrl-RS"/>
        </w:rPr>
        <w:t>/12</w:t>
      </w:r>
      <w:r w:rsidRPr="003D533A">
        <w:rPr>
          <w:rFonts w:ascii="Arial" w:hAnsi="Arial" w:cs="Arial"/>
          <w:sz w:val="16"/>
          <w:szCs w:val="16"/>
          <w:lang w:val="en-US"/>
        </w:rPr>
        <w:t>, 42</w:t>
      </w:r>
      <w:r w:rsidRPr="003D533A">
        <w:rPr>
          <w:rFonts w:ascii="Arial" w:hAnsi="Arial" w:cs="Arial"/>
          <w:sz w:val="16"/>
          <w:szCs w:val="16"/>
          <w:lang w:val="sr-Cyrl-RS"/>
        </w:rPr>
        <w:t>/13 – Одлука УС</w:t>
      </w:r>
      <w:r w:rsidRPr="003D533A">
        <w:rPr>
          <w:rFonts w:ascii="Arial" w:hAnsi="Arial" w:cs="Arial"/>
          <w:sz w:val="16"/>
          <w:szCs w:val="16"/>
          <w:lang w:val="en-US"/>
        </w:rPr>
        <w:t>, 50</w:t>
      </w:r>
      <w:r w:rsidRPr="003D533A">
        <w:rPr>
          <w:rFonts w:ascii="Arial" w:hAnsi="Arial" w:cs="Arial"/>
          <w:sz w:val="16"/>
          <w:szCs w:val="16"/>
          <w:lang w:val="sr-Cyrl-RS"/>
        </w:rPr>
        <w:t xml:space="preserve">/13 </w:t>
      </w:r>
      <w:r w:rsidRPr="003D533A">
        <w:rPr>
          <w:rFonts w:ascii="Arial" w:hAnsi="Arial" w:cs="Arial"/>
          <w:sz w:val="16"/>
          <w:szCs w:val="16"/>
          <w:lang w:val="en-US"/>
        </w:rPr>
        <w:t>– </w:t>
      </w:r>
      <w:r w:rsidRPr="003D533A">
        <w:rPr>
          <w:rFonts w:ascii="Arial" w:hAnsi="Arial" w:cs="Arial"/>
          <w:sz w:val="16"/>
          <w:szCs w:val="16"/>
          <w:lang w:val="sr-Cyrl-RS"/>
        </w:rPr>
        <w:t>Одлика УС</w:t>
      </w:r>
      <w:r w:rsidRPr="003D533A">
        <w:rPr>
          <w:rFonts w:ascii="Arial" w:hAnsi="Arial" w:cs="Arial"/>
          <w:sz w:val="16"/>
          <w:szCs w:val="16"/>
          <w:lang w:val="en-US"/>
        </w:rPr>
        <w:t>, 98</w:t>
      </w:r>
      <w:r w:rsidRPr="003D533A">
        <w:rPr>
          <w:rFonts w:ascii="Arial" w:hAnsi="Arial" w:cs="Arial"/>
          <w:sz w:val="16"/>
          <w:szCs w:val="16"/>
          <w:lang w:val="sr-Cyrl-RS"/>
        </w:rPr>
        <w:t>/13 – Одлука УС,</w:t>
      </w:r>
      <w:r w:rsidRPr="003D533A">
        <w:rPr>
          <w:rFonts w:ascii="Arial" w:hAnsi="Arial" w:cs="Arial"/>
          <w:sz w:val="16"/>
          <w:szCs w:val="16"/>
          <w:lang w:val="en-US"/>
        </w:rPr>
        <w:t xml:space="preserve"> 132</w:t>
      </w:r>
      <w:r w:rsidRPr="003D533A">
        <w:rPr>
          <w:rFonts w:ascii="Arial" w:hAnsi="Arial" w:cs="Arial"/>
          <w:sz w:val="16"/>
          <w:szCs w:val="16"/>
          <w:lang w:val="sr-Cyrl-RS"/>
        </w:rPr>
        <w:t>/14,</w:t>
      </w:r>
      <w:r w:rsidRPr="003D533A">
        <w:rPr>
          <w:rFonts w:ascii="Arial" w:hAnsi="Arial" w:cs="Arial"/>
          <w:sz w:val="16"/>
          <w:szCs w:val="16"/>
          <w:lang w:val="en-US"/>
        </w:rPr>
        <w:t xml:space="preserve"> 145</w:t>
      </w:r>
      <w:r w:rsidRPr="003D533A">
        <w:rPr>
          <w:rFonts w:ascii="Arial" w:hAnsi="Arial" w:cs="Arial"/>
          <w:sz w:val="16"/>
          <w:szCs w:val="16"/>
          <w:lang w:val="sr-Cyrl-RS"/>
        </w:rPr>
        <w:t>/14</w:t>
      </w:r>
      <w:r w:rsidRPr="003D533A">
        <w:rPr>
          <w:rFonts w:ascii="Arial" w:hAnsi="Arial" w:cs="Arial"/>
          <w:sz w:val="16"/>
          <w:szCs w:val="16"/>
          <w:lang w:val="en-US"/>
        </w:rPr>
        <w:t>, 83</w:t>
      </w:r>
      <w:r w:rsidRPr="003D533A">
        <w:rPr>
          <w:rFonts w:ascii="Arial" w:hAnsi="Arial" w:cs="Arial"/>
          <w:sz w:val="16"/>
          <w:szCs w:val="16"/>
          <w:lang w:val="sr-Cyrl-RS"/>
        </w:rPr>
        <w:t>/18</w:t>
      </w:r>
      <w:r w:rsidRPr="003D533A">
        <w:rPr>
          <w:rFonts w:ascii="Arial" w:hAnsi="Arial" w:cs="Arial"/>
          <w:sz w:val="16"/>
          <w:szCs w:val="16"/>
          <w:lang w:val="en-US"/>
        </w:rPr>
        <w:t>, 31</w:t>
      </w:r>
      <w:r w:rsidRPr="003D533A">
        <w:rPr>
          <w:rFonts w:ascii="Arial" w:hAnsi="Arial" w:cs="Arial"/>
          <w:sz w:val="16"/>
          <w:szCs w:val="16"/>
          <w:lang w:val="sr-Cyrl-RS"/>
        </w:rPr>
        <w:t xml:space="preserve">/19, </w:t>
      </w:r>
      <w:r w:rsidRPr="003D533A">
        <w:rPr>
          <w:rFonts w:ascii="Arial" w:hAnsi="Arial" w:cs="Arial"/>
          <w:sz w:val="16"/>
          <w:szCs w:val="16"/>
          <w:lang w:val="en-US"/>
        </w:rPr>
        <w:t>37</w:t>
      </w:r>
      <w:r w:rsidRPr="003D533A">
        <w:rPr>
          <w:rFonts w:ascii="Arial" w:hAnsi="Arial" w:cs="Arial"/>
          <w:sz w:val="16"/>
          <w:szCs w:val="16"/>
          <w:lang w:val="sr-Cyrl-RS"/>
        </w:rPr>
        <w:t>/19</w:t>
      </w:r>
      <w:r w:rsidRPr="003D533A">
        <w:rPr>
          <w:rFonts w:ascii="Arial" w:hAnsi="Arial" w:cs="Arial"/>
          <w:sz w:val="16"/>
          <w:szCs w:val="16"/>
          <w:lang w:val="en-US"/>
        </w:rPr>
        <w:t xml:space="preserve"> - др. закон, 9</w:t>
      </w:r>
      <w:r w:rsidRPr="003D533A">
        <w:rPr>
          <w:rFonts w:ascii="Arial" w:hAnsi="Arial" w:cs="Arial"/>
          <w:sz w:val="16"/>
          <w:szCs w:val="16"/>
          <w:lang w:val="sr-Cyrl-RS"/>
        </w:rPr>
        <w:t>/20,</w:t>
      </w:r>
      <w:r w:rsidRPr="003D533A">
        <w:rPr>
          <w:rFonts w:ascii="Arial" w:hAnsi="Arial" w:cs="Arial"/>
          <w:sz w:val="16"/>
          <w:szCs w:val="16"/>
          <w:lang w:val="en-US"/>
        </w:rPr>
        <w:t xml:space="preserve"> 52</w:t>
      </w:r>
      <w:r w:rsidRPr="003D533A">
        <w:rPr>
          <w:rFonts w:ascii="Arial" w:hAnsi="Arial" w:cs="Arial"/>
          <w:sz w:val="16"/>
          <w:szCs w:val="16"/>
          <w:lang w:val="sr-Cyrl-RS"/>
        </w:rPr>
        <w:t>/</w:t>
      </w:r>
      <w:r w:rsidRPr="003D533A">
        <w:rPr>
          <w:rFonts w:ascii="Arial" w:hAnsi="Arial" w:cs="Arial"/>
          <w:sz w:val="16"/>
          <w:szCs w:val="16"/>
          <w:lang w:val="en-US"/>
        </w:rPr>
        <w:t>21</w:t>
      </w:r>
      <w:r w:rsidRPr="003D533A">
        <w:rPr>
          <w:rFonts w:ascii="Arial" w:hAnsi="Arial" w:cs="Arial"/>
          <w:sz w:val="16"/>
          <w:szCs w:val="16"/>
          <w:lang w:val="sr-Cyrl-RS"/>
        </w:rPr>
        <w:t xml:space="preserve"> и</w:t>
      </w:r>
      <w:r w:rsidRPr="003D533A">
        <w:rPr>
          <w:rFonts w:ascii="Arial" w:hAnsi="Arial" w:cs="Arial"/>
          <w:sz w:val="16"/>
          <w:szCs w:val="16"/>
          <w:lang w:val="en-US"/>
        </w:rPr>
        <w:t xml:space="preserve"> 62</w:t>
      </w:r>
      <w:r w:rsidRPr="003D533A">
        <w:rPr>
          <w:rFonts w:ascii="Arial" w:hAnsi="Arial" w:cs="Arial"/>
          <w:sz w:val="16"/>
          <w:szCs w:val="16"/>
          <w:lang w:val="sr-Cyrl-RS"/>
        </w:rPr>
        <w:t>/23</w:t>
      </w:r>
    </w:p>
  </w:footnote>
  <w:footnote w:id="6">
    <w:p w:rsidR="00FA6F09" w:rsidRPr="00FA6F09" w:rsidRDefault="00FA6F09">
      <w:pPr>
        <w:pStyle w:val="FootnoteText"/>
        <w:rPr>
          <w:rFonts w:ascii="Arial" w:hAnsi="Arial" w:cs="Arial"/>
          <w:sz w:val="16"/>
          <w:szCs w:val="16"/>
          <w:lang w:val="sr-Cyrl-RS"/>
        </w:rPr>
      </w:pPr>
      <w:r w:rsidRPr="00FA6F09">
        <w:rPr>
          <w:rStyle w:val="FootnoteReference"/>
          <w:rFonts w:ascii="Arial" w:hAnsi="Arial" w:cs="Arial"/>
          <w:sz w:val="16"/>
          <w:szCs w:val="16"/>
        </w:rPr>
        <w:footnoteRef/>
      </w:r>
      <w:r w:rsidRPr="00FA6F09">
        <w:rPr>
          <w:rFonts w:ascii="Arial" w:hAnsi="Arial" w:cs="Arial"/>
          <w:sz w:val="16"/>
          <w:szCs w:val="16"/>
        </w:rPr>
        <w:t xml:space="preserve"> </w:t>
      </w:r>
      <w:r w:rsidRPr="00FA6F09">
        <w:rPr>
          <w:rFonts w:ascii="Arial" w:hAnsi="Arial" w:cs="Arial"/>
          <w:sz w:val="16"/>
          <w:szCs w:val="16"/>
          <w:lang w:val="sr-Cyrl-RS"/>
        </w:rPr>
        <w:t>„Службени гласник РС“, број  22/15</w:t>
      </w:r>
    </w:p>
  </w:footnote>
  <w:footnote w:id="7">
    <w:p w:rsidR="00192A39" w:rsidRPr="00FA6F09" w:rsidRDefault="00192A39" w:rsidP="00CF1E47">
      <w:pPr>
        <w:pStyle w:val="FootnoteText"/>
        <w:rPr>
          <w:rFonts w:ascii="Arial" w:hAnsi="Arial" w:cs="Arial"/>
          <w:sz w:val="16"/>
          <w:szCs w:val="16"/>
          <w:lang w:val="sr-Cyrl-RS"/>
        </w:rPr>
      </w:pPr>
      <w:r w:rsidRPr="00FA6F09">
        <w:rPr>
          <w:rStyle w:val="FootnoteReference"/>
          <w:rFonts w:ascii="Arial" w:hAnsi="Arial" w:cs="Arial"/>
          <w:sz w:val="16"/>
          <w:szCs w:val="16"/>
        </w:rPr>
        <w:footnoteRef/>
      </w:r>
      <w:r w:rsidRPr="00FA6F09">
        <w:rPr>
          <w:rFonts w:ascii="Arial" w:hAnsi="Arial" w:cs="Arial"/>
          <w:sz w:val="16"/>
          <w:szCs w:val="16"/>
          <w:lang w:val="sr-Cyrl-RS"/>
        </w:rPr>
        <w:t xml:space="preserve"> „Службени гласник РС“, број  44/20, </w:t>
      </w:r>
      <w:r w:rsidRPr="00FA6F09">
        <w:rPr>
          <w:rFonts w:ascii="Arial" w:hAnsi="Arial" w:cs="Arial"/>
          <w:sz w:val="16"/>
          <w:szCs w:val="16"/>
        </w:rPr>
        <w:t xml:space="preserve"> </w:t>
      </w:r>
      <w:hyperlink r:id="rId2" w:history="1">
        <w:r w:rsidRPr="00FA6F09">
          <w:rPr>
            <w:rStyle w:val="Hyperlink"/>
            <w:rFonts w:ascii="Arial" w:hAnsi="Arial" w:cs="Arial"/>
            <w:sz w:val="16"/>
            <w:szCs w:val="16"/>
          </w:rPr>
          <w:t>https://pravno-informacioni-sistem.rs/eli/rep/sgrs/vlada/strategija/2020/44/1</w:t>
        </w:r>
      </w:hyperlink>
    </w:p>
  </w:footnote>
  <w:footnote w:id="8">
    <w:p w:rsidR="00192A39" w:rsidRPr="00454EE4" w:rsidRDefault="00192A39" w:rsidP="00BD1419">
      <w:pPr>
        <w:pStyle w:val="FootnoteText"/>
        <w:rPr>
          <w:rFonts w:ascii="Arial" w:hAnsi="Arial" w:cs="Arial"/>
          <w:sz w:val="16"/>
          <w:szCs w:val="16"/>
        </w:rPr>
      </w:pPr>
      <w:r w:rsidRPr="00454EE4">
        <w:rPr>
          <w:rStyle w:val="FootnoteReference"/>
          <w:rFonts w:ascii="Arial" w:hAnsi="Arial" w:cs="Arial"/>
          <w:sz w:val="16"/>
          <w:szCs w:val="16"/>
        </w:rPr>
        <w:footnoteRef/>
      </w:r>
      <w:r w:rsidRPr="00454EE4">
        <w:rPr>
          <w:rFonts w:ascii="Arial" w:hAnsi="Arial" w:cs="Arial"/>
          <w:sz w:val="16"/>
          <w:szCs w:val="16"/>
        </w:rPr>
        <w:t xml:space="preserve"> </w:t>
      </w:r>
      <w:hyperlink r:id="rId3" w:history="1">
        <w:r w:rsidRPr="00454EE4">
          <w:rPr>
            <w:rStyle w:val="Hyperlink"/>
            <w:rFonts w:ascii="Arial" w:hAnsi="Arial" w:cs="Arial"/>
            <w:sz w:val="16"/>
            <w:szCs w:val="16"/>
          </w:rPr>
          <w:t>https://ravnopravnost.gov.rs/izvestaji/</w:t>
        </w:r>
      </w:hyperlink>
    </w:p>
    <w:p w:rsidR="00192A39" w:rsidRPr="00454EE4" w:rsidRDefault="00192A39" w:rsidP="00BD1419">
      <w:pPr>
        <w:pStyle w:val="FootnoteText"/>
        <w:rPr>
          <w:rFonts w:ascii="Arial" w:hAnsi="Arial" w:cs="Arial"/>
          <w:sz w:val="16"/>
          <w:szCs w:val="16"/>
          <w:lang w:val="sr-Cyrl-RS"/>
        </w:rPr>
      </w:pPr>
    </w:p>
  </w:footnote>
  <w:footnote w:id="9">
    <w:p w:rsidR="00192A39" w:rsidRDefault="00192A39">
      <w:pPr>
        <w:pStyle w:val="FootnoteText"/>
        <w:rPr>
          <w:rFonts w:ascii="Arial" w:hAnsi="Arial" w:cs="Arial"/>
          <w:sz w:val="16"/>
          <w:szCs w:val="16"/>
        </w:rPr>
      </w:pPr>
      <w:r w:rsidRPr="00BD1419">
        <w:rPr>
          <w:rStyle w:val="FootnoteReference"/>
          <w:rFonts w:ascii="Arial" w:hAnsi="Arial" w:cs="Arial"/>
          <w:sz w:val="16"/>
          <w:szCs w:val="16"/>
        </w:rPr>
        <w:footnoteRef/>
      </w:r>
      <w:r w:rsidRPr="00BD1419">
        <w:rPr>
          <w:rFonts w:ascii="Arial" w:hAnsi="Arial" w:cs="Arial"/>
          <w:sz w:val="16"/>
          <w:szCs w:val="16"/>
        </w:rPr>
        <w:t xml:space="preserve"> </w:t>
      </w:r>
      <w:hyperlink r:id="rId4" w:history="1">
        <w:r w:rsidR="00454EE4" w:rsidRPr="00101178">
          <w:rPr>
            <w:rStyle w:val="Hyperlink"/>
            <w:rFonts w:ascii="Arial" w:hAnsi="Arial" w:cs="Arial"/>
            <w:sz w:val="16"/>
            <w:szCs w:val="16"/>
          </w:rPr>
          <w:t>https://ravnopravnost.gov.rs/izvestaj-o-percepciji-gradjana-i-gradjanki-o-diskriminaciji-u-srbiji/</w:t>
        </w:r>
      </w:hyperlink>
    </w:p>
    <w:p w:rsidR="00454EE4" w:rsidRPr="00BD1419" w:rsidRDefault="00454EE4">
      <w:pPr>
        <w:pStyle w:val="FootnoteText"/>
        <w:rPr>
          <w:rFonts w:ascii="Arial" w:hAnsi="Arial" w:cs="Arial"/>
          <w:sz w:val="16"/>
          <w:szCs w:val="16"/>
          <w:lang w:val="sr-Cyrl-C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063CC"/>
    <w:multiLevelType w:val="multilevel"/>
    <w:tmpl w:val="9392C25E"/>
    <w:lvl w:ilvl="0">
      <w:start w:val="2"/>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b/>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14872181"/>
    <w:multiLevelType w:val="hybridMultilevel"/>
    <w:tmpl w:val="11BA75EC"/>
    <w:lvl w:ilvl="0" w:tplc="8F1EDC4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206B66EF"/>
    <w:multiLevelType w:val="hybridMultilevel"/>
    <w:tmpl w:val="017663D8"/>
    <w:lvl w:ilvl="0" w:tplc="358A3B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31F56"/>
    <w:multiLevelType w:val="multilevel"/>
    <w:tmpl w:val="72080890"/>
    <w:lvl w:ilvl="0">
      <w:start w:val="3"/>
      <w:numFmt w:val="decimal"/>
      <w:lvlText w:val="%1."/>
      <w:lvlJc w:val="left"/>
      <w:pPr>
        <w:ind w:left="360" w:hanging="360"/>
      </w:pPr>
      <w:rPr>
        <w:rFonts w:ascii="Arial" w:hAnsi="Arial" w:cs="Arial" w:hint="default"/>
        <w:b/>
        <w:color w:val="000000"/>
      </w:rPr>
    </w:lvl>
    <w:lvl w:ilvl="1">
      <w:start w:val="1"/>
      <w:numFmt w:val="decimal"/>
      <w:lvlText w:val="%1.%2."/>
      <w:lvlJc w:val="left"/>
      <w:pPr>
        <w:ind w:left="720" w:hanging="720"/>
      </w:pPr>
      <w:rPr>
        <w:rFonts w:ascii="Arial" w:hAnsi="Arial" w:cs="Arial" w:hint="default"/>
        <w:b/>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37171BC2"/>
    <w:multiLevelType w:val="hybridMultilevel"/>
    <w:tmpl w:val="8B1E6CEE"/>
    <w:lvl w:ilvl="0" w:tplc="5600CF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F6216A"/>
    <w:multiLevelType w:val="hybridMultilevel"/>
    <w:tmpl w:val="F8FEBDAC"/>
    <w:lvl w:ilvl="0" w:tplc="3266E0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F4"/>
    <w:rsid w:val="0000198B"/>
    <w:rsid w:val="000056A1"/>
    <w:rsid w:val="000061FF"/>
    <w:rsid w:val="0001103A"/>
    <w:rsid w:val="00013430"/>
    <w:rsid w:val="00021EA5"/>
    <w:rsid w:val="00022A4D"/>
    <w:rsid w:val="00025F62"/>
    <w:rsid w:val="000271D4"/>
    <w:rsid w:val="00030F61"/>
    <w:rsid w:val="00033074"/>
    <w:rsid w:val="00034D70"/>
    <w:rsid w:val="0003783B"/>
    <w:rsid w:val="00046438"/>
    <w:rsid w:val="0004652A"/>
    <w:rsid w:val="000511E0"/>
    <w:rsid w:val="00057364"/>
    <w:rsid w:val="00060BB1"/>
    <w:rsid w:val="00061938"/>
    <w:rsid w:val="00067728"/>
    <w:rsid w:val="0007017E"/>
    <w:rsid w:val="0007590D"/>
    <w:rsid w:val="00075F14"/>
    <w:rsid w:val="00081220"/>
    <w:rsid w:val="00085F81"/>
    <w:rsid w:val="000A115C"/>
    <w:rsid w:val="000A41DE"/>
    <w:rsid w:val="000A5527"/>
    <w:rsid w:val="000B1248"/>
    <w:rsid w:val="000C0438"/>
    <w:rsid w:val="000C06C9"/>
    <w:rsid w:val="000C5A80"/>
    <w:rsid w:val="000C6A72"/>
    <w:rsid w:val="000C6B35"/>
    <w:rsid w:val="000D1DF4"/>
    <w:rsid w:val="000D6ADE"/>
    <w:rsid w:val="000D73C9"/>
    <w:rsid w:val="000D757C"/>
    <w:rsid w:val="000E0C99"/>
    <w:rsid w:val="000E4787"/>
    <w:rsid w:val="000E7380"/>
    <w:rsid w:val="000F35B6"/>
    <w:rsid w:val="000F500B"/>
    <w:rsid w:val="001008FC"/>
    <w:rsid w:val="001153B9"/>
    <w:rsid w:val="00122A87"/>
    <w:rsid w:val="00126B76"/>
    <w:rsid w:val="001369F0"/>
    <w:rsid w:val="0014036D"/>
    <w:rsid w:val="00142D6B"/>
    <w:rsid w:val="001464E0"/>
    <w:rsid w:val="00152664"/>
    <w:rsid w:val="00165A57"/>
    <w:rsid w:val="00170021"/>
    <w:rsid w:val="00170ADD"/>
    <w:rsid w:val="00172634"/>
    <w:rsid w:val="0017451B"/>
    <w:rsid w:val="0017633E"/>
    <w:rsid w:val="001845E8"/>
    <w:rsid w:val="00187950"/>
    <w:rsid w:val="0019263A"/>
    <w:rsid w:val="00192A39"/>
    <w:rsid w:val="001A16FA"/>
    <w:rsid w:val="001A500E"/>
    <w:rsid w:val="001A7706"/>
    <w:rsid w:val="001C420D"/>
    <w:rsid w:val="001D5029"/>
    <w:rsid w:val="001D7E94"/>
    <w:rsid w:val="001E34C1"/>
    <w:rsid w:val="001F49A2"/>
    <w:rsid w:val="00201BCF"/>
    <w:rsid w:val="002036CD"/>
    <w:rsid w:val="00203B6F"/>
    <w:rsid w:val="002054A9"/>
    <w:rsid w:val="00214D1C"/>
    <w:rsid w:val="00216B9B"/>
    <w:rsid w:val="00220C9E"/>
    <w:rsid w:val="00235EE3"/>
    <w:rsid w:val="002368C5"/>
    <w:rsid w:val="0023786B"/>
    <w:rsid w:val="00245C40"/>
    <w:rsid w:val="002534B3"/>
    <w:rsid w:val="0026320E"/>
    <w:rsid w:val="00265A6F"/>
    <w:rsid w:val="002716C7"/>
    <w:rsid w:val="002766A7"/>
    <w:rsid w:val="002844F1"/>
    <w:rsid w:val="002904CA"/>
    <w:rsid w:val="00291284"/>
    <w:rsid w:val="002943D7"/>
    <w:rsid w:val="00296A2E"/>
    <w:rsid w:val="00297A59"/>
    <w:rsid w:val="002A2E06"/>
    <w:rsid w:val="002A6D54"/>
    <w:rsid w:val="002B58E2"/>
    <w:rsid w:val="002B6F2B"/>
    <w:rsid w:val="002C7341"/>
    <w:rsid w:val="002D040D"/>
    <w:rsid w:val="002D082F"/>
    <w:rsid w:val="002E44B9"/>
    <w:rsid w:val="002E49CF"/>
    <w:rsid w:val="002E5B09"/>
    <w:rsid w:val="002F712A"/>
    <w:rsid w:val="002F7743"/>
    <w:rsid w:val="002F7D86"/>
    <w:rsid w:val="00303E1B"/>
    <w:rsid w:val="00326766"/>
    <w:rsid w:val="00336D9E"/>
    <w:rsid w:val="0033768E"/>
    <w:rsid w:val="003515C4"/>
    <w:rsid w:val="00351DF3"/>
    <w:rsid w:val="00356A34"/>
    <w:rsid w:val="0035782B"/>
    <w:rsid w:val="00364867"/>
    <w:rsid w:val="00364B31"/>
    <w:rsid w:val="00367BDC"/>
    <w:rsid w:val="00371F28"/>
    <w:rsid w:val="0037659C"/>
    <w:rsid w:val="00377E28"/>
    <w:rsid w:val="00381CCE"/>
    <w:rsid w:val="00387942"/>
    <w:rsid w:val="003901E9"/>
    <w:rsid w:val="003A06FA"/>
    <w:rsid w:val="003A4D5D"/>
    <w:rsid w:val="003B2C7D"/>
    <w:rsid w:val="003B627B"/>
    <w:rsid w:val="003B7454"/>
    <w:rsid w:val="003C0F45"/>
    <w:rsid w:val="003D197D"/>
    <w:rsid w:val="003D36AE"/>
    <w:rsid w:val="003D533A"/>
    <w:rsid w:val="003E09CE"/>
    <w:rsid w:val="003F0853"/>
    <w:rsid w:val="003F240B"/>
    <w:rsid w:val="00402B7C"/>
    <w:rsid w:val="0040308D"/>
    <w:rsid w:val="004121F7"/>
    <w:rsid w:val="004126FC"/>
    <w:rsid w:val="0041503C"/>
    <w:rsid w:val="00415C36"/>
    <w:rsid w:val="0042204E"/>
    <w:rsid w:val="0042282D"/>
    <w:rsid w:val="0042639C"/>
    <w:rsid w:val="00431699"/>
    <w:rsid w:val="00435600"/>
    <w:rsid w:val="004366C6"/>
    <w:rsid w:val="0045406A"/>
    <w:rsid w:val="00454EE4"/>
    <w:rsid w:val="00455A7D"/>
    <w:rsid w:val="00457975"/>
    <w:rsid w:val="004620A2"/>
    <w:rsid w:val="00464C60"/>
    <w:rsid w:val="00465EAC"/>
    <w:rsid w:val="004750B8"/>
    <w:rsid w:val="004756EB"/>
    <w:rsid w:val="004769D2"/>
    <w:rsid w:val="004A378F"/>
    <w:rsid w:val="004A7F8D"/>
    <w:rsid w:val="004B300E"/>
    <w:rsid w:val="004B552E"/>
    <w:rsid w:val="004B60EE"/>
    <w:rsid w:val="004C3B53"/>
    <w:rsid w:val="004D61E7"/>
    <w:rsid w:val="004F0257"/>
    <w:rsid w:val="004F5AAC"/>
    <w:rsid w:val="005027EE"/>
    <w:rsid w:val="00503747"/>
    <w:rsid w:val="005072A5"/>
    <w:rsid w:val="00515E67"/>
    <w:rsid w:val="0051630A"/>
    <w:rsid w:val="00520A7B"/>
    <w:rsid w:val="0052222B"/>
    <w:rsid w:val="00551854"/>
    <w:rsid w:val="00556251"/>
    <w:rsid w:val="00572E2F"/>
    <w:rsid w:val="00573318"/>
    <w:rsid w:val="00580F2C"/>
    <w:rsid w:val="00583970"/>
    <w:rsid w:val="00591FFC"/>
    <w:rsid w:val="00592036"/>
    <w:rsid w:val="00592950"/>
    <w:rsid w:val="00594D2E"/>
    <w:rsid w:val="00594F3F"/>
    <w:rsid w:val="005970C5"/>
    <w:rsid w:val="005A1750"/>
    <w:rsid w:val="005A307C"/>
    <w:rsid w:val="005A445A"/>
    <w:rsid w:val="005B6793"/>
    <w:rsid w:val="005C0A9F"/>
    <w:rsid w:val="005C6FB6"/>
    <w:rsid w:val="005C7E64"/>
    <w:rsid w:val="005D11CD"/>
    <w:rsid w:val="005D18C2"/>
    <w:rsid w:val="005D2CC1"/>
    <w:rsid w:val="005D33F4"/>
    <w:rsid w:val="005D5C28"/>
    <w:rsid w:val="005F06B7"/>
    <w:rsid w:val="005F1236"/>
    <w:rsid w:val="005F17A1"/>
    <w:rsid w:val="005F267A"/>
    <w:rsid w:val="005F5B7D"/>
    <w:rsid w:val="005F6416"/>
    <w:rsid w:val="00601A7D"/>
    <w:rsid w:val="00601F5F"/>
    <w:rsid w:val="00605768"/>
    <w:rsid w:val="00611AA2"/>
    <w:rsid w:val="006161FC"/>
    <w:rsid w:val="00617A39"/>
    <w:rsid w:val="00620378"/>
    <w:rsid w:val="0063117E"/>
    <w:rsid w:val="006321B8"/>
    <w:rsid w:val="0063746B"/>
    <w:rsid w:val="00640E08"/>
    <w:rsid w:val="006410F2"/>
    <w:rsid w:val="00644B9D"/>
    <w:rsid w:val="00652ABC"/>
    <w:rsid w:val="00652C8E"/>
    <w:rsid w:val="00652CCB"/>
    <w:rsid w:val="00663D66"/>
    <w:rsid w:val="00667F13"/>
    <w:rsid w:val="006721BF"/>
    <w:rsid w:val="006777A8"/>
    <w:rsid w:val="006818CC"/>
    <w:rsid w:val="00681978"/>
    <w:rsid w:val="0068521A"/>
    <w:rsid w:val="00687E33"/>
    <w:rsid w:val="00687FC5"/>
    <w:rsid w:val="006A0AA7"/>
    <w:rsid w:val="006A3F9D"/>
    <w:rsid w:val="006B454D"/>
    <w:rsid w:val="006C14C7"/>
    <w:rsid w:val="006C18DE"/>
    <w:rsid w:val="006C1BA7"/>
    <w:rsid w:val="006C1BF5"/>
    <w:rsid w:val="006C2E51"/>
    <w:rsid w:val="006D1224"/>
    <w:rsid w:val="006D3527"/>
    <w:rsid w:val="006D46C8"/>
    <w:rsid w:val="006D4BE7"/>
    <w:rsid w:val="006D5712"/>
    <w:rsid w:val="006D5D62"/>
    <w:rsid w:val="006D5FC8"/>
    <w:rsid w:val="006D75BB"/>
    <w:rsid w:val="006E51BB"/>
    <w:rsid w:val="006E574F"/>
    <w:rsid w:val="006F0E42"/>
    <w:rsid w:val="006F1802"/>
    <w:rsid w:val="006F5BED"/>
    <w:rsid w:val="007025A7"/>
    <w:rsid w:val="0070373E"/>
    <w:rsid w:val="00706544"/>
    <w:rsid w:val="00707B5A"/>
    <w:rsid w:val="00711074"/>
    <w:rsid w:val="00711C07"/>
    <w:rsid w:val="00711EBA"/>
    <w:rsid w:val="00715ABD"/>
    <w:rsid w:val="00717949"/>
    <w:rsid w:val="00720627"/>
    <w:rsid w:val="00722A5E"/>
    <w:rsid w:val="00723229"/>
    <w:rsid w:val="00724B39"/>
    <w:rsid w:val="007262CF"/>
    <w:rsid w:val="00727B11"/>
    <w:rsid w:val="00733714"/>
    <w:rsid w:val="00743465"/>
    <w:rsid w:val="00751602"/>
    <w:rsid w:val="00754360"/>
    <w:rsid w:val="00754452"/>
    <w:rsid w:val="007612FA"/>
    <w:rsid w:val="00762383"/>
    <w:rsid w:val="00770C6B"/>
    <w:rsid w:val="0077369C"/>
    <w:rsid w:val="00773F39"/>
    <w:rsid w:val="007823F4"/>
    <w:rsid w:val="00784DC4"/>
    <w:rsid w:val="0078553C"/>
    <w:rsid w:val="00786781"/>
    <w:rsid w:val="007915A9"/>
    <w:rsid w:val="007A6F91"/>
    <w:rsid w:val="007B10E3"/>
    <w:rsid w:val="007B641C"/>
    <w:rsid w:val="007C35D8"/>
    <w:rsid w:val="007C3EF2"/>
    <w:rsid w:val="007C5938"/>
    <w:rsid w:val="007D149A"/>
    <w:rsid w:val="007D4790"/>
    <w:rsid w:val="007D6BA8"/>
    <w:rsid w:val="007E1DA7"/>
    <w:rsid w:val="007E66C7"/>
    <w:rsid w:val="008018F0"/>
    <w:rsid w:val="00802798"/>
    <w:rsid w:val="00805222"/>
    <w:rsid w:val="00812290"/>
    <w:rsid w:val="00816AF8"/>
    <w:rsid w:val="00823BF6"/>
    <w:rsid w:val="00824FEC"/>
    <w:rsid w:val="008362BF"/>
    <w:rsid w:val="0083648E"/>
    <w:rsid w:val="00836F3F"/>
    <w:rsid w:val="0085220E"/>
    <w:rsid w:val="008530CD"/>
    <w:rsid w:val="00856B37"/>
    <w:rsid w:val="00857A26"/>
    <w:rsid w:val="008623D1"/>
    <w:rsid w:val="0086292B"/>
    <w:rsid w:val="00863B8D"/>
    <w:rsid w:val="00870616"/>
    <w:rsid w:val="00876744"/>
    <w:rsid w:val="0087698A"/>
    <w:rsid w:val="00882240"/>
    <w:rsid w:val="0088271C"/>
    <w:rsid w:val="00885BD5"/>
    <w:rsid w:val="00886008"/>
    <w:rsid w:val="00891B8B"/>
    <w:rsid w:val="00895E22"/>
    <w:rsid w:val="008A439C"/>
    <w:rsid w:val="008A4640"/>
    <w:rsid w:val="008B0F77"/>
    <w:rsid w:val="008B144F"/>
    <w:rsid w:val="008B1AD8"/>
    <w:rsid w:val="008B32F8"/>
    <w:rsid w:val="008B4AEA"/>
    <w:rsid w:val="008C1B80"/>
    <w:rsid w:val="008C3BC1"/>
    <w:rsid w:val="008C4A0F"/>
    <w:rsid w:val="008C5AB0"/>
    <w:rsid w:val="008C7E8D"/>
    <w:rsid w:val="008D0F91"/>
    <w:rsid w:val="008D1D97"/>
    <w:rsid w:val="008D5135"/>
    <w:rsid w:val="008D5564"/>
    <w:rsid w:val="008E09B2"/>
    <w:rsid w:val="008E3214"/>
    <w:rsid w:val="008E390D"/>
    <w:rsid w:val="008E52D4"/>
    <w:rsid w:val="008F0DD6"/>
    <w:rsid w:val="008F1E2B"/>
    <w:rsid w:val="008F50FA"/>
    <w:rsid w:val="009041B4"/>
    <w:rsid w:val="00912F84"/>
    <w:rsid w:val="00913AFE"/>
    <w:rsid w:val="0091525B"/>
    <w:rsid w:val="00916D3E"/>
    <w:rsid w:val="00917942"/>
    <w:rsid w:val="00925221"/>
    <w:rsid w:val="00927206"/>
    <w:rsid w:val="00930E46"/>
    <w:rsid w:val="0093360A"/>
    <w:rsid w:val="00937FD7"/>
    <w:rsid w:val="009438C5"/>
    <w:rsid w:val="00951854"/>
    <w:rsid w:val="0095582C"/>
    <w:rsid w:val="00955D7C"/>
    <w:rsid w:val="00956E52"/>
    <w:rsid w:val="009774B1"/>
    <w:rsid w:val="00980493"/>
    <w:rsid w:val="00982190"/>
    <w:rsid w:val="0099010E"/>
    <w:rsid w:val="0099316A"/>
    <w:rsid w:val="00994753"/>
    <w:rsid w:val="00996F77"/>
    <w:rsid w:val="009A7F96"/>
    <w:rsid w:val="009B2AAF"/>
    <w:rsid w:val="009B3E59"/>
    <w:rsid w:val="009C40F4"/>
    <w:rsid w:val="009D3478"/>
    <w:rsid w:val="009D5FE5"/>
    <w:rsid w:val="009E2F87"/>
    <w:rsid w:val="009E4EE4"/>
    <w:rsid w:val="009E6080"/>
    <w:rsid w:val="009E6485"/>
    <w:rsid w:val="009F6F76"/>
    <w:rsid w:val="00A0228E"/>
    <w:rsid w:val="00A0520D"/>
    <w:rsid w:val="00A07600"/>
    <w:rsid w:val="00A10000"/>
    <w:rsid w:val="00A106E0"/>
    <w:rsid w:val="00A15663"/>
    <w:rsid w:val="00A2009D"/>
    <w:rsid w:val="00A215FA"/>
    <w:rsid w:val="00A217DB"/>
    <w:rsid w:val="00A22DFE"/>
    <w:rsid w:val="00A24383"/>
    <w:rsid w:val="00A248E2"/>
    <w:rsid w:val="00A32199"/>
    <w:rsid w:val="00A34BBA"/>
    <w:rsid w:val="00A37061"/>
    <w:rsid w:val="00A40127"/>
    <w:rsid w:val="00A517D8"/>
    <w:rsid w:val="00A55344"/>
    <w:rsid w:val="00A55EC0"/>
    <w:rsid w:val="00A5756F"/>
    <w:rsid w:val="00A607F3"/>
    <w:rsid w:val="00A60B7F"/>
    <w:rsid w:val="00A64A4C"/>
    <w:rsid w:val="00A670CE"/>
    <w:rsid w:val="00A67C00"/>
    <w:rsid w:val="00A70D9A"/>
    <w:rsid w:val="00A733A6"/>
    <w:rsid w:val="00A7724E"/>
    <w:rsid w:val="00A77704"/>
    <w:rsid w:val="00A864B1"/>
    <w:rsid w:val="00A86B24"/>
    <w:rsid w:val="00A93EE8"/>
    <w:rsid w:val="00AA165F"/>
    <w:rsid w:val="00AA2A70"/>
    <w:rsid w:val="00AA4623"/>
    <w:rsid w:val="00AA5372"/>
    <w:rsid w:val="00AB2057"/>
    <w:rsid w:val="00AB7976"/>
    <w:rsid w:val="00AC0C05"/>
    <w:rsid w:val="00AD1E16"/>
    <w:rsid w:val="00AD2E79"/>
    <w:rsid w:val="00AD3BD2"/>
    <w:rsid w:val="00AD70AD"/>
    <w:rsid w:val="00AE13BA"/>
    <w:rsid w:val="00AE47AA"/>
    <w:rsid w:val="00AE6EFF"/>
    <w:rsid w:val="00AE767F"/>
    <w:rsid w:val="00AF024E"/>
    <w:rsid w:val="00AF0D8B"/>
    <w:rsid w:val="00AF3543"/>
    <w:rsid w:val="00AF5C65"/>
    <w:rsid w:val="00B01939"/>
    <w:rsid w:val="00B103A6"/>
    <w:rsid w:val="00B10DBD"/>
    <w:rsid w:val="00B3227B"/>
    <w:rsid w:val="00B32626"/>
    <w:rsid w:val="00B341E5"/>
    <w:rsid w:val="00B34C83"/>
    <w:rsid w:val="00B36231"/>
    <w:rsid w:val="00B401EC"/>
    <w:rsid w:val="00B47353"/>
    <w:rsid w:val="00B5789A"/>
    <w:rsid w:val="00B620AD"/>
    <w:rsid w:val="00B650FA"/>
    <w:rsid w:val="00B65704"/>
    <w:rsid w:val="00B66B66"/>
    <w:rsid w:val="00B741C1"/>
    <w:rsid w:val="00B82E01"/>
    <w:rsid w:val="00B834A5"/>
    <w:rsid w:val="00B86501"/>
    <w:rsid w:val="00B86637"/>
    <w:rsid w:val="00B900AA"/>
    <w:rsid w:val="00B97CC7"/>
    <w:rsid w:val="00BA4A8C"/>
    <w:rsid w:val="00BB2A08"/>
    <w:rsid w:val="00BB72CC"/>
    <w:rsid w:val="00BD0D15"/>
    <w:rsid w:val="00BD1419"/>
    <w:rsid w:val="00BD7F61"/>
    <w:rsid w:val="00BE3AA1"/>
    <w:rsid w:val="00BE679D"/>
    <w:rsid w:val="00BE72F1"/>
    <w:rsid w:val="00BF16F5"/>
    <w:rsid w:val="00BF5156"/>
    <w:rsid w:val="00BF7052"/>
    <w:rsid w:val="00C036A4"/>
    <w:rsid w:val="00C03B74"/>
    <w:rsid w:val="00C066CC"/>
    <w:rsid w:val="00C15133"/>
    <w:rsid w:val="00C20A6A"/>
    <w:rsid w:val="00C256D9"/>
    <w:rsid w:val="00C30D0C"/>
    <w:rsid w:val="00C316EB"/>
    <w:rsid w:val="00C33AE6"/>
    <w:rsid w:val="00C359EC"/>
    <w:rsid w:val="00C43878"/>
    <w:rsid w:val="00C60246"/>
    <w:rsid w:val="00C609C5"/>
    <w:rsid w:val="00C60B07"/>
    <w:rsid w:val="00C66738"/>
    <w:rsid w:val="00C731B0"/>
    <w:rsid w:val="00C82734"/>
    <w:rsid w:val="00C83DC8"/>
    <w:rsid w:val="00C84656"/>
    <w:rsid w:val="00C85DA7"/>
    <w:rsid w:val="00C87E76"/>
    <w:rsid w:val="00C93D5D"/>
    <w:rsid w:val="00C96402"/>
    <w:rsid w:val="00C975EE"/>
    <w:rsid w:val="00CA1CE4"/>
    <w:rsid w:val="00CA6E8B"/>
    <w:rsid w:val="00CB2191"/>
    <w:rsid w:val="00CC0F73"/>
    <w:rsid w:val="00CC5525"/>
    <w:rsid w:val="00CD2423"/>
    <w:rsid w:val="00CD31FD"/>
    <w:rsid w:val="00CE1285"/>
    <w:rsid w:val="00CE2E1E"/>
    <w:rsid w:val="00CE6255"/>
    <w:rsid w:val="00CF1E47"/>
    <w:rsid w:val="00CF241C"/>
    <w:rsid w:val="00CF36F8"/>
    <w:rsid w:val="00D10A1E"/>
    <w:rsid w:val="00D160A2"/>
    <w:rsid w:val="00D16CFB"/>
    <w:rsid w:val="00D2205F"/>
    <w:rsid w:val="00D22A0A"/>
    <w:rsid w:val="00D23827"/>
    <w:rsid w:val="00D302E6"/>
    <w:rsid w:val="00D331EA"/>
    <w:rsid w:val="00D356D6"/>
    <w:rsid w:val="00D437C7"/>
    <w:rsid w:val="00D446A6"/>
    <w:rsid w:val="00D45990"/>
    <w:rsid w:val="00D477E5"/>
    <w:rsid w:val="00D5043E"/>
    <w:rsid w:val="00D50C99"/>
    <w:rsid w:val="00D51FA4"/>
    <w:rsid w:val="00D52814"/>
    <w:rsid w:val="00D65E38"/>
    <w:rsid w:val="00D71D9F"/>
    <w:rsid w:val="00D900AE"/>
    <w:rsid w:val="00D91878"/>
    <w:rsid w:val="00D942A3"/>
    <w:rsid w:val="00D949A0"/>
    <w:rsid w:val="00DA2420"/>
    <w:rsid w:val="00DA3F5C"/>
    <w:rsid w:val="00DB0297"/>
    <w:rsid w:val="00DC48E1"/>
    <w:rsid w:val="00DD42A7"/>
    <w:rsid w:val="00DD5D7A"/>
    <w:rsid w:val="00DE2E5F"/>
    <w:rsid w:val="00DE51C8"/>
    <w:rsid w:val="00DF08B2"/>
    <w:rsid w:val="00DF50F0"/>
    <w:rsid w:val="00DF6045"/>
    <w:rsid w:val="00DF790D"/>
    <w:rsid w:val="00E021AD"/>
    <w:rsid w:val="00E022CA"/>
    <w:rsid w:val="00E03299"/>
    <w:rsid w:val="00E23847"/>
    <w:rsid w:val="00E23F22"/>
    <w:rsid w:val="00E35EE8"/>
    <w:rsid w:val="00E36829"/>
    <w:rsid w:val="00E42536"/>
    <w:rsid w:val="00E5079C"/>
    <w:rsid w:val="00E50949"/>
    <w:rsid w:val="00E52215"/>
    <w:rsid w:val="00E52499"/>
    <w:rsid w:val="00E618D0"/>
    <w:rsid w:val="00E63940"/>
    <w:rsid w:val="00E642F5"/>
    <w:rsid w:val="00E65717"/>
    <w:rsid w:val="00E70596"/>
    <w:rsid w:val="00E90498"/>
    <w:rsid w:val="00E94DEB"/>
    <w:rsid w:val="00E9582B"/>
    <w:rsid w:val="00E96A3C"/>
    <w:rsid w:val="00EA042F"/>
    <w:rsid w:val="00EA0814"/>
    <w:rsid w:val="00EB019E"/>
    <w:rsid w:val="00EB24B0"/>
    <w:rsid w:val="00EB3C1B"/>
    <w:rsid w:val="00EB540D"/>
    <w:rsid w:val="00EC2431"/>
    <w:rsid w:val="00EC774D"/>
    <w:rsid w:val="00ED6E6D"/>
    <w:rsid w:val="00EE043C"/>
    <w:rsid w:val="00EE33EC"/>
    <w:rsid w:val="00EE3639"/>
    <w:rsid w:val="00EF156A"/>
    <w:rsid w:val="00EF16D6"/>
    <w:rsid w:val="00EF65A4"/>
    <w:rsid w:val="00F004BB"/>
    <w:rsid w:val="00F02963"/>
    <w:rsid w:val="00F111B3"/>
    <w:rsid w:val="00F22384"/>
    <w:rsid w:val="00F25F60"/>
    <w:rsid w:val="00F26FC4"/>
    <w:rsid w:val="00F31429"/>
    <w:rsid w:val="00F40849"/>
    <w:rsid w:val="00F42E6A"/>
    <w:rsid w:val="00F465D7"/>
    <w:rsid w:val="00F465FF"/>
    <w:rsid w:val="00F519DA"/>
    <w:rsid w:val="00F52E85"/>
    <w:rsid w:val="00F60515"/>
    <w:rsid w:val="00F61CEC"/>
    <w:rsid w:val="00F71B6A"/>
    <w:rsid w:val="00F72554"/>
    <w:rsid w:val="00F745C3"/>
    <w:rsid w:val="00F75882"/>
    <w:rsid w:val="00F80048"/>
    <w:rsid w:val="00F84DFF"/>
    <w:rsid w:val="00F87D9B"/>
    <w:rsid w:val="00F92491"/>
    <w:rsid w:val="00F957CA"/>
    <w:rsid w:val="00F963EA"/>
    <w:rsid w:val="00FA0CA1"/>
    <w:rsid w:val="00FA6F09"/>
    <w:rsid w:val="00FB17C1"/>
    <w:rsid w:val="00FB451A"/>
    <w:rsid w:val="00FB765C"/>
    <w:rsid w:val="00FD18D8"/>
    <w:rsid w:val="00FD6C21"/>
    <w:rsid w:val="00FE0F82"/>
    <w:rsid w:val="00FE1A35"/>
    <w:rsid w:val="00FE6648"/>
    <w:rsid w:val="00FF0DC8"/>
    <w:rsid w:val="00FF1C3D"/>
    <w:rsid w:val="00FF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27DE5-4E2C-4F92-A8A1-4E5106B7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F77"/>
    <w:pPr>
      <w:spacing w:after="200" w:line="276" w:lineRule="auto"/>
    </w:pPr>
    <w:rPr>
      <w:rFonts w:ascii="Calibri" w:eastAsia="Calibri" w:hAnsi="Calibri" w:cs="Times New Roman"/>
      <w:lang w:val="sr-Cyrl-CS"/>
    </w:rPr>
  </w:style>
  <w:style w:type="paragraph" w:styleId="Heading1">
    <w:name w:val="heading 1"/>
    <w:basedOn w:val="Normal"/>
    <w:next w:val="Normal"/>
    <w:link w:val="Heading1Char"/>
    <w:uiPriority w:val="9"/>
    <w:qFormat/>
    <w:rsid w:val="003D53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F0DC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33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33F4"/>
    <w:rPr>
      <w:rFonts w:ascii="Calibri" w:eastAsia="Calibri" w:hAnsi="Calibri" w:cs="Times New Roman"/>
      <w:lang w:val="sr-Cyrl-CS"/>
    </w:rPr>
  </w:style>
  <w:style w:type="paragraph" w:customStyle="1" w:styleId="FreeFormAA">
    <w:name w:val="Free Form A A"/>
    <w:rsid w:val="005D33F4"/>
    <w:pPr>
      <w:spacing w:after="0" w:line="240" w:lineRule="auto"/>
    </w:pPr>
    <w:rPr>
      <w:rFonts w:ascii="Helvetica" w:eastAsia="ヒラギノ角ゴ Pro W3" w:hAnsi="Helvetica" w:cs="Times New Roman"/>
      <w:color w:val="000000"/>
      <w:sz w:val="24"/>
      <w:szCs w:val="20"/>
      <w:lang w:eastAsia="sr-Cyrl-CS"/>
    </w:rPr>
  </w:style>
  <w:style w:type="paragraph" w:styleId="FootnoteText">
    <w:name w:val="footnote text"/>
    <w:aliases w:val="single space,footnote text Char,footnote text,Footnote Text Char Char Char,Footnote Text Char Char,Footnote Text Char1,single space Char,ft Char,ft,Footnote Text Char Char Char Char Char Char Char Char,Footnote Text Char Char Char Char1 Ch"/>
    <w:basedOn w:val="Normal"/>
    <w:link w:val="FootnoteTextChar"/>
    <w:uiPriority w:val="99"/>
    <w:unhideWhenUsed/>
    <w:qFormat/>
    <w:rsid w:val="005D33F4"/>
    <w:pPr>
      <w:spacing w:after="0" w:line="240" w:lineRule="auto"/>
    </w:pPr>
    <w:rPr>
      <w:sz w:val="20"/>
      <w:szCs w:val="20"/>
      <w:lang w:val="x-none" w:eastAsia="x-none"/>
    </w:rPr>
  </w:style>
  <w:style w:type="character" w:customStyle="1" w:styleId="FootnoteTextChar">
    <w:name w:val="Footnote Text Char"/>
    <w:aliases w:val="single space Char1,footnote text Char Char,footnote text Char1,Footnote Text Char Char Char Char,Footnote Text Char Char Char1,Footnote Text Char1 Char,single space Char Char,ft Char Char,ft Char1"/>
    <w:basedOn w:val="DefaultParagraphFont"/>
    <w:link w:val="FootnoteText"/>
    <w:uiPriority w:val="99"/>
    <w:rsid w:val="005D33F4"/>
    <w:rPr>
      <w:rFonts w:ascii="Calibri" w:eastAsia="Calibri" w:hAnsi="Calibri" w:cs="Times New Roman"/>
      <w:sz w:val="20"/>
      <w:szCs w:val="20"/>
      <w:lang w:val="x-none" w:eastAsia="x-none"/>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4_G,fr"/>
    <w:link w:val="BVIfnrCharCharCharChar1CharChar"/>
    <w:uiPriority w:val="99"/>
    <w:unhideWhenUsed/>
    <w:qFormat/>
    <w:rsid w:val="005D33F4"/>
    <w:rPr>
      <w:vertAlign w:val="superscript"/>
    </w:rPr>
  </w:style>
  <w:style w:type="paragraph" w:customStyle="1" w:styleId="Body">
    <w:name w:val="Body"/>
    <w:rsid w:val="005D33F4"/>
    <w:pPr>
      <w:spacing w:after="0" w:line="240" w:lineRule="auto"/>
    </w:pPr>
    <w:rPr>
      <w:rFonts w:ascii="Helvetica" w:eastAsia="ヒラギノ角ゴ Pro W3" w:hAnsi="Helvetica" w:cs="Times New Roman"/>
      <w:color w:val="000000"/>
      <w:sz w:val="24"/>
      <w:szCs w:val="20"/>
      <w:lang w:eastAsia="sr-Cyrl-CS"/>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5D33F4"/>
    <w:pPr>
      <w:spacing w:after="160" w:line="240" w:lineRule="exact"/>
    </w:pPr>
    <w:rPr>
      <w:rFonts w:asciiTheme="minorHAnsi" w:eastAsiaTheme="minorHAnsi" w:hAnsiTheme="minorHAnsi" w:cstheme="minorBidi"/>
      <w:vertAlign w:val="superscript"/>
      <w:lang w:val="en-US"/>
    </w:rPr>
  </w:style>
  <w:style w:type="paragraph" w:styleId="ListParagraph">
    <w:name w:val="List Paragraph"/>
    <w:aliases w:val="List Paragraph1"/>
    <w:basedOn w:val="Normal"/>
    <w:link w:val="ListParagraphChar"/>
    <w:qFormat/>
    <w:rsid w:val="005D33F4"/>
    <w:pPr>
      <w:spacing w:after="0" w:line="240" w:lineRule="auto"/>
      <w:ind w:left="720"/>
      <w:contextualSpacing/>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377E28"/>
    <w:rPr>
      <w:color w:val="0563C1" w:themeColor="hyperlink"/>
      <w:u w:val="single"/>
    </w:rPr>
  </w:style>
  <w:style w:type="character" w:styleId="FollowedHyperlink">
    <w:name w:val="FollowedHyperlink"/>
    <w:basedOn w:val="DefaultParagraphFont"/>
    <w:uiPriority w:val="99"/>
    <w:semiHidden/>
    <w:unhideWhenUsed/>
    <w:rsid w:val="009E4EE4"/>
    <w:rPr>
      <w:color w:val="954F72" w:themeColor="followedHyperlink"/>
      <w:u w:val="single"/>
    </w:rPr>
  </w:style>
  <w:style w:type="paragraph" w:customStyle="1" w:styleId="wyq110---naslov-clana">
    <w:name w:val="wyq110---naslov-clana"/>
    <w:basedOn w:val="Normal"/>
    <w:rsid w:val="00D50C99"/>
    <w:pPr>
      <w:spacing w:before="100" w:beforeAutospacing="1" w:after="100" w:afterAutospacing="1" w:line="240" w:lineRule="auto"/>
    </w:pPr>
    <w:rPr>
      <w:rFonts w:ascii="Times New Roman" w:eastAsia="Times New Roman" w:hAnsi="Times New Roman"/>
      <w:sz w:val="24"/>
      <w:szCs w:val="24"/>
      <w:lang w:val="sr-Latn-CS" w:eastAsia="sr-Latn-CS"/>
    </w:rPr>
  </w:style>
  <w:style w:type="paragraph" w:customStyle="1" w:styleId="clan">
    <w:name w:val="clan"/>
    <w:basedOn w:val="Normal"/>
    <w:rsid w:val="00D50C99"/>
    <w:pPr>
      <w:spacing w:before="100" w:beforeAutospacing="1" w:after="100" w:afterAutospacing="1" w:line="240" w:lineRule="auto"/>
    </w:pPr>
    <w:rPr>
      <w:rFonts w:ascii="Times New Roman" w:eastAsia="Times New Roman" w:hAnsi="Times New Roman"/>
      <w:sz w:val="24"/>
      <w:szCs w:val="24"/>
      <w:lang w:val="sr-Latn-CS" w:eastAsia="sr-Latn-CS"/>
    </w:rPr>
  </w:style>
  <w:style w:type="paragraph" w:customStyle="1" w:styleId="Normal1">
    <w:name w:val="Normal1"/>
    <w:basedOn w:val="Normal"/>
    <w:rsid w:val="00D50C99"/>
    <w:pPr>
      <w:spacing w:before="100" w:beforeAutospacing="1" w:after="100" w:afterAutospacing="1" w:line="240" w:lineRule="auto"/>
    </w:pPr>
    <w:rPr>
      <w:rFonts w:ascii="Times New Roman" w:eastAsia="Times New Roman" w:hAnsi="Times New Roman"/>
      <w:sz w:val="24"/>
      <w:szCs w:val="24"/>
      <w:lang w:val="sr-Latn-CS" w:eastAsia="sr-Latn-CS"/>
    </w:rPr>
  </w:style>
  <w:style w:type="paragraph" w:customStyle="1" w:styleId="wyq060---pododeljak">
    <w:name w:val="wyq060---pododeljak"/>
    <w:basedOn w:val="Normal"/>
    <w:rsid w:val="005F6416"/>
    <w:pPr>
      <w:spacing w:before="100" w:beforeAutospacing="1" w:after="100" w:afterAutospacing="1" w:line="240" w:lineRule="auto"/>
    </w:pPr>
    <w:rPr>
      <w:rFonts w:ascii="Times New Roman" w:eastAsia="Times New Roman" w:hAnsi="Times New Roman"/>
      <w:sz w:val="24"/>
      <w:szCs w:val="24"/>
      <w:lang w:val="sr-Latn-CS" w:eastAsia="sr-Latn-CS"/>
    </w:rPr>
  </w:style>
  <w:style w:type="character" w:customStyle="1" w:styleId="Heading2Char">
    <w:name w:val="Heading 2 Char"/>
    <w:basedOn w:val="DefaultParagraphFont"/>
    <w:link w:val="Heading2"/>
    <w:uiPriority w:val="9"/>
    <w:semiHidden/>
    <w:rsid w:val="00FF0DC8"/>
    <w:rPr>
      <w:rFonts w:asciiTheme="majorHAnsi" w:eastAsiaTheme="majorEastAsia" w:hAnsiTheme="majorHAnsi" w:cstheme="majorBidi"/>
      <w:b/>
      <w:bCs/>
      <w:color w:val="5B9BD5" w:themeColor="accent1"/>
      <w:sz w:val="26"/>
      <w:szCs w:val="26"/>
      <w:lang w:val="sr-Cyrl-CS"/>
    </w:rPr>
  </w:style>
  <w:style w:type="character" w:styleId="CommentReference">
    <w:name w:val="annotation reference"/>
    <w:basedOn w:val="DefaultParagraphFont"/>
    <w:uiPriority w:val="99"/>
    <w:semiHidden/>
    <w:unhideWhenUsed/>
    <w:rsid w:val="009B3E59"/>
    <w:rPr>
      <w:sz w:val="16"/>
      <w:szCs w:val="16"/>
    </w:rPr>
  </w:style>
  <w:style w:type="paragraph" w:styleId="CommentText">
    <w:name w:val="annotation text"/>
    <w:basedOn w:val="Normal"/>
    <w:link w:val="CommentTextChar"/>
    <w:uiPriority w:val="99"/>
    <w:semiHidden/>
    <w:unhideWhenUsed/>
    <w:rsid w:val="009B3E59"/>
    <w:pPr>
      <w:spacing w:line="240" w:lineRule="auto"/>
    </w:pPr>
    <w:rPr>
      <w:sz w:val="20"/>
      <w:szCs w:val="20"/>
    </w:rPr>
  </w:style>
  <w:style w:type="character" w:customStyle="1" w:styleId="CommentTextChar">
    <w:name w:val="Comment Text Char"/>
    <w:basedOn w:val="DefaultParagraphFont"/>
    <w:link w:val="CommentText"/>
    <w:uiPriority w:val="99"/>
    <w:semiHidden/>
    <w:rsid w:val="009B3E59"/>
    <w:rPr>
      <w:rFonts w:ascii="Calibri" w:eastAsia="Calibri" w:hAnsi="Calibri" w:cs="Times New Roman"/>
      <w:sz w:val="20"/>
      <w:szCs w:val="20"/>
      <w:lang w:val="sr-Cyrl-CS"/>
    </w:rPr>
  </w:style>
  <w:style w:type="paragraph" w:styleId="CommentSubject">
    <w:name w:val="annotation subject"/>
    <w:basedOn w:val="CommentText"/>
    <w:next w:val="CommentText"/>
    <w:link w:val="CommentSubjectChar"/>
    <w:uiPriority w:val="99"/>
    <w:semiHidden/>
    <w:unhideWhenUsed/>
    <w:rsid w:val="009B3E59"/>
    <w:rPr>
      <w:b/>
      <w:bCs/>
    </w:rPr>
  </w:style>
  <w:style w:type="character" w:customStyle="1" w:styleId="CommentSubjectChar">
    <w:name w:val="Comment Subject Char"/>
    <w:basedOn w:val="CommentTextChar"/>
    <w:link w:val="CommentSubject"/>
    <w:uiPriority w:val="99"/>
    <w:semiHidden/>
    <w:rsid w:val="009B3E59"/>
    <w:rPr>
      <w:rFonts w:ascii="Calibri" w:eastAsia="Calibri" w:hAnsi="Calibri" w:cs="Times New Roman"/>
      <w:b/>
      <w:bCs/>
      <w:sz w:val="20"/>
      <w:szCs w:val="20"/>
      <w:lang w:val="sr-Cyrl-CS"/>
    </w:rPr>
  </w:style>
  <w:style w:type="paragraph" w:styleId="BalloonText">
    <w:name w:val="Balloon Text"/>
    <w:basedOn w:val="Normal"/>
    <w:link w:val="BalloonTextChar"/>
    <w:uiPriority w:val="99"/>
    <w:semiHidden/>
    <w:unhideWhenUsed/>
    <w:rsid w:val="009B3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E59"/>
    <w:rPr>
      <w:rFonts w:ascii="Tahoma" w:eastAsia="Calibri" w:hAnsi="Tahoma" w:cs="Tahoma"/>
      <w:sz w:val="16"/>
      <w:szCs w:val="16"/>
      <w:lang w:val="sr-Cyrl-CS"/>
    </w:rPr>
  </w:style>
  <w:style w:type="paragraph" w:styleId="NoSpacing">
    <w:name w:val="No Spacing"/>
    <w:link w:val="NoSpacingChar"/>
    <w:uiPriority w:val="1"/>
    <w:qFormat/>
    <w:rsid w:val="004A7F8D"/>
    <w:pPr>
      <w:spacing w:after="0" w:line="240" w:lineRule="auto"/>
    </w:pPr>
    <w:rPr>
      <w:rFonts w:ascii="Calibri" w:eastAsia="Calibri" w:hAnsi="Calibri" w:cs="Times New Roman"/>
      <w:lang w:val="sr-Latn-CS"/>
    </w:rPr>
  </w:style>
  <w:style w:type="character" w:customStyle="1" w:styleId="NoSpacingChar">
    <w:name w:val="No Spacing Char"/>
    <w:link w:val="NoSpacing"/>
    <w:uiPriority w:val="1"/>
    <w:rsid w:val="004A7F8D"/>
    <w:rPr>
      <w:rFonts w:ascii="Calibri" w:eastAsia="Calibri" w:hAnsi="Calibri" w:cs="Times New Roman"/>
      <w:lang w:val="sr-Latn-CS"/>
    </w:rPr>
  </w:style>
  <w:style w:type="character" w:customStyle="1" w:styleId="ListParagraphChar">
    <w:name w:val="List Paragraph Char"/>
    <w:aliases w:val="List Paragraph1 Char"/>
    <w:link w:val="ListParagraph"/>
    <w:rsid w:val="004A378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D533A"/>
    <w:rPr>
      <w:rFonts w:asciiTheme="majorHAnsi" w:eastAsiaTheme="majorEastAsia" w:hAnsiTheme="majorHAnsi" w:cstheme="majorBidi"/>
      <w:color w:val="2E74B5" w:themeColor="accent1" w:themeShade="BF"/>
      <w:sz w:val="32"/>
      <w:szCs w:val="32"/>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1355">
      <w:bodyDiv w:val="1"/>
      <w:marLeft w:val="0"/>
      <w:marRight w:val="0"/>
      <w:marTop w:val="0"/>
      <w:marBottom w:val="0"/>
      <w:divBdr>
        <w:top w:val="none" w:sz="0" w:space="0" w:color="auto"/>
        <w:left w:val="none" w:sz="0" w:space="0" w:color="auto"/>
        <w:bottom w:val="none" w:sz="0" w:space="0" w:color="auto"/>
        <w:right w:val="none" w:sz="0" w:space="0" w:color="auto"/>
      </w:divBdr>
    </w:div>
    <w:div w:id="325789384">
      <w:bodyDiv w:val="1"/>
      <w:marLeft w:val="0"/>
      <w:marRight w:val="0"/>
      <w:marTop w:val="0"/>
      <w:marBottom w:val="0"/>
      <w:divBdr>
        <w:top w:val="none" w:sz="0" w:space="0" w:color="auto"/>
        <w:left w:val="none" w:sz="0" w:space="0" w:color="auto"/>
        <w:bottom w:val="none" w:sz="0" w:space="0" w:color="auto"/>
        <w:right w:val="none" w:sz="0" w:space="0" w:color="auto"/>
      </w:divBdr>
    </w:div>
    <w:div w:id="516700890">
      <w:bodyDiv w:val="1"/>
      <w:marLeft w:val="0"/>
      <w:marRight w:val="0"/>
      <w:marTop w:val="0"/>
      <w:marBottom w:val="0"/>
      <w:divBdr>
        <w:top w:val="none" w:sz="0" w:space="0" w:color="auto"/>
        <w:left w:val="none" w:sz="0" w:space="0" w:color="auto"/>
        <w:bottom w:val="none" w:sz="0" w:space="0" w:color="auto"/>
        <w:right w:val="none" w:sz="0" w:space="0" w:color="auto"/>
      </w:divBdr>
    </w:div>
    <w:div w:id="529345782">
      <w:bodyDiv w:val="1"/>
      <w:marLeft w:val="0"/>
      <w:marRight w:val="0"/>
      <w:marTop w:val="0"/>
      <w:marBottom w:val="0"/>
      <w:divBdr>
        <w:top w:val="none" w:sz="0" w:space="0" w:color="auto"/>
        <w:left w:val="none" w:sz="0" w:space="0" w:color="auto"/>
        <w:bottom w:val="none" w:sz="0" w:space="0" w:color="auto"/>
        <w:right w:val="none" w:sz="0" w:space="0" w:color="auto"/>
      </w:divBdr>
    </w:div>
    <w:div w:id="606426968">
      <w:bodyDiv w:val="1"/>
      <w:marLeft w:val="0"/>
      <w:marRight w:val="0"/>
      <w:marTop w:val="0"/>
      <w:marBottom w:val="0"/>
      <w:divBdr>
        <w:top w:val="none" w:sz="0" w:space="0" w:color="auto"/>
        <w:left w:val="none" w:sz="0" w:space="0" w:color="auto"/>
        <w:bottom w:val="none" w:sz="0" w:space="0" w:color="auto"/>
        <w:right w:val="none" w:sz="0" w:space="0" w:color="auto"/>
      </w:divBdr>
    </w:div>
    <w:div w:id="664819927">
      <w:bodyDiv w:val="1"/>
      <w:marLeft w:val="0"/>
      <w:marRight w:val="0"/>
      <w:marTop w:val="0"/>
      <w:marBottom w:val="0"/>
      <w:divBdr>
        <w:top w:val="none" w:sz="0" w:space="0" w:color="auto"/>
        <w:left w:val="none" w:sz="0" w:space="0" w:color="auto"/>
        <w:bottom w:val="none" w:sz="0" w:space="0" w:color="auto"/>
        <w:right w:val="none" w:sz="0" w:space="0" w:color="auto"/>
      </w:divBdr>
    </w:div>
    <w:div w:id="737291267">
      <w:bodyDiv w:val="1"/>
      <w:marLeft w:val="0"/>
      <w:marRight w:val="0"/>
      <w:marTop w:val="0"/>
      <w:marBottom w:val="0"/>
      <w:divBdr>
        <w:top w:val="none" w:sz="0" w:space="0" w:color="auto"/>
        <w:left w:val="none" w:sz="0" w:space="0" w:color="auto"/>
        <w:bottom w:val="none" w:sz="0" w:space="0" w:color="auto"/>
        <w:right w:val="none" w:sz="0" w:space="0" w:color="auto"/>
      </w:divBdr>
    </w:div>
    <w:div w:id="789395984">
      <w:bodyDiv w:val="1"/>
      <w:marLeft w:val="0"/>
      <w:marRight w:val="0"/>
      <w:marTop w:val="0"/>
      <w:marBottom w:val="0"/>
      <w:divBdr>
        <w:top w:val="none" w:sz="0" w:space="0" w:color="auto"/>
        <w:left w:val="none" w:sz="0" w:space="0" w:color="auto"/>
        <w:bottom w:val="none" w:sz="0" w:space="0" w:color="auto"/>
        <w:right w:val="none" w:sz="0" w:space="0" w:color="auto"/>
      </w:divBdr>
    </w:div>
    <w:div w:id="919407763">
      <w:bodyDiv w:val="1"/>
      <w:marLeft w:val="0"/>
      <w:marRight w:val="0"/>
      <w:marTop w:val="0"/>
      <w:marBottom w:val="0"/>
      <w:divBdr>
        <w:top w:val="none" w:sz="0" w:space="0" w:color="auto"/>
        <w:left w:val="none" w:sz="0" w:space="0" w:color="auto"/>
        <w:bottom w:val="none" w:sz="0" w:space="0" w:color="auto"/>
        <w:right w:val="none" w:sz="0" w:space="0" w:color="auto"/>
      </w:divBdr>
    </w:div>
    <w:div w:id="924268858">
      <w:bodyDiv w:val="1"/>
      <w:marLeft w:val="0"/>
      <w:marRight w:val="0"/>
      <w:marTop w:val="0"/>
      <w:marBottom w:val="0"/>
      <w:divBdr>
        <w:top w:val="none" w:sz="0" w:space="0" w:color="auto"/>
        <w:left w:val="none" w:sz="0" w:space="0" w:color="auto"/>
        <w:bottom w:val="none" w:sz="0" w:space="0" w:color="auto"/>
        <w:right w:val="none" w:sz="0" w:space="0" w:color="auto"/>
      </w:divBdr>
    </w:div>
    <w:div w:id="932128800">
      <w:bodyDiv w:val="1"/>
      <w:marLeft w:val="0"/>
      <w:marRight w:val="0"/>
      <w:marTop w:val="0"/>
      <w:marBottom w:val="0"/>
      <w:divBdr>
        <w:top w:val="none" w:sz="0" w:space="0" w:color="auto"/>
        <w:left w:val="none" w:sz="0" w:space="0" w:color="auto"/>
        <w:bottom w:val="none" w:sz="0" w:space="0" w:color="auto"/>
        <w:right w:val="none" w:sz="0" w:space="0" w:color="auto"/>
      </w:divBdr>
    </w:div>
    <w:div w:id="1094323683">
      <w:bodyDiv w:val="1"/>
      <w:marLeft w:val="0"/>
      <w:marRight w:val="0"/>
      <w:marTop w:val="0"/>
      <w:marBottom w:val="0"/>
      <w:divBdr>
        <w:top w:val="none" w:sz="0" w:space="0" w:color="auto"/>
        <w:left w:val="none" w:sz="0" w:space="0" w:color="auto"/>
        <w:bottom w:val="none" w:sz="0" w:space="0" w:color="auto"/>
        <w:right w:val="none" w:sz="0" w:space="0" w:color="auto"/>
      </w:divBdr>
    </w:div>
    <w:div w:id="1456758202">
      <w:bodyDiv w:val="1"/>
      <w:marLeft w:val="0"/>
      <w:marRight w:val="0"/>
      <w:marTop w:val="0"/>
      <w:marBottom w:val="0"/>
      <w:divBdr>
        <w:top w:val="none" w:sz="0" w:space="0" w:color="auto"/>
        <w:left w:val="none" w:sz="0" w:space="0" w:color="auto"/>
        <w:bottom w:val="none" w:sz="0" w:space="0" w:color="auto"/>
        <w:right w:val="none" w:sz="0" w:space="0" w:color="auto"/>
      </w:divBdr>
    </w:div>
    <w:div w:id="1568146482">
      <w:bodyDiv w:val="1"/>
      <w:marLeft w:val="0"/>
      <w:marRight w:val="0"/>
      <w:marTop w:val="0"/>
      <w:marBottom w:val="0"/>
      <w:divBdr>
        <w:top w:val="none" w:sz="0" w:space="0" w:color="auto"/>
        <w:left w:val="none" w:sz="0" w:space="0" w:color="auto"/>
        <w:bottom w:val="none" w:sz="0" w:space="0" w:color="auto"/>
        <w:right w:val="none" w:sz="0" w:space="0" w:color="auto"/>
      </w:divBdr>
    </w:div>
    <w:div w:id="1598558011">
      <w:bodyDiv w:val="1"/>
      <w:marLeft w:val="0"/>
      <w:marRight w:val="0"/>
      <w:marTop w:val="0"/>
      <w:marBottom w:val="0"/>
      <w:divBdr>
        <w:top w:val="none" w:sz="0" w:space="0" w:color="auto"/>
        <w:left w:val="none" w:sz="0" w:space="0" w:color="auto"/>
        <w:bottom w:val="none" w:sz="0" w:space="0" w:color="auto"/>
        <w:right w:val="none" w:sz="0" w:space="0" w:color="auto"/>
      </w:divBdr>
    </w:div>
    <w:div w:id="1699771087">
      <w:bodyDiv w:val="1"/>
      <w:marLeft w:val="0"/>
      <w:marRight w:val="0"/>
      <w:marTop w:val="0"/>
      <w:marBottom w:val="0"/>
      <w:divBdr>
        <w:top w:val="none" w:sz="0" w:space="0" w:color="auto"/>
        <w:left w:val="none" w:sz="0" w:space="0" w:color="auto"/>
        <w:bottom w:val="none" w:sz="0" w:space="0" w:color="auto"/>
        <w:right w:val="none" w:sz="0" w:space="0" w:color="auto"/>
      </w:divBdr>
    </w:div>
    <w:div w:id="1719082868">
      <w:bodyDiv w:val="1"/>
      <w:marLeft w:val="0"/>
      <w:marRight w:val="0"/>
      <w:marTop w:val="0"/>
      <w:marBottom w:val="0"/>
      <w:divBdr>
        <w:top w:val="none" w:sz="0" w:space="0" w:color="auto"/>
        <w:left w:val="none" w:sz="0" w:space="0" w:color="auto"/>
        <w:bottom w:val="none" w:sz="0" w:space="0" w:color="auto"/>
        <w:right w:val="none" w:sz="0" w:space="0" w:color="auto"/>
      </w:divBdr>
    </w:div>
    <w:div w:id="1971208557">
      <w:bodyDiv w:val="1"/>
      <w:marLeft w:val="0"/>
      <w:marRight w:val="0"/>
      <w:marTop w:val="0"/>
      <w:marBottom w:val="0"/>
      <w:divBdr>
        <w:top w:val="none" w:sz="0" w:space="0" w:color="auto"/>
        <w:left w:val="none" w:sz="0" w:space="0" w:color="auto"/>
        <w:bottom w:val="none" w:sz="0" w:space="0" w:color="auto"/>
        <w:right w:val="none" w:sz="0" w:space="0" w:color="auto"/>
      </w:divBdr>
    </w:div>
    <w:div w:id="2035885917">
      <w:bodyDiv w:val="1"/>
      <w:marLeft w:val="0"/>
      <w:marRight w:val="0"/>
      <w:marTop w:val="0"/>
      <w:marBottom w:val="0"/>
      <w:divBdr>
        <w:top w:val="none" w:sz="0" w:space="0" w:color="auto"/>
        <w:left w:val="none" w:sz="0" w:space="0" w:color="auto"/>
        <w:bottom w:val="none" w:sz="0" w:space="0" w:color="auto"/>
        <w:right w:val="none" w:sz="0" w:space="0" w:color="auto"/>
      </w:divBdr>
    </w:div>
    <w:div w:id="2070614480">
      <w:bodyDiv w:val="1"/>
      <w:marLeft w:val="0"/>
      <w:marRight w:val="0"/>
      <w:marTop w:val="0"/>
      <w:marBottom w:val="0"/>
      <w:divBdr>
        <w:top w:val="none" w:sz="0" w:space="0" w:color="auto"/>
        <w:left w:val="none" w:sz="0" w:space="0" w:color="auto"/>
        <w:bottom w:val="none" w:sz="0" w:space="0" w:color="auto"/>
        <w:right w:val="none" w:sz="0" w:space="0" w:color="auto"/>
      </w:divBdr>
    </w:div>
    <w:div w:id="212075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avnopravnost.gov.rs/izvestaji/" TargetMode="External"/><Relationship Id="rId2" Type="http://schemas.openxmlformats.org/officeDocument/2006/relationships/hyperlink" Target="https://pravno-informacioni-sistem.rs/eli/rep/sgrs/vlada/strategija/2020/44/1" TargetMode="External"/><Relationship Id="rId1" Type="http://schemas.openxmlformats.org/officeDocument/2006/relationships/hyperlink" Target="https://saps.rs/preuzimanja/Dostupnost%20banjskih%20usluga%20osobama%20sa%20invaliditetom%20u%20Republici%20Srbiji_2023.pdf" TargetMode="External"/><Relationship Id="rId4" Type="http://schemas.openxmlformats.org/officeDocument/2006/relationships/hyperlink" Target="https://ravnopravnost.gov.rs/izvestaj-o-percepciji-gradjana-i-gradjanki-o-diskriminaciji-u-srbi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BA496-7332-49A2-9257-A636FC0B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Dragica</dc:creator>
  <cp:lastModifiedBy>kmirjana</cp:lastModifiedBy>
  <cp:revision>2</cp:revision>
  <cp:lastPrinted>2024-12-18T13:26:00Z</cp:lastPrinted>
  <dcterms:created xsi:type="dcterms:W3CDTF">2024-12-18T14:19:00Z</dcterms:created>
  <dcterms:modified xsi:type="dcterms:W3CDTF">2024-12-18T14:19:00Z</dcterms:modified>
</cp:coreProperties>
</file>