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28"/>
        <w:gridCol w:w="938"/>
        <w:gridCol w:w="3948"/>
        <w:gridCol w:w="3778"/>
      </w:tblGrid>
      <w:tr w:rsidR="00CD4531" w:rsidRPr="00335FFB" w:rsidTr="005D5097">
        <w:tc>
          <w:tcPr>
            <w:tcW w:w="2339" w:type="dxa"/>
            <w:gridSpan w:val="3"/>
          </w:tcPr>
          <w:p w:rsidR="00CD4531" w:rsidRPr="007E6699" w:rsidRDefault="00CD4531" w:rsidP="000119EA">
            <w:pPr>
              <w:spacing w:after="0" w:line="240" w:lineRule="auto"/>
              <w:rPr>
                <w:lang w:val="en-US"/>
              </w:rPr>
            </w:pPr>
            <w:r>
              <w:rPr>
                <w:noProof/>
                <w:lang w:val="en-US"/>
              </w:rPr>
              <w:drawing>
                <wp:anchor distT="152400" distB="152400" distL="152400" distR="152400" simplePos="0" relativeHeight="251656192" behindDoc="0" locked="0" layoutInCell="1" allowOverlap="1">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w:t>
            </w:r>
          </w:p>
        </w:tc>
        <w:tc>
          <w:tcPr>
            <w:tcW w:w="3960" w:type="dxa"/>
          </w:tcPr>
          <w:p w:rsidR="00CD4531" w:rsidRPr="00335FFB" w:rsidRDefault="00CD4531" w:rsidP="000119EA">
            <w:pPr>
              <w:spacing w:after="0" w:line="240" w:lineRule="auto"/>
            </w:pPr>
          </w:p>
        </w:tc>
        <w:tc>
          <w:tcPr>
            <w:tcW w:w="3781" w:type="dxa"/>
          </w:tcPr>
          <w:p w:rsidR="00CD4531" w:rsidRPr="00335FFB" w:rsidRDefault="00CD4531" w:rsidP="000119EA">
            <w:pPr>
              <w:spacing w:after="0" w:line="240" w:lineRule="auto"/>
              <w:jc w:val="center"/>
            </w:pPr>
            <w:r>
              <w:rPr>
                <w:noProof/>
                <w:lang w:val="en-US"/>
              </w:rPr>
              <w:drawing>
                <wp:anchor distT="152400" distB="152400" distL="152400" distR="152400" simplePos="0" relativeHeight="251658240" behindDoc="0" locked="0" layoutInCell="1" allowOverlap="1">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5097" w:rsidRPr="00EC6D71" w:rsidTr="005D5097">
        <w:tc>
          <w:tcPr>
            <w:tcW w:w="388" w:type="dxa"/>
          </w:tcPr>
          <w:p w:rsidR="005D5097" w:rsidRPr="007D62F6" w:rsidRDefault="005D5097" w:rsidP="005D5097">
            <w:pPr>
              <w:spacing w:after="0" w:line="240" w:lineRule="auto"/>
              <w:rPr>
                <w:rFonts w:ascii="Arial" w:hAnsi="Arial" w:cs="Arial"/>
                <w:sz w:val="18"/>
                <w:szCs w:val="18"/>
              </w:rPr>
            </w:pPr>
          </w:p>
        </w:tc>
        <w:tc>
          <w:tcPr>
            <w:tcW w:w="1012" w:type="dxa"/>
            <w:noWrap/>
            <w:tcMar>
              <w:left w:w="0" w:type="dxa"/>
              <w:right w:w="0" w:type="dxa"/>
            </w:tcMar>
          </w:tcPr>
          <w:p w:rsidR="005D5097" w:rsidRPr="00EC6D71" w:rsidRDefault="005D5097" w:rsidP="005D5097">
            <w:pPr>
              <w:spacing w:after="0" w:line="240" w:lineRule="auto"/>
              <w:jc w:val="center"/>
              <w:rPr>
                <w:rFonts w:ascii="Arial" w:hAnsi="Arial" w:cs="Arial"/>
                <w:sz w:val="18"/>
                <w:szCs w:val="18"/>
                <w:lang w:val="sr-Cyrl-RS"/>
              </w:rPr>
            </w:pPr>
            <w:r w:rsidRPr="00EC6D71">
              <w:rPr>
                <w:rFonts w:ascii="Arial" w:hAnsi="Arial" w:cs="Arial"/>
                <w:sz w:val="18"/>
                <w:szCs w:val="18"/>
                <w:lang w:val="sr-Cyrl-RS"/>
              </w:rPr>
              <w:t>ЕС</w:t>
            </w:r>
          </w:p>
          <w:p w:rsidR="005D5097" w:rsidRPr="00EC6D71" w:rsidRDefault="00EC6D71" w:rsidP="005D5097">
            <w:pPr>
              <w:spacing w:after="0" w:line="240" w:lineRule="auto"/>
              <w:jc w:val="center"/>
              <w:rPr>
                <w:rFonts w:ascii="Arial" w:hAnsi="Arial" w:cs="Arial"/>
                <w:sz w:val="18"/>
                <w:szCs w:val="18"/>
                <w:lang w:val="sr-Cyrl-RS"/>
              </w:rPr>
            </w:pPr>
            <w:r w:rsidRPr="00EC6D71">
              <w:rPr>
                <w:rFonts w:ascii="Arial" w:hAnsi="Arial" w:cs="Arial"/>
                <w:sz w:val="18"/>
                <w:szCs w:val="18"/>
                <w:lang w:val="sr-Latn-RS"/>
              </w:rPr>
              <w:t>710</w:t>
            </w:r>
            <w:r w:rsidR="005D5097" w:rsidRPr="00EC6D71">
              <w:rPr>
                <w:rFonts w:ascii="Arial" w:hAnsi="Arial" w:cs="Arial"/>
                <w:sz w:val="18"/>
                <w:szCs w:val="18"/>
                <w:lang w:val="sr-Cyrl-RS"/>
              </w:rPr>
              <w:t>/24</w:t>
            </w:r>
          </w:p>
        </w:tc>
        <w:tc>
          <w:tcPr>
            <w:tcW w:w="939" w:type="dxa"/>
          </w:tcPr>
          <w:p w:rsidR="005D5097" w:rsidRPr="00EC6D71" w:rsidRDefault="005D5097" w:rsidP="005D5097">
            <w:pPr>
              <w:spacing w:after="0" w:line="240" w:lineRule="auto"/>
              <w:rPr>
                <w:rFonts w:ascii="Arial" w:hAnsi="Arial" w:cs="Arial"/>
                <w:sz w:val="18"/>
                <w:szCs w:val="18"/>
              </w:rPr>
            </w:pPr>
          </w:p>
        </w:tc>
        <w:tc>
          <w:tcPr>
            <w:tcW w:w="3960" w:type="dxa"/>
          </w:tcPr>
          <w:p w:rsidR="005D5097" w:rsidRPr="00EC6D71" w:rsidRDefault="005D5097" w:rsidP="005D5097">
            <w:pPr>
              <w:spacing w:after="0" w:line="240" w:lineRule="auto"/>
              <w:rPr>
                <w:sz w:val="18"/>
                <w:szCs w:val="18"/>
              </w:rPr>
            </w:pPr>
          </w:p>
        </w:tc>
        <w:tc>
          <w:tcPr>
            <w:tcW w:w="3781" w:type="dxa"/>
          </w:tcPr>
          <w:p w:rsidR="005D5097" w:rsidRPr="00EC6D71" w:rsidRDefault="005D5097" w:rsidP="005D5097">
            <w:pPr>
              <w:spacing w:after="0" w:line="240" w:lineRule="auto"/>
              <w:jc w:val="center"/>
              <w:rPr>
                <w:sz w:val="18"/>
                <w:szCs w:val="18"/>
              </w:rPr>
            </w:pPr>
          </w:p>
        </w:tc>
      </w:tr>
    </w:tbl>
    <w:p w:rsidR="00CD4531" w:rsidRPr="005071DE" w:rsidRDefault="005D5097" w:rsidP="00CD4531">
      <w:pPr>
        <w:spacing w:after="240" w:line="240" w:lineRule="auto"/>
        <w:mirrorIndents/>
        <w:jc w:val="both"/>
        <w:rPr>
          <w:rFonts w:ascii="Arial" w:eastAsia="ヒラギノ角ゴ Pro W3" w:hAnsi="Arial" w:cs="Arial"/>
          <w:color w:val="000000"/>
          <w:lang w:val="sr-Cyrl-RS" w:eastAsia="sr-Cyrl-CS"/>
        </w:rPr>
      </w:pPr>
      <w:r w:rsidRPr="00EC6D71">
        <w:rPr>
          <w:rFonts w:ascii="Arial" w:hAnsi="Arial"/>
          <w:spacing w:val="-1"/>
          <w:sz w:val="18"/>
          <w:szCs w:val="18"/>
        </w:rPr>
        <w:t xml:space="preserve">бр. </w:t>
      </w:r>
      <w:r w:rsidRPr="00EC6D71">
        <w:rPr>
          <w:rFonts w:ascii="Arial" w:hAnsi="Arial"/>
          <w:spacing w:val="-1"/>
          <w:sz w:val="18"/>
          <w:szCs w:val="18"/>
          <w:lang w:val="sr-Cyrl-RS"/>
        </w:rPr>
        <w:t>011-00-000</w:t>
      </w:r>
      <w:r w:rsidR="00EC6D71" w:rsidRPr="00EC6D71">
        <w:rPr>
          <w:rFonts w:ascii="Arial" w:hAnsi="Arial"/>
          <w:spacing w:val="-1"/>
          <w:sz w:val="18"/>
          <w:szCs w:val="18"/>
          <w:lang w:val="sr-Latn-RS"/>
        </w:rPr>
        <w:t>3</w:t>
      </w:r>
      <w:r w:rsidRPr="00EC6D71">
        <w:rPr>
          <w:rFonts w:ascii="Arial" w:hAnsi="Arial"/>
          <w:spacing w:val="-1"/>
          <w:sz w:val="18"/>
          <w:szCs w:val="18"/>
          <w:lang w:val="sr-Cyrl-RS"/>
        </w:rPr>
        <w:t xml:space="preserve">3/2024-02   </w:t>
      </w:r>
      <w:r w:rsidRPr="00EC6D71">
        <w:rPr>
          <w:rFonts w:ascii="Arial" w:hAnsi="Arial"/>
          <w:spacing w:val="-1"/>
          <w:sz w:val="18"/>
          <w:szCs w:val="18"/>
        </w:rPr>
        <w:t xml:space="preserve">датум:  </w:t>
      </w:r>
      <w:r w:rsidR="00EC6D71" w:rsidRPr="00EC6D71">
        <w:rPr>
          <w:rFonts w:ascii="Arial" w:hAnsi="Arial"/>
          <w:spacing w:val="-1"/>
          <w:sz w:val="18"/>
          <w:szCs w:val="18"/>
          <w:lang w:val="sr-Latn-RS"/>
        </w:rPr>
        <w:t>2</w:t>
      </w:r>
      <w:r w:rsidRPr="00EC6D71">
        <w:rPr>
          <w:rFonts w:ascii="Arial" w:hAnsi="Arial"/>
          <w:spacing w:val="-1"/>
          <w:sz w:val="18"/>
          <w:szCs w:val="18"/>
          <w:lang w:val="sr-Cyrl-RS"/>
        </w:rPr>
        <w:t>9.</w:t>
      </w:r>
      <w:r w:rsidR="00EC6D71" w:rsidRPr="00EC6D71">
        <w:rPr>
          <w:rFonts w:ascii="Arial" w:hAnsi="Arial"/>
          <w:spacing w:val="-1"/>
          <w:sz w:val="18"/>
          <w:szCs w:val="18"/>
          <w:lang w:val="sr-Latn-RS"/>
        </w:rPr>
        <w:t>10</w:t>
      </w:r>
      <w:r w:rsidRPr="00EC6D71">
        <w:rPr>
          <w:rFonts w:ascii="Arial" w:hAnsi="Arial"/>
          <w:spacing w:val="-1"/>
          <w:sz w:val="18"/>
          <w:szCs w:val="18"/>
          <w:lang w:val="sr-Cyrl-RS"/>
        </w:rPr>
        <w:t>.2024</w:t>
      </w:r>
    </w:p>
    <w:p w:rsidR="00696B90" w:rsidRDefault="00CD4531" w:rsidP="005B79CB">
      <w:pPr>
        <w:spacing w:after="240" w:line="240" w:lineRule="auto"/>
        <w:mirrorIndents/>
        <w:jc w:val="both"/>
        <w:rPr>
          <w:rFonts w:ascii="Arial" w:hAnsi="Arial" w:cs="Arial"/>
          <w:b/>
        </w:rPr>
      </w:pPr>
      <w:r w:rsidRPr="005071DE">
        <w:rPr>
          <w:rFonts w:ascii="Arial" w:eastAsia="ヒラギノ角ゴ Pro W3" w:hAnsi="Arial" w:cs="Arial"/>
          <w:color w:val="000000"/>
          <w:lang w:val="sr-Cyrl-RS" w:eastAsia="sr-Cyrl-CS"/>
        </w:rPr>
        <w:t>Поступајући у оквиру законом прописане надлежности</w:t>
      </w:r>
      <w:r w:rsidRPr="005071DE">
        <w:rPr>
          <w:rStyle w:val="FootnoteReference"/>
          <w:rFonts w:ascii="Arial" w:eastAsia="ヒラギノ角ゴ Pro W3" w:hAnsi="Arial" w:cs="Arial"/>
          <w:color w:val="000000"/>
          <w:lang w:val="sr-Cyrl-RS" w:eastAsia="sr-Cyrl-CS"/>
        </w:rPr>
        <w:footnoteReference w:id="1"/>
      </w:r>
      <w:r w:rsidRPr="005071DE">
        <w:rPr>
          <w:rFonts w:ascii="Arial" w:eastAsia="ヒラギノ角ゴ Pro W3" w:hAnsi="Arial" w:cs="Arial"/>
          <w:color w:val="000000"/>
          <w:lang w:val="sr-Cyrl-RS" w:eastAsia="sr-Cyrl-CS"/>
        </w:rPr>
        <w:t>, Поверени</w:t>
      </w:r>
      <w:r w:rsidRPr="005071DE">
        <w:rPr>
          <w:rFonts w:ascii="Arial" w:eastAsia="ヒラギノ角ゴ Pro W3" w:hAnsi="Arial" w:cs="Arial"/>
          <w:color w:val="000000"/>
          <w:lang w:eastAsia="sr-Cyrl-CS"/>
        </w:rPr>
        <w:t>к</w:t>
      </w:r>
      <w:r w:rsidRPr="005071DE">
        <w:rPr>
          <w:rFonts w:ascii="Arial" w:eastAsia="ヒラギノ角ゴ Pro W3" w:hAnsi="Arial" w:cs="Arial"/>
          <w:color w:val="000000"/>
          <w:lang w:val="sr-Cyrl-RS" w:eastAsia="sr-Cyrl-CS"/>
        </w:rPr>
        <w:t xml:space="preserve"> за заштиту равноправности,  дај</w:t>
      </w:r>
    </w:p>
    <w:p w:rsidR="00CD4531" w:rsidRPr="005071DE" w:rsidRDefault="00CD4531" w:rsidP="00CD4531">
      <w:pPr>
        <w:pStyle w:val="Body"/>
        <w:tabs>
          <w:tab w:val="left" w:pos="9072"/>
        </w:tabs>
        <w:spacing w:after="120"/>
        <w:jc w:val="center"/>
        <w:rPr>
          <w:rFonts w:ascii="Arial" w:hAnsi="Arial" w:cs="Arial"/>
          <w:b/>
          <w:sz w:val="22"/>
          <w:szCs w:val="22"/>
        </w:rPr>
      </w:pPr>
      <w:r w:rsidRPr="005071DE">
        <w:rPr>
          <w:rFonts w:ascii="Arial" w:hAnsi="Arial" w:cs="Arial"/>
          <w:b/>
          <w:sz w:val="22"/>
          <w:szCs w:val="22"/>
        </w:rPr>
        <w:t>МИШЉЕЊЕ</w:t>
      </w:r>
    </w:p>
    <w:p w:rsidR="00CD4531" w:rsidRPr="005071DE" w:rsidRDefault="00CD4531" w:rsidP="00CD4531">
      <w:pPr>
        <w:pStyle w:val="Body"/>
        <w:tabs>
          <w:tab w:val="left" w:pos="9072"/>
        </w:tabs>
        <w:spacing w:after="120"/>
        <w:jc w:val="center"/>
        <w:rPr>
          <w:rFonts w:ascii="Arial" w:hAnsi="Arial" w:cs="Arial"/>
          <w:b/>
          <w:sz w:val="22"/>
          <w:szCs w:val="22"/>
          <w:lang w:val="sr-Cyrl-CS"/>
        </w:rPr>
      </w:pPr>
      <w:r>
        <w:rPr>
          <w:rFonts w:ascii="Arial" w:hAnsi="Arial" w:cs="Arial"/>
          <w:b/>
          <w:sz w:val="22"/>
          <w:szCs w:val="22"/>
          <w:lang w:val="sr-Cyrl-CS"/>
        </w:rPr>
        <w:t xml:space="preserve">      </w:t>
      </w:r>
      <w:r w:rsidRPr="005071DE">
        <w:rPr>
          <w:rFonts w:ascii="Arial" w:hAnsi="Arial" w:cs="Arial"/>
          <w:b/>
          <w:sz w:val="22"/>
          <w:szCs w:val="22"/>
          <w:lang w:val="sr-Cyrl-CS"/>
        </w:rPr>
        <w:t xml:space="preserve">на Нацрт Закона о </w:t>
      </w:r>
      <w:r w:rsidR="00315FC1">
        <w:rPr>
          <w:rFonts w:ascii="Arial" w:hAnsi="Arial" w:cs="Arial"/>
          <w:b/>
          <w:sz w:val="22"/>
          <w:szCs w:val="22"/>
          <w:lang w:val="sr-Cyrl-CS"/>
        </w:rPr>
        <w:t>изменама и допунама Закона о пореском поступку и пореској администрацији</w:t>
      </w:r>
    </w:p>
    <w:p w:rsidR="00CD4531" w:rsidRPr="005071DE" w:rsidRDefault="00CD4531" w:rsidP="00CD4531">
      <w:pPr>
        <w:pStyle w:val="Body"/>
        <w:tabs>
          <w:tab w:val="left" w:pos="9072"/>
        </w:tabs>
        <w:spacing w:after="120"/>
        <w:rPr>
          <w:rFonts w:ascii="Arial" w:hAnsi="Arial" w:cs="Arial"/>
          <w:b/>
          <w:sz w:val="22"/>
          <w:szCs w:val="22"/>
          <w:lang w:val="sr-Cyrl-CS"/>
        </w:rPr>
      </w:pPr>
    </w:p>
    <w:p w:rsidR="00464152" w:rsidRDefault="005B79CB" w:rsidP="005D5097">
      <w:pPr>
        <w:pStyle w:val="Body"/>
        <w:tabs>
          <w:tab w:val="left" w:pos="9072"/>
        </w:tabs>
        <w:spacing w:after="120"/>
        <w:jc w:val="both"/>
        <w:rPr>
          <w:rFonts w:ascii="Arial" w:hAnsi="Arial" w:cs="Arial"/>
          <w:sz w:val="22"/>
          <w:szCs w:val="22"/>
          <w:lang w:val="sr-Cyrl-RS"/>
        </w:rPr>
      </w:pPr>
      <w:r>
        <w:rPr>
          <w:rFonts w:ascii="Arial" w:hAnsi="Arial" w:cs="Arial"/>
          <w:sz w:val="22"/>
          <w:szCs w:val="22"/>
          <w:lang w:val="sr-Cyrl-RS"/>
        </w:rPr>
        <w:t>Министарство</w:t>
      </w:r>
      <w:r w:rsidR="005D5097" w:rsidRPr="007D62F6">
        <w:rPr>
          <w:rFonts w:ascii="Arial" w:hAnsi="Arial" w:cs="Arial"/>
          <w:sz w:val="22"/>
          <w:szCs w:val="22"/>
        </w:rPr>
        <w:t xml:space="preserve"> </w:t>
      </w:r>
      <w:r w:rsidR="00464152">
        <w:rPr>
          <w:rFonts w:ascii="Arial" w:hAnsi="Arial" w:cs="Arial"/>
          <w:sz w:val="22"/>
          <w:szCs w:val="22"/>
          <w:lang w:val="sr-Cyrl-RS"/>
        </w:rPr>
        <w:t>финасија је доставило Поверенику за заштиту равноправности,</w:t>
      </w:r>
      <w:r w:rsidR="00BB71C9">
        <w:rPr>
          <w:rFonts w:ascii="Arial" w:hAnsi="Arial" w:cs="Arial"/>
          <w:sz w:val="22"/>
          <w:szCs w:val="22"/>
          <w:lang w:val="sr-Latn-RS"/>
        </w:rPr>
        <w:t xml:space="preserve"> </w:t>
      </w:r>
      <w:r w:rsidR="00BB71C9">
        <w:rPr>
          <w:rFonts w:ascii="Arial" w:hAnsi="Arial" w:cs="Arial"/>
          <w:sz w:val="22"/>
          <w:szCs w:val="22"/>
          <w:lang w:val="sr-Cyrl-RS"/>
        </w:rPr>
        <w:t>путем</w:t>
      </w:r>
      <w:r w:rsidR="00BB71C9">
        <w:rPr>
          <w:rFonts w:ascii="Arial" w:hAnsi="Arial" w:cs="Arial"/>
          <w:sz w:val="22"/>
          <w:szCs w:val="22"/>
          <w:lang w:val="sr-Latn-RS"/>
        </w:rPr>
        <w:t xml:space="preserve"> </w:t>
      </w:r>
      <w:r w:rsidR="00464152">
        <w:rPr>
          <w:rFonts w:ascii="Arial" w:hAnsi="Arial" w:cs="Arial"/>
          <w:sz w:val="22"/>
          <w:szCs w:val="22"/>
          <w:lang w:val="sr-Cyrl-RS"/>
        </w:rPr>
        <w:t xml:space="preserve"> електро</w:t>
      </w:r>
      <w:r>
        <w:rPr>
          <w:rFonts w:ascii="Arial" w:hAnsi="Arial" w:cs="Arial"/>
          <w:sz w:val="22"/>
          <w:szCs w:val="22"/>
          <w:lang w:val="sr-Cyrl-RS"/>
        </w:rPr>
        <w:t>нск</w:t>
      </w:r>
      <w:r w:rsidR="00BB71C9">
        <w:rPr>
          <w:rFonts w:ascii="Arial" w:hAnsi="Arial" w:cs="Arial"/>
          <w:sz w:val="22"/>
          <w:szCs w:val="22"/>
          <w:lang w:val="sr-Cyrl-RS"/>
        </w:rPr>
        <w:t>е</w:t>
      </w:r>
      <w:r>
        <w:rPr>
          <w:rFonts w:ascii="Arial" w:hAnsi="Arial" w:cs="Arial"/>
          <w:sz w:val="22"/>
          <w:szCs w:val="22"/>
          <w:lang w:val="sr-Cyrl-RS"/>
        </w:rPr>
        <w:t xml:space="preserve"> пошт</w:t>
      </w:r>
      <w:r w:rsidR="00BB71C9">
        <w:rPr>
          <w:rFonts w:ascii="Arial" w:hAnsi="Arial" w:cs="Arial"/>
          <w:sz w:val="22"/>
          <w:szCs w:val="22"/>
          <w:lang w:val="sr-Cyrl-RS"/>
        </w:rPr>
        <w:t>е</w:t>
      </w:r>
      <w:r w:rsidR="00464152">
        <w:rPr>
          <w:rFonts w:ascii="Arial" w:hAnsi="Arial" w:cs="Arial"/>
          <w:sz w:val="22"/>
          <w:szCs w:val="22"/>
          <w:lang w:val="sr-Cyrl-RS"/>
        </w:rPr>
        <w:t xml:space="preserve"> Нацрт закона о изменама и допунама Закона о пореском постуку и пореској администрацији (у даљем тексту: Нацрт закона), са пропратним материјалом</w:t>
      </w:r>
      <w:r>
        <w:rPr>
          <w:rFonts w:ascii="Arial" w:hAnsi="Arial" w:cs="Arial"/>
          <w:sz w:val="22"/>
          <w:szCs w:val="22"/>
        </w:rPr>
        <w:t xml:space="preserve">. </w:t>
      </w:r>
      <w:r>
        <w:rPr>
          <w:rFonts w:ascii="Arial" w:hAnsi="Arial" w:cs="Arial"/>
          <w:sz w:val="22"/>
          <w:szCs w:val="22"/>
          <w:lang w:val="sr-Cyrl-RS"/>
        </w:rPr>
        <w:t>С обзиром да се у</w:t>
      </w:r>
      <w:r w:rsidR="00464152">
        <w:rPr>
          <w:rFonts w:ascii="Arial" w:hAnsi="Arial" w:cs="Arial"/>
          <w:sz w:val="22"/>
          <w:szCs w:val="22"/>
          <w:lang w:val="sr-Cyrl-RS"/>
        </w:rPr>
        <w:t xml:space="preserve"> </w:t>
      </w:r>
      <w:r>
        <w:rPr>
          <w:rFonts w:ascii="Arial" w:hAnsi="Arial" w:cs="Arial"/>
          <w:sz w:val="22"/>
          <w:szCs w:val="22"/>
          <w:lang w:val="sr-Cyrl-RS"/>
        </w:rPr>
        <w:t xml:space="preserve">прилогу мејла </w:t>
      </w:r>
      <w:r w:rsidR="00464152">
        <w:rPr>
          <w:rFonts w:ascii="Arial" w:hAnsi="Arial" w:cs="Arial"/>
          <w:sz w:val="22"/>
          <w:szCs w:val="22"/>
          <w:lang w:val="sr-Cyrl-RS"/>
        </w:rPr>
        <w:t xml:space="preserve">не налази </w:t>
      </w:r>
      <w:r>
        <w:rPr>
          <w:rFonts w:ascii="Arial" w:hAnsi="Arial" w:cs="Arial"/>
          <w:sz w:val="22"/>
          <w:szCs w:val="22"/>
          <w:lang w:val="sr-Cyrl-RS"/>
        </w:rPr>
        <w:t xml:space="preserve">пропратни </w:t>
      </w:r>
      <w:r w:rsidR="00464152">
        <w:rPr>
          <w:rFonts w:ascii="Arial" w:hAnsi="Arial" w:cs="Arial"/>
          <w:sz w:val="22"/>
          <w:szCs w:val="22"/>
          <w:lang w:val="sr-Cyrl-RS"/>
        </w:rPr>
        <w:t xml:space="preserve">допис упућен Поверенику за заштиту равноправности, </w:t>
      </w:r>
      <w:r>
        <w:rPr>
          <w:rFonts w:ascii="Arial" w:hAnsi="Arial" w:cs="Arial"/>
          <w:sz w:val="22"/>
          <w:szCs w:val="22"/>
          <w:lang w:val="sr-Cyrl-RS"/>
        </w:rPr>
        <w:t xml:space="preserve">нисмо у могућности да у мишљењу наведемо </w:t>
      </w:r>
      <w:r w:rsidR="00464152">
        <w:rPr>
          <w:rFonts w:ascii="Arial" w:hAnsi="Arial" w:cs="Arial"/>
          <w:sz w:val="22"/>
          <w:szCs w:val="22"/>
          <w:lang w:val="sr-Cyrl-RS"/>
        </w:rPr>
        <w:t>поз</w:t>
      </w:r>
      <w:r>
        <w:rPr>
          <w:rFonts w:ascii="Arial" w:hAnsi="Arial" w:cs="Arial"/>
          <w:sz w:val="22"/>
          <w:szCs w:val="22"/>
          <w:lang w:val="sr-Cyrl-RS"/>
        </w:rPr>
        <w:t>ив</w:t>
      </w:r>
      <w:r w:rsidR="00464152">
        <w:rPr>
          <w:rFonts w:ascii="Arial" w:hAnsi="Arial" w:cs="Arial"/>
          <w:sz w:val="22"/>
          <w:szCs w:val="22"/>
          <w:lang w:val="sr-Cyrl-RS"/>
        </w:rPr>
        <w:t xml:space="preserve"> на број </w:t>
      </w:r>
      <w:r>
        <w:rPr>
          <w:rFonts w:ascii="Arial" w:hAnsi="Arial" w:cs="Arial"/>
          <w:sz w:val="22"/>
          <w:szCs w:val="22"/>
          <w:lang w:val="sr-Cyrl-RS"/>
        </w:rPr>
        <w:t xml:space="preserve">акта у прилогу којег је достављен текст Нацрта закона на мишљење. </w:t>
      </w:r>
      <w:r w:rsidR="00464152">
        <w:rPr>
          <w:rFonts w:ascii="Arial" w:hAnsi="Arial" w:cs="Arial"/>
          <w:sz w:val="22"/>
          <w:szCs w:val="22"/>
          <w:lang w:val="sr-Cyrl-RS"/>
        </w:rPr>
        <w:t xml:space="preserve"> </w:t>
      </w:r>
    </w:p>
    <w:p w:rsidR="005B79CB" w:rsidRDefault="005B79CB" w:rsidP="00464152">
      <w:pPr>
        <w:pStyle w:val="Body"/>
        <w:spacing w:line="276" w:lineRule="auto"/>
        <w:jc w:val="both"/>
        <w:rPr>
          <w:rFonts w:ascii="Arial" w:hAnsi="Arial" w:cs="Arial"/>
          <w:sz w:val="22"/>
          <w:szCs w:val="22"/>
          <w:lang w:val="sr-Cyrl-RS"/>
        </w:rPr>
      </w:pPr>
      <w:r>
        <w:rPr>
          <w:rFonts w:ascii="Arial" w:hAnsi="Arial" w:cs="Arial"/>
          <w:sz w:val="22"/>
          <w:szCs w:val="22"/>
          <w:lang w:val="sr-Cyrl-RS"/>
        </w:rPr>
        <w:t>Разматрајући текст Нацрта закона са аспекта надлежности Повереника, дајемо следеће мишљење.</w:t>
      </w:r>
    </w:p>
    <w:p w:rsidR="005B79CB" w:rsidRDefault="005B79CB" w:rsidP="00464152">
      <w:pPr>
        <w:pStyle w:val="Body"/>
        <w:spacing w:line="276" w:lineRule="auto"/>
        <w:jc w:val="both"/>
        <w:rPr>
          <w:rFonts w:ascii="Arial" w:hAnsi="Arial" w:cs="Arial"/>
          <w:sz w:val="22"/>
          <w:szCs w:val="22"/>
          <w:lang w:val="sr-Cyrl-RS"/>
        </w:rPr>
      </w:pPr>
    </w:p>
    <w:p w:rsidR="005141A9" w:rsidRDefault="005B79CB" w:rsidP="00464152">
      <w:pPr>
        <w:pStyle w:val="Body"/>
        <w:spacing w:line="276" w:lineRule="auto"/>
        <w:jc w:val="both"/>
        <w:rPr>
          <w:rFonts w:ascii="Arial" w:hAnsi="Arial" w:cs="Arial"/>
          <w:sz w:val="22"/>
          <w:szCs w:val="22"/>
          <w:lang w:val="sr-Cyrl-RS"/>
        </w:rPr>
      </w:pPr>
      <w:r>
        <w:rPr>
          <w:rFonts w:ascii="Arial" w:hAnsi="Arial" w:cs="Arial"/>
          <w:sz w:val="22"/>
          <w:szCs w:val="22"/>
          <w:lang w:val="sr-Cyrl-RS"/>
        </w:rPr>
        <w:t>Повереник најпре констатује</w:t>
      </w:r>
      <w:r w:rsidR="002A5C2F">
        <w:rPr>
          <w:rFonts w:ascii="Arial" w:hAnsi="Arial" w:cs="Arial"/>
          <w:sz w:val="22"/>
          <w:szCs w:val="22"/>
          <w:lang w:val="sr-Cyrl-RS"/>
        </w:rPr>
        <w:t xml:space="preserve"> </w:t>
      </w:r>
      <w:r w:rsidR="00BB71C9">
        <w:rPr>
          <w:rFonts w:ascii="Arial" w:hAnsi="Arial" w:cs="Arial"/>
          <w:sz w:val="22"/>
          <w:szCs w:val="22"/>
          <w:lang w:val="sr-Cyrl-RS"/>
        </w:rPr>
        <w:t xml:space="preserve">да </w:t>
      </w:r>
      <w:r w:rsidR="002A5C2F">
        <w:rPr>
          <w:rFonts w:ascii="Arial" w:hAnsi="Arial" w:cs="Arial"/>
          <w:sz w:val="22"/>
          <w:szCs w:val="22"/>
          <w:lang w:val="sr-Cyrl-RS"/>
        </w:rPr>
        <w:t>се чланом 8. Нацрта закона после члана 28. додају чл. 28а, 28б, 28в, 28д, 28ђ</w:t>
      </w:r>
      <w:r w:rsidR="00BB71C9">
        <w:rPr>
          <w:rFonts w:ascii="Arial" w:hAnsi="Arial" w:cs="Arial"/>
          <w:sz w:val="22"/>
          <w:szCs w:val="22"/>
          <w:lang w:val="sr-Cyrl-RS"/>
        </w:rPr>
        <w:t>,, 28е и 28ж</w:t>
      </w:r>
      <w:r w:rsidR="00BB71C9" w:rsidRPr="00BB71C9">
        <w:rPr>
          <w:rFonts w:ascii="Arial" w:hAnsi="Arial" w:cs="Arial"/>
          <w:sz w:val="22"/>
          <w:szCs w:val="22"/>
          <w:lang w:val="sr-Cyrl-RS"/>
        </w:rPr>
        <w:t xml:space="preserve"> којима се уређује е</w:t>
      </w:r>
      <w:r w:rsidR="002A5C2F" w:rsidRPr="00BB71C9">
        <w:rPr>
          <w:rFonts w:ascii="Arial" w:hAnsi="Arial" w:cs="Arial"/>
          <w:sz w:val="22"/>
          <w:szCs w:val="22"/>
          <w:lang w:val="sr-Cyrl-RS"/>
        </w:rPr>
        <w:t xml:space="preserve">виденција физичких лица, циљ успостављања ове евиденције, сврха обраде података, садржина евиденције, надлежност за вођење евиденције, обрада података о личности, као и чување података. </w:t>
      </w:r>
    </w:p>
    <w:p w:rsidR="005141A9" w:rsidRDefault="005141A9" w:rsidP="00464152">
      <w:pPr>
        <w:pStyle w:val="Body"/>
        <w:spacing w:line="276" w:lineRule="auto"/>
        <w:jc w:val="both"/>
        <w:rPr>
          <w:rFonts w:ascii="Arial" w:hAnsi="Arial" w:cs="Arial"/>
          <w:sz w:val="22"/>
          <w:szCs w:val="22"/>
          <w:lang w:val="sr-Cyrl-RS"/>
        </w:rPr>
      </w:pPr>
    </w:p>
    <w:p w:rsidR="005141A9" w:rsidRDefault="00BB71C9" w:rsidP="00464152">
      <w:pPr>
        <w:pStyle w:val="Body"/>
        <w:spacing w:line="276" w:lineRule="auto"/>
        <w:jc w:val="both"/>
        <w:rPr>
          <w:rFonts w:ascii="Arial" w:hAnsi="Arial" w:cs="Arial"/>
          <w:sz w:val="22"/>
          <w:szCs w:val="22"/>
          <w:lang w:val="sr-Cyrl-RS"/>
        </w:rPr>
      </w:pPr>
      <w:r w:rsidRPr="00BB71C9">
        <w:rPr>
          <w:rFonts w:ascii="Arial" w:hAnsi="Arial" w:cs="Arial"/>
          <w:sz w:val="22"/>
          <w:szCs w:val="22"/>
          <w:lang w:val="sr-Cyrl-RS"/>
        </w:rPr>
        <w:t>Такође,</w:t>
      </w:r>
      <w:r w:rsidR="001734E6" w:rsidRPr="00BB71C9">
        <w:rPr>
          <w:rFonts w:ascii="Arial" w:hAnsi="Arial" w:cs="Arial"/>
          <w:sz w:val="22"/>
          <w:szCs w:val="22"/>
          <w:lang w:val="sr-Cyrl-RS"/>
        </w:rPr>
        <w:t xml:space="preserve"> одредб</w:t>
      </w:r>
      <w:r w:rsidRPr="00BB71C9">
        <w:rPr>
          <w:rFonts w:ascii="Arial" w:hAnsi="Arial" w:cs="Arial"/>
          <w:sz w:val="22"/>
          <w:szCs w:val="22"/>
          <w:lang w:val="sr-Cyrl-RS"/>
        </w:rPr>
        <w:t>ом</w:t>
      </w:r>
      <w:r w:rsidR="001734E6" w:rsidRPr="00BB71C9">
        <w:rPr>
          <w:rFonts w:ascii="Arial" w:hAnsi="Arial" w:cs="Arial"/>
          <w:sz w:val="22"/>
          <w:szCs w:val="22"/>
          <w:lang w:val="sr-Cyrl-RS"/>
        </w:rPr>
        <w:t xml:space="preserve"> </w:t>
      </w:r>
      <w:r w:rsidR="00696B90" w:rsidRPr="00BB71C9">
        <w:rPr>
          <w:rFonts w:ascii="Arial" w:hAnsi="Arial" w:cs="Arial"/>
          <w:sz w:val="22"/>
          <w:szCs w:val="22"/>
          <w:lang w:val="sr-Cyrl-RS"/>
        </w:rPr>
        <w:t>члан</w:t>
      </w:r>
      <w:r w:rsidR="001734E6" w:rsidRPr="00BB71C9">
        <w:rPr>
          <w:rFonts w:ascii="Arial" w:hAnsi="Arial" w:cs="Arial"/>
          <w:sz w:val="22"/>
          <w:szCs w:val="22"/>
          <w:lang w:val="sr-Cyrl-RS"/>
        </w:rPr>
        <w:t>а</w:t>
      </w:r>
      <w:r w:rsidR="00696B90" w:rsidRPr="00BB71C9">
        <w:rPr>
          <w:rFonts w:ascii="Arial" w:hAnsi="Arial" w:cs="Arial"/>
          <w:sz w:val="22"/>
          <w:szCs w:val="22"/>
          <w:lang w:val="sr-Cyrl-RS"/>
        </w:rPr>
        <w:t xml:space="preserve"> 157б. Нацрта закона </w:t>
      </w:r>
      <w:r w:rsidR="001734E6" w:rsidRPr="00BB71C9">
        <w:rPr>
          <w:rFonts w:ascii="Arial" w:hAnsi="Arial" w:cs="Arial"/>
          <w:sz w:val="22"/>
          <w:szCs w:val="22"/>
          <w:lang w:val="sr-Cyrl-RS"/>
        </w:rPr>
        <w:t>је прописано да</w:t>
      </w:r>
      <w:r w:rsidR="00696B90" w:rsidRPr="00BB71C9">
        <w:rPr>
          <w:rFonts w:ascii="Arial" w:hAnsi="Arial" w:cs="Arial"/>
          <w:sz w:val="22"/>
          <w:szCs w:val="22"/>
          <w:lang w:val="sr-Cyrl-RS"/>
        </w:rPr>
        <w:t xml:space="preserve"> </w:t>
      </w:r>
      <w:r w:rsidRPr="00BB71C9">
        <w:rPr>
          <w:rFonts w:ascii="Arial" w:hAnsi="Arial" w:cs="Arial"/>
          <w:sz w:val="22"/>
          <w:szCs w:val="22"/>
          <w:lang w:val="sr-Cyrl-RS"/>
        </w:rPr>
        <w:t>„</w:t>
      </w:r>
      <w:r w:rsidR="00696B90" w:rsidRPr="00BB71C9">
        <w:rPr>
          <w:rFonts w:ascii="Arial" w:hAnsi="Arial" w:cs="Arial"/>
          <w:i/>
          <w:sz w:val="22"/>
          <w:szCs w:val="22"/>
          <w:lang w:val="sr-Cyrl-RS"/>
        </w:rPr>
        <w:t>пореска управа није дужна да физичком лицу пружи информације у вези прикупљања података о личности које се односе на то лице када се подаци о њему прикупљају за потребе међународне размене инфо</w:t>
      </w:r>
      <w:r w:rsidR="005141A9">
        <w:rPr>
          <w:rFonts w:ascii="Arial" w:hAnsi="Arial" w:cs="Arial"/>
          <w:i/>
          <w:sz w:val="22"/>
          <w:szCs w:val="22"/>
          <w:lang w:val="sr-Cyrl-RS"/>
        </w:rPr>
        <w:t>рм</w:t>
      </w:r>
      <w:r w:rsidR="00696B90" w:rsidRPr="00BB71C9">
        <w:rPr>
          <w:rFonts w:ascii="Arial" w:hAnsi="Arial" w:cs="Arial"/>
          <w:i/>
          <w:sz w:val="22"/>
          <w:szCs w:val="22"/>
          <w:lang w:val="sr-Cyrl-RS"/>
        </w:rPr>
        <w:t>ације у пореске сврхе непосредно од тог лица, као и у случају прибављања истих од трећих лица, а у циљу примене межунарондих пореских уговора</w:t>
      </w:r>
      <w:r w:rsidRPr="00BB71C9">
        <w:rPr>
          <w:rFonts w:ascii="Arial" w:hAnsi="Arial" w:cs="Arial"/>
          <w:i/>
          <w:sz w:val="22"/>
          <w:szCs w:val="22"/>
          <w:lang w:val="sr-Cyrl-RS"/>
        </w:rPr>
        <w:t>“</w:t>
      </w:r>
      <w:r w:rsidR="00696B90" w:rsidRPr="00BB71C9">
        <w:rPr>
          <w:rFonts w:ascii="Arial" w:hAnsi="Arial" w:cs="Arial"/>
          <w:sz w:val="22"/>
          <w:szCs w:val="22"/>
          <w:lang w:val="sr-Cyrl-RS"/>
        </w:rPr>
        <w:t xml:space="preserve">. </w:t>
      </w:r>
    </w:p>
    <w:p w:rsidR="005141A9" w:rsidRDefault="005141A9" w:rsidP="00464152">
      <w:pPr>
        <w:pStyle w:val="Body"/>
        <w:spacing w:line="276" w:lineRule="auto"/>
        <w:jc w:val="both"/>
        <w:rPr>
          <w:rFonts w:ascii="Arial" w:hAnsi="Arial" w:cs="Arial"/>
          <w:sz w:val="22"/>
          <w:szCs w:val="22"/>
          <w:lang w:val="sr-Cyrl-RS"/>
        </w:rPr>
      </w:pPr>
    </w:p>
    <w:p w:rsidR="00D80F81" w:rsidRDefault="00BB71C9" w:rsidP="00464152">
      <w:pPr>
        <w:pStyle w:val="Body"/>
        <w:spacing w:line="276" w:lineRule="auto"/>
        <w:jc w:val="both"/>
        <w:rPr>
          <w:rFonts w:ascii="Arial" w:hAnsi="Arial" w:cs="Arial"/>
          <w:sz w:val="22"/>
          <w:szCs w:val="22"/>
          <w:lang w:val="sr-Cyrl-RS"/>
        </w:rPr>
      </w:pPr>
      <w:r w:rsidRPr="00BB71C9">
        <w:rPr>
          <w:rFonts w:ascii="Arial" w:hAnsi="Arial" w:cs="Arial"/>
          <w:sz w:val="22"/>
          <w:szCs w:val="22"/>
          <w:lang w:val="sr-Cyrl-RS"/>
        </w:rPr>
        <w:t>Имајући у виду да је Нацртом закона предвиђено прикупљање великог броја личних података,</w:t>
      </w:r>
      <w:r>
        <w:rPr>
          <w:rFonts w:ascii="Arial" w:hAnsi="Arial" w:cs="Arial"/>
          <w:sz w:val="22"/>
          <w:szCs w:val="22"/>
          <w:lang w:val="sr-Cyrl-RS"/>
        </w:rPr>
        <w:t xml:space="preserve"> као и да су Нацртом закона прописане обавезе органа у вези са овом обрадом</w:t>
      </w:r>
      <w:r w:rsidR="005141A9">
        <w:rPr>
          <w:rFonts w:ascii="Arial" w:hAnsi="Arial" w:cs="Arial"/>
          <w:sz w:val="22"/>
          <w:szCs w:val="22"/>
          <w:lang w:val="sr-Cyrl-RS"/>
        </w:rPr>
        <w:t>,</w:t>
      </w:r>
      <w:r w:rsidRPr="00BB71C9">
        <w:rPr>
          <w:rFonts w:ascii="Arial" w:hAnsi="Arial" w:cs="Arial"/>
          <w:sz w:val="22"/>
          <w:szCs w:val="22"/>
          <w:lang w:val="sr-Cyrl-RS"/>
        </w:rPr>
        <w:t xml:space="preserve"> </w:t>
      </w:r>
      <w:r w:rsidR="00D80F81">
        <w:rPr>
          <w:rFonts w:ascii="Arial" w:hAnsi="Arial" w:cs="Arial"/>
          <w:sz w:val="22"/>
          <w:szCs w:val="22"/>
          <w:lang w:val="sr-Cyrl-RS"/>
        </w:rPr>
        <w:t xml:space="preserve">мишљења смо </w:t>
      </w:r>
      <w:r w:rsidR="00D80F81">
        <w:rPr>
          <w:rFonts w:ascii="Arial" w:hAnsi="Arial" w:cs="Arial"/>
          <w:sz w:val="22"/>
          <w:szCs w:val="22"/>
          <w:lang w:val="sr-Cyrl-RS"/>
        </w:rPr>
        <w:t>да је потребно</w:t>
      </w:r>
      <w:r w:rsidR="00D80F81" w:rsidRPr="00BB71C9">
        <w:rPr>
          <w:rFonts w:ascii="Arial" w:hAnsi="Arial" w:cs="Arial"/>
          <w:sz w:val="22"/>
          <w:szCs w:val="22"/>
          <w:lang w:val="sr-Cyrl-RS"/>
        </w:rPr>
        <w:t xml:space="preserve"> још једном пажљиво преиспитати усаглашеност предложених измена са важећим стандардима који</w:t>
      </w:r>
      <w:r w:rsidR="00D80F81">
        <w:rPr>
          <w:rFonts w:ascii="Arial" w:hAnsi="Arial" w:cs="Arial"/>
          <w:sz w:val="22"/>
          <w:szCs w:val="22"/>
          <w:lang w:val="sr-Cyrl-RS"/>
        </w:rPr>
        <w:t>ма се штити право на приватност, а самим тим и на равноправност</w:t>
      </w:r>
      <w:r w:rsidR="00D80F81" w:rsidRPr="00BB71C9">
        <w:rPr>
          <w:rFonts w:ascii="Arial" w:hAnsi="Arial" w:cs="Arial"/>
          <w:sz w:val="22"/>
          <w:szCs w:val="22"/>
          <w:lang w:val="sr-Cyrl-RS"/>
        </w:rPr>
        <w:t>, као и право свакога да буде упознат са тим ко и на који начин располаже његовим/њеним подацима.</w:t>
      </w:r>
    </w:p>
    <w:p w:rsidR="00D80F81" w:rsidRDefault="00D80F81" w:rsidP="00464152">
      <w:pPr>
        <w:pStyle w:val="Body"/>
        <w:spacing w:line="276" w:lineRule="auto"/>
        <w:jc w:val="both"/>
        <w:rPr>
          <w:rFonts w:ascii="Arial" w:hAnsi="Arial" w:cs="Arial"/>
          <w:sz w:val="22"/>
          <w:szCs w:val="22"/>
          <w:lang w:val="sr-Cyrl-RS"/>
        </w:rPr>
      </w:pPr>
    </w:p>
    <w:p w:rsidR="00D80F81" w:rsidRDefault="00D80F81" w:rsidP="00464152">
      <w:pPr>
        <w:pStyle w:val="Body"/>
        <w:spacing w:line="276" w:lineRule="auto"/>
        <w:jc w:val="both"/>
        <w:rPr>
          <w:rFonts w:ascii="Arial" w:hAnsi="Arial" w:cs="Arial"/>
          <w:sz w:val="22"/>
          <w:szCs w:val="22"/>
          <w:lang w:val="sr-Cyrl-RS"/>
        </w:rPr>
      </w:pPr>
      <w:r>
        <w:rPr>
          <w:rFonts w:ascii="Arial" w:hAnsi="Arial" w:cs="Arial"/>
          <w:sz w:val="22"/>
          <w:szCs w:val="22"/>
          <w:lang w:val="sr-Cyrl-RS"/>
        </w:rPr>
        <w:t>Наиме, сматрамо да је додатан опрез неопходан јер се</w:t>
      </w:r>
      <w:r w:rsidR="005141A9">
        <w:rPr>
          <w:rFonts w:ascii="Arial" w:hAnsi="Arial" w:cs="Arial"/>
          <w:sz w:val="22"/>
          <w:szCs w:val="22"/>
          <w:lang w:val="sr-Cyrl-RS"/>
        </w:rPr>
        <w:t xml:space="preserve"> у </w:t>
      </w:r>
      <w:r w:rsidR="00BB71C9" w:rsidRPr="00BB71C9">
        <w:rPr>
          <w:rFonts w:ascii="Arial" w:hAnsi="Arial" w:cs="Arial"/>
          <w:sz w:val="22"/>
          <w:szCs w:val="22"/>
          <w:lang w:val="sr-Cyrl-RS"/>
        </w:rPr>
        <w:t>самој сржи начела равноправности</w:t>
      </w:r>
      <w:r w:rsidR="005141A9">
        <w:rPr>
          <w:rFonts w:ascii="Arial" w:hAnsi="Arial" w:cs="Arial"/>
          <w:sz w:val="22"/>
          <w:szCs w:val="22"/>
          <w:lang w:val="sr-Cyrl-RS"/>
        </w:rPr>
        <w:t xml:space="preserve"> налази</w:t>
      </w:r>
      <w:r w:rsidR="005141A9" w:rsidRPr="00BB71C9">
        <w:rPr>
          <w:rFonts w:ascii="Arial" w:hAnsi="Arial" w:cs="Arial"/>
          <w:sz w:val="22"/>
          <w:szCs w:val="22"/>
          <w:lang w:val="sr-Cyrl-RS"/>
        </w:rPr>
        <w:t xml:space="preserve"> право на приватност </w:t>
      </w:r>
      <w:r w:rsidR="005141A9">
        <w:rPr>
          <w:rFonts w:ascii="Arial" w:hAnsi="Arial" w:cs="Arial"/>
          <w:sz w:val="22"/>
          <w:szCs w:val="22"/>
          <w:lang w:val="sr-Cyrl-RS"/>
        </w:rPr>
        <w:t xml:space="preserve">и заштиту података о личности с обзиром да већина података који се прикупљају представљају уједно и основ дискриминације на основу ког је могуће одређено лице ставити у неоправдано неједнаки положај или га искључити из остваривања неког права. </w:t>
      </w:r>
    </w:p>
    <w:p w:rsidR="00D80F81" w:rsidRDefault="00D80F81" w:rsidP="00464152">
      <w:pPr>
        <w:pStyle w:val="Body"/>
        <w:spacing w:line="276" w:lineRule="auto"/>
        <w:jc w:val="both"/>
        <w:rPr>
          <w:rFonts w:ascii="Arial" w:hAnsi="Arial" w:cs="Arial"/>
          <w:sz w:val="22"/>
          <w:szCs w:val="22"/>
          <w:lang w:val="sr-Cyrl-RS"/>
        </w:rPr>
      </w:pPr>
    </w:p>
    <w:p w:rsidR="00D80F81" w:rsidRDefault="00D80F81" w:rsidP="00464152">
      <w:pPr>
        <w:pStyle w:val="Body"/>
        <w:spacing w:line="276" w:lineRule="auto"/>
        <w:jc w:val="both"/>
        <w:rPr>
          <w:rFonts w:ascii="Arial" w:hAnsi="Arial" w:cs="Arial"/>
          <w:sz w:val="22"/>
          <w:szCs w:val="22"/>
          <w:lang w:val="sr-Cyrl-RS"/>
        </w:rPr>
      </w:pPr>
    </w:p>
    <w:p w:rsidR="00696B90" w:rsidRPr="00BB71C9" w:rsidRDefault="00BB71C9" w:rsidP="00464152">
      <w:pPr>
        <w:pStyle w:val="Body"/>
        <w:spacing w:line="276" w:lineRule="auto"/>
        <w:jc w:val="both"/>
        <w:rPr>
          <w:rFonts w:ascii="Arial" w:hAnsi="Arial" w:cs="Arial"/>
          <w:sz w:val="22"/>
          <w:szCs w:val="22"/>
          <w:lang w:val="sr-Cyrl-RS"/>
        </w:rPr>
      </w:pPr>
      <w:r w:rsidRPr="00BB71C9">
        <w:rPr>
          <w:rFonts w:ascii="Arial" w:hAnsi="Arial" w:cs="Arial"/>
          <w:sz w:val="22"/>
          <w:szCs w:val="22"/>
          <w:lang w:val="sr-Cyrl-RS"/>
        </w:rPr>
        <w:t>Имајући у виду обимност података који се прикупљају</w:t>
      </w:r>
      <w:r w:rsidR="005141A9">
        <w:rPr>
          <w:rFonts w:ascii="Arial" w:hAnsi="Arial" w:cs="Arial"/>
          <w:sz w:val="22"/>
          <w:szCs w:val="22"/>
          <w:lang w:val="sr-Cyrl-RS"/>
        </w:rPr>
        <w:t xml:space="preserve"> и разматрање да ли су сви ови подаци неопходно потребни, као и ко има право на приступ овим подацима и евиденцијама, </w:t>
      </w:r>
      <w:r w:rsidRPr="00BB71C9">
        <w:rPr>
          <w:rFonts w:ascii="Arial" w:hAnsi="Arial" w:cs="Arial"/>
          <w:sz w:val="22"/>
          <w:szCs w:val="22"/>
          <w:lang w:val="sr-Cyrl-RS"/>
        </w:rPr>
        <w:t>мишљења смо да</w:t>
      </w:r>
      <w:r w:rsidR="005141A9">
        <w:rPr>
          <w:rFonts w:ascii="Arial" w:hAnsi="Arial" w:cs="Arial"/>
          <w:sz w:val="22"/>
          <w:szCs w:val="22"/>
          <w:lang w:val="sr-Cyrl-RS"/>
        </w:rPr>
        <w:t xml:space="preserve"> је неопходно прибавити </w:t>
      </w:r>
      <w:r w:rsidR="00D80F81">
        <w:rPr>
          <w:rFonts w:ascii="Arial" w:hAnsi="Arial" w:cs="Arial"/>
          <w:sz w:val="22"/>
          <w:szCs w:val="22"/>
          <w:lang w:val="sr-Cyrl-RS"/>
        </w:rPr>
        <w:t xml:space="preserve">и </w:t>
      </w:r>
      <w:r w:rsidR="005141A9">
        <w:rPr>
          <w:rFonts w:ascii="Arial" w:hAnsi="Arial" w:cs="Arial"/>
          <w:sz w:val="22"/>
          <w:szCs w:val="22"/>
          <w:lang w:val="sr-Cyrl-RS"/>
        </w:rPr>
        <w:t xml:space="preserve">мишљење </w:t>
      </w:r>
      <w:r w:rsidRPr="00BB71C9">
        <w:rPr>
          <w:rFonts w:ascii="Arial" w:hAnsi="Arial" w:cs="Arial"/>
          <w:sz w:val="22"/>
          <w:szCs w:val="22"/>
          <w:lang w:val="sr-Cyrl-RS"/>
        </w:rPr>
        <w:t>Повереник</w:t>
      </w:r>
      <w:r w:rsidR="005141A9">
        <w:rPr>
          <w:rFonts w:ascii="Arial" w:hAnsi="Arial" w:cs="Arial"/>
          <w:sz w:val="22"/>
          <w:szCs w:val="22"/>
          <w:lang w:val="sr-Cyrl-RS"/>
        </w:rPr>
        <w:t>а</w:t>
      </w:r>
      <w:r w:rsidRPr="00BB71C9">
        <w:rPr>
          <w:rFonts w:ascii="Arial" w:hAnsi="Arial" w:cs="Arial"/>
          <w:sz w:val="22"/>
          <w:szCs w:val="22"/>
          <w:lang w:val="sr-Cyrl-RS"/>
        </w:rPr>
        <w:t xml:space="preserve"> за информације од јавног значај</w:t>
      </w:r>
      <w:r w:rsidR="005141A9">
        <w:rPr>
          <w:rFonts w:ascii="Arial" w:hAnsi="Arial" w:cs="Arial"/>
          <w:sz w:val="22"/>
          <w:szCs w:val="22"/>
          <w:lang w:val="sr-Cyrl-RS"/>
        </w:rPr>
        <w:t xml:space="preserve">а и заштиту података о личности, </w:t>
      </w:r>
    </w:p>
    <w:p w:rsidR="00696B90" w:rsidRPr="00BB71C9" w:rsidRDefault="00696B90" w:rsidP="00464152">
      <w:pPr>
        <w:pStyle w:val="Body"/>
        <w:spacing w:line="276" w:lineRule="auto"/>
        <w:jc w:val="both"/>
        <w:rPr>
          <w:rFonts w:ascii="Arial" w:hAnsi="Arial" w:cs="Arial"/>
          <w:sz w:val="22"/>
          <w:szCs w:val="22"/>
          <w:lang w:val="sr-Cyrl-RS"/>
        </w:rPr>
      </w:pPr>
    </w:p>
    <w:p w:rsidR="00464152" w:rsidRPr="00BB71C9" w:rsidRDefault="00464152" w:rsidP="00464152">
      <w:pPr>
        <w:pStyle w:val="Body"/>
        <w:spacing w:line="276" w:lineRule="auto"/>
        <w:jc w:val="both"/>
        <w:rPr>
          <w:rFonts w:ascii="Arial" w:hAnsi="Arial" w:cs="Arial"/>
          <w:iCs/>
          <w:sz w:val="22"/>
          <w:szCs w:val="22"/>
          <w:lang w:val="sr-Cyrl-RS"/>
        </w:rPr>
      </w:pPr>
      <w:r w:rsidRPr="00BB71C9">
        <w:rPr>
          <w:rFonts w:ascii="Arial" w:hAnsi="Arial" w:cs="Arial"/>
          <w:iCs/>
          <w:sz w:val="22"/>
          <w:szCs w:val="22"/>
          <w:lang w:val="sr-Cyrl-RS"/>
        </w:rPr>
        <w:t xml:space="preserve"> </w:t>
      </w:r>
    </w:p>
    <w:p w:rsidR="00042BEB" w:rsidRPr="005071DE" w:rsidRDefault="00464152" w:rsidP="00696B90">
      <w:pPr>
        <w:pStyle w:val="Body"/>
        <w:tabs>
          <w:tab w:val="left" w:pos="9072"/>
        </w:tabs>
        <w:spacing w:after="120"/>
        <w:jc w:val="both"/>
        <w:rPr>
          <w:rFonts w:ascii="Arial" w:hAnsi="Arial" w:cs="Arial"/>
          <w:shd w:val="clear" w:color="auto" w:fill="FFFFFF"/>
          <w:lang w:val="sr-Cyrl-RS"/>
        </w:rPr>
      </w:pPr>
      <w:r>
        <w:rPr>
          <w:rFonts w:ascii="Arial" w:hAnsi="Arial" w:cs="Arial"/>
          <w:sz w:val="22"/>
          <w:szCs w:val="22"/>
          <w:lang w:val="sr-Cyrl-RS"/>
        </w:rPr>
        <w:t xml:space="preserve"> </w:t>
      </w:r>
    </w:p>
    <w:tbl>
      <w:tblPr>
        <w:tblW w:w="10076" w:type="dxa"/>
        <w:tblLook w:val="04A0" w:firstRow="1" w:lastRow="0" w:firstColumn="1" w:lastColumn="0" w:noHBand="0" w:noVBand="1"/>
      </w:tblPr>
      <w:tblGrid>
        <w:gridCol w:w="3364"/>
        <w:gridCol w:w="2555"/>
        <w:gridCol w:w="4157"/>
      </w:tblGrid>
      <w:tr w:rsidR="00CD4531" w:rsidRPr="005071DE" w:rsidTr="000119EA">
        <w:trPr>
          <w:trHeight w:val="318"/>
        </w:trPr>
        <w:tc>
          <w:tcPr>
            <w:tcW w:w="3364" w:type="dxa"/>
            <w:vMerge w:val="restart"/>
          </w:tcPr>
          <w:p w:rsidR="00CD4531" w:rsidRPr="005071DE" w:rsidRDefault="00CD4531" w:rsidP="000119EA">
            <w:pPr>
              <w:pStyle w:val="Body"/>
              <w:tabs>
                <w:tab w:val="left" w:pos="1134"/>
              </w:tabs>
              <w:rPr>
                <w:rFonts w:ascii="Arial" w:eastAsia="Times New Roman" w:hAnsi="Arial" w:cs="Arial"/>
                <w:color w:val="auto"/>
                <w:sz w:val="22"/>
                <w:szCs w:val="22"/>
                <w:lang w:val="sr-Cyrl-RS"/>
              </w:rPr>
            </w:pPr>
          </w:p>
        </w:tc>
        <w:tc>
          <w:tcPr>
            <w:tcW w:w="2555" w:type="dxa"/>
            <w:vMerge w:val="restart"/>
          </w:tcPr>
          <w:p w:rsidR="00CD4531" w:rsidRPr="005071DE" w:rsidRDefault="00CD4531" w:rsidP="000119EA">
            <w:pPr>
              <w:pStyle w:val="Body"/>
              <w:tabs>
                <w:tab w:val="left" w:pos="1134"/>
              </w:tabs>
              <w:rPr>
                <w:rFonts w:ascii="Arial" w:hAnsi="Arial" w:cs="Arial"/>
                <w:color w:val="auto"/>
                <w:sz w:val="22"/>
                <w:szCs w:val="22"/>
                <w:lang w:val="sr-Cyrl-RS"/>
              </w:rPr>
            </w:pPr>
          </w:p>
        </w:tc>
        <w:tc>
          <w:tcPr>
            <w:tcW w:w="4157" w:type="dxa"/>
          </w:tcPr>
          <w:p w:rsidR="00CD4531" w:rsidRPr="005071DE" w:rsidRDefault="00CD4531" w:rsidP="000119EA">
            <w:pPr>
              <w:pStyle w:val="Body"/>
              <w:tabs>
                <w:tab w:val="left" w:pos="1134"/>
              </w:tabs>
              <w:jc w:val="center"/>
              <w:rPr>
                <w:rFonts w:ascii="Arial" w:hAnsi="Arial" w:cs="Arial"/>
                <w:b/>
                <w:color w:val="auto"/>
                <w:sz w:val="22"/>
                <w:szCs w:val="22"/>
                <w:lang w:val="sr-Cyrl-RS"/>
              </w:rPr>
            </w:pPr>
            <w:r w:rsidRPr="005071DE">
              <w:rPr>
                <w:rFonts w:ascii="Arial" w:hAnsi="Arial" w:cs="Arial"/>
                <w:b/>
                <w:color w:val="auto"/>
                <w:sz w:val="22"/>
                <w:szCs w:val="22"/>
                <w:lang w:val="sr-Cyrl-RS"/>
              </w:rPr>
              <w:t>ПОВЕРЕНИЦА ЗА ЗАШТИТУ РАВНОПРАВНОСТИ</w:t>
            </w:r>
          </w:p>
          <w:p w:rsidR="00CD4531" w:rsidRPr="005071DE" w:rsidRDefault="00CD4531" w:rsidP="000119EA">
            <w:pPr>
              <w:pStyle w:val="Body"/>
              <w:tabs>
                <w:tab w:val="left" w:pos="1134"/>
              </w:tabs>
              <w:jc w:val="center"/>
              <w:rPr>
                <w:rFonts w:ascii="Arial" w:hAnsi="Arial" w:cs="Arial"/>
                <w:color w:val="auto"/>
                <w:sz w:val="22"/>
                <w:szCs w:val="22"/>
                <w:lang w:val="sr-Cyrl-RS"/>
              </w:rPr>
            </w:pPr>
          </w:p>
        </w:tc>
      </w:tr>
      <w:tr w:rsidR="00CD4531" w:rsidRPr="005071DE" w:rsidTr="000119EA">
        <w:trPr>
          <w:trHeight w:val="317"/>
        </w:trPr>
        <w:tc>
          <w:tcPr>
            <w:tcW w:w="0" w:type="auto"/>
            <w:vMerge/>
            <w:vAlign w:val="center"/>
            <w:hideMark/>
          </w:tcPr>
          <w:p w:rsidR="00CD4531" w:rsidRPr="005071DE" w:rsidRDefault="00CD4531" w:rsidP="000119EA">
            <w:pPr>
              <w:spacing w:after="0" w:line="240" w:lineRule="auto"/>
              <w:rPr>
                <w:rFonts w:ascii="Arial" w:eastAsia="Times New Roman" w:hAnsi="Arial" w:cs="Arial"/>
                <w:lang w:val="sr-Cyrl-RS" w:eastAsia="sr-Cyrl-CS"/>
              </w:rPr>
            </w:pPr>
          </w:p>
        </w:tc>
        <w:tc>
          <w:tcPr>
            <w:tcW w:w="0" w:type="auto"/>
            <w:vMerge/>
            <w:vAlign w:val="center"/>
            <w:hideMark/>
          </w:tcPr>
          <w:p w:rsidR="00CD4531" w:rsidRPr="005071DE" w:rsidRDefault="00CD4531" w:rsidP="000119EA">
            <w:pPr>
              <w:spacing w:after="0" w:line="240" w:lineRule="auto"/>
              <w:rPr>
                <w:rFonts w:ascii="Arial" w:eastAsia="ヒラギノ角ゴ Pro W3" w:hAnsi="Arial" w:cs="Arial"/>
                <w:lang w:val="sr-Cyrl-RS" w:eastAsia="sr-Cyrl-CS"/>
              </w:rPr>
            </w:pPr>
          </w:p>
        </w:tc>
        <w:tc>
          <w:tcPr>
            <w:tcW w:w="4157" w:type="dxa"/>
            <w:vAlign w:val="center"/>
            <w:hideMark/>
          </w:tcPr>
          <w:p w:rsidR="00CD4531" w:rsidRPr="005071DE" w:rsidRDefault="00CD4531" w:rsidP="000119EA">
            <w:pPr>
              <w:pStyle w:val="Body"/>
              <w:tabs>
                <w:tab w:val="left" w:pos="1134"/>
              </w:tabs>
              <w:jc w:val="center"/>
              <w:rPr>
                <w:rFonts w:ascii="Arial" w:hAnsi="Arial" w:cs="Arial"/>
                <w:b/>
                <w:color w:val="auto"/>
                <w:sz w:val="22"/>
                <w:szCs w:val="22"/>
                <w:lang w:val="sr-Cyrl-RS"/>
              </w:rPr>
            </w:pPr>
            <w:r w:rsidRPr="005071DE">
              <w:rPr>
                <w:rFonts w:ascii="Arial" w:hAnsi="Arial" w:cs="Arial"/>
                <w:b/>
                <w:color w:val="auto"/>
                <w:sz w:val="22"/>
                <w:szCs w:val="22"/>
                <w:lang w:val="sr-Cyrl-RS"/>
              </w:rPr>
              <w:t>Бранкица Јанковић</w:t>
            </w:r>
          </w:p>
          <w:p w:rsidR="00CD4531" w:rsidRPr="005071DE" w:rsidRDefault="00CD4531" w:rsidP="000119EA">
            <w:pPr>
              <w:pStyle w:val="Body"/>
              <w:tabs>
                <w:tab w:val="left" w:pos="1134"/>
              </w:tabs>
              <w:jc w:val="center"/>
              <w:rPr>
                <w:rFonts w:ascii="Arial" w:hAnsi="Arial" w:cs="Arial"/>
                <w:b/>
                <w:color w:val="auto"/>
                <w:sz w:val="22"/>
                <w:szCs w:val="22"/>
                <w:lang w:val="sr-Cyrl-RS"/>
              </w:rPr>
            </w:pPr>
          </w:p>
        </w:tc>
      </w:tr>
    </w:tbl>
    <w:p w:rsidR="00CD4531" w:rsidRDefault="00CD4531" w:rsidP="00CD4531">
      <w:pPr>
        <w:spacing w:after="0" w:line="240" w:lineRule="auto"/>
        <w:jc w:val="both"/>
        <w:rPr>
          <w:rFonts w:ascii="Arial" w:hAnsi="Arial" w:cs="Arial"/>
        </w:rPr>
      </w:pPr>
    </w:p>
    <w:sectPr w:rsidR="00CD4531" w:rsidSect="005141A9">
      <w:footerReference w:type="default" r:id="rId8"/>
      <w:footerReference w:type="first" r:id="rId9"/>
      <w:pgSz w:w="11906" w:h="16838"/>
      <w:pgMar w:top="851" w:right="1021" w:bottom="1800" w:left="1021" w:header="709"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1E" w:rsidRDefault="009B0A1E" w:rsidP="00CD4531">
      <w:pPr>
        <w:spacing w:after="0" w:line="240" w:lineRule="auto"/>
      </w:pPr>
      <w:r>
        <w:separator/>
      </w:r>
    </w:p>
  </w:endnote>
  <w:endnote w:type="continuationSeparator" w:id="0">
    <w:p w:rsidR="009B0A1E" w:rsidRDefault="009B0A1E" w:rsidP="00CD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45" w:rsidRDefault="00CD4531">
    <w:pPr>
      <w:pStyle w:val="Footer"/>
    </w:pPr>
    <w:r>
      <w:rPr>
        <w:noProof/>
        <w:lang w:val="en-US"/>
      </w:rPr>
      <mc:AlternateContent>
        <mc:Choice Requires="wps">
          <w:drawing>
            <wp:anchor distT="152400" distB="152400" distL="152400" distR="152400" simplePos="0" relativeHeight="251659264" behindDoc="0" locked="0" layoutInCell="1" allowOverlap="1">
              <wp:simplePos x="0" y="0"/>
              <wp:positionH relativeFrom="page">
                <wp:posOffset>711200</wp:posOffset>
              </wp:positionH>
              <wp:positionV relativeFrom="page">
                <wp:posOffset>9858375</wp:posOffset>
              </wp:positionV>
              <wp:extent cx="6165850" cy="57150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C5B45" w:rsidRDefault="006B67D9" w:rsidP="009F1163">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lang w:val="sr-Cyrl-RS"/>
                            </w:rPr>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6C5B45" w:rsidRPr="006560D2" w:rsidRDefault="006B67D9" w:rsidP="009F1163">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12093B">
                            <w:rPr>
                              <w:rFonts w:ascii="Arial" w:hAnsi="Arial" w:cs="Arial"/>
                              <w:noProof/>
                              <w:sz w:val="16"/>
                              <w:lang w:val="sr-Cyrl-RS"/>
                            </w:rPr>
                            <w:t>2</w:t>
                          </w:r>
                          <w:r w:rsidRPr="006560D2">
                            <w:rPr>
                              <w:rFonts w:ascii="Arial" w:hAnsi="Arial" w:cs="Arial"/>
                              <w:sz w:val="16"/>
                              <w:lang w:val="sr-Cyrl-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6C5B45" w:rsidRDefault="006B67D9" w:rsidP="009F1163">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lang w:val="sr-Cyrl-RS"/>
                      </w:rPr>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6C5B45" w:rsidRPr="006560D2" w:rsidRDefault="006B67D9" w:rsidP="009F1163">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12093B">
                      <w:rPr>
                        <w:rFonts w:ascii="Arial" w:hAnsi="Arial" w:cs="Arial"/>
                        <w:noProof/>
                        <w:sz w:val="16"/>
                        <w:lang w:val="sr-Cyrl-RS"/>
                      </w:rPr>
                      <w:t>2</w:t>
                    </w:r>
                    <w:r w:rsidRPr="006560D2">
                      <w:rPr>
                        <w:rFonts w:ascii="Arial" w:hAnsi="Arial" w:cs="Arial"/>
                        <w:sz w:val="16"/>
                        <w:lang w:val="sr-Cyrl-RS"/>
                      </w:rPr>
                      <w:fldChar w:fldCharType="end"/>
                    </w:r>
                  </w:p>
                </w:txbxContent>
              </v:textbox>
              <w10:wrap type="square" anchorx="page" anchory="page"/>
            </v:rect>
          </w:pict>
        </mc:Fallback>
      </mc:AlternateContent>
    </w:r>
    <w:r>
      <w:rPr>
        <w:noProof/>
        <w:lang w:val="en-US"/>
      </w:rPr>
      <w:drawing>
        <wp:anchor distT="0" distB="0" distL="114300" distR="114300" simplePos="0" relativeHeight="251660288" behindDoc="0" locked="0" layoutInCell="1" allowOverlap="1">
          <wp:simplePos x="0" y="0"/>
          <wp:positionH relativeFrom="page">
            <wp:posOffset>457200</wp:posOffset>
          </wp:positionH>
          <wp:positionV relativeFrom="page">
            <wp:posOffset>9458325</wp:posOffset>
          </wp:positionV>
          <wp:extent cx="6642100" cy="523875"/>
          <wp:effectExtent l="0" t="0" r="635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2" w:rsidRDefault="00CD4531">
    <w:pPr>
      <w:pStyle w:val="Footer"/>
    </w:pPr>
    <w:r>
      <w:rPr>
        <w:noProof/>
        <w:lang w:val="en-US"/>
      </w:rPr>
      <mc:AlternateContent>
        <mc:Choice Requires="wps">
          <w:drawing>
            <wp:anchor distT="152400" distB="152400" distL="152400" distR="152400" simplePos="0" relativeHeight="251662336" behindDoc="0" locked="0" layoutInCell="1" allowOverlap="1">
              <wp:simplePos x="0" y="0"/>
              <wp:positionH relativeFrom="page">
                <wp:posOffset>751205</wp:posOffset>
              </wp:positionH>
              <wp:positionV relativeFrom="page">
                <wp:posOffset>9911715</wp:posOffset>
              </wp:positionV>
              <wp:extent cx="6165850" cy="571500"/>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560D2" w:rsidRDefault="006B67D9" w:rsidP="006560D2">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6560D2" w:rsidRPr="006560D2" w:rsidRDefault="006B67D9" w:rsidP="006560D2">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59.15pt;margin-top:780.45pt;width:485.5pt;height:45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" filled="f" stroked="f" strokeweight="1pt">
              <v:path arrowok="t"/>
              <v:textbox inset="0,0,0,0">
                <w:txbxContent>
                  <w:p w:rsidR="006560D2" w:rsidRDefault="006B67D9" w:rsidP="006560D2">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6560D2" w:rsidRPr="006560D2" w:rsidRDefault="006B67D9" w:rsidP="006560D2">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p>
                </w:txbxContent>
              </v:textbox>
              <w10:wrap type="square" anchorx="page" anchory="page"/>
            </v:rect>
          </w:pict>
        </mc:Fallback>
      </mc:AlternateContent>
    </w:r>
    <w:r>
      <w:rPr>
        <w:noProof/>
        <w:lang w:val="en-US"/>
      </w:rPr>
      <w:drawing>
        <wp:anchor distT="0" distB="0" distL="114300" distR="114300" simplePos="0" relativeHeight="251661312" behindDoc="0" locked="0" layoutInCell="1" allowOverlap="1">
          <wp:simplePos x="0" y="0"/>
          <wp:positionH relativeFrom="page">
            <wp:posOffset>530860</wp:posOffset>
          </wp:positionH>
          <wp:positionV relativeFrom="page">
            <wp:posOffset>9486900</wp:posOffset>
          </wp:positionV>
          <wp:extent cx="6642100" cy="523875"/>
          <wp:effectExtent l="0" t="0" r="635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1E" w:rsidRDefault="009B0A1E" w:rsidP="00CD4531">
      <w:pPr>
        <w:spacing w:after="0" w:line="240" w:lineRule="auto"/>
      </w:pPr>
      <w:r>
        <w:separator/>
      </w:r>
    </w:p>
  </w:footnote>
  <w:footnote w:type="continuationSeparator" w:id="0">
    <w:p w:rsidR="009B0A1E" w:rsidRDefault="009B0A1E" w:rsidP="00CD4531">
      <w:pPr>
        <w:spacing w:after="0" w:line="240" w:lineRule="auto"/>
      </w:pPr>
      <w:r>
        <w:continuationSeparator/>
      </w:r>
    </w:p>
  </w:footnote>
  <w:footnote w:id="1">
    <w:p w:rsidR="00CD4531" w:rsidRDefault="00CD4531" w:rsidP="00CD4531">
      <w:pPr>
        <w:pStyle w:val="FootnoteText"/>
      </w:pPr>
      <w:r>
        <w:rPr>
          <w:rStyle w:val="FootnoteReference"/>
        </w:rPr>
        <w:footnoteRef/>
      </w:r>
      <w:r>
        <w:t xml:space="preserve"> </w:t>
      </w:r>
      <w:r>
        <w:rPr>
          <w:rFonts w:ascii="Arial" w:hAnsi="Arial" w:cs="Arial"/>
          <w:sz w:val="16"/>
          <w:szCs w:val="16"/>
          <w:lang w:val="sr-Cyrl-RS"/>
        </w:rPr>
        <w:t xml:space="preserve">Закон о забрани дискриминације („Службени гласник РС”, број  22/09, 52/21 члан 1. и члан 33. </w:t>
      </w:r>
      <w:r>
        <w:rPr>
          <w:rFonts w:ascii="Arial" w:hAnsi="Arial" w:cs="Arial"/>
          <w:sz w:val="16"/>
          <w:szCs w:val="16"/>
        </w:rPr>
        <w:t xml:space="preserve">став 1. </w:t>
      </w:r>
      <w:r>
        <w:rPr>
          <w:rFonts w:ascii="Arial" w:hAnsi="Arial" w:cs="Arial"/>
          <w:sz w:val="16"/>
          <w:szCs w:val="16"/>
          <w:lang w:val="sr-Cyrl-RS"/>
        </w:rPr>
        <w:t>тачка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31"/>
    <w:rsid w:val="00036F90"/>
    <w:rsid w:val="00042BEB"/>
    <w:rsid w:val="0012093B"/>
    <w:rsid w:val="00136135"/>
    <w:rsid w:val="001734E6"/>
    <w:rsid w:val="001907E8"/>
    <w:rsid w:val="00201CB4"/>
    <w:rsid w:val="002025C0"/>
    <w:rsid w:val="002661B3"/>
    <w:rsid w:val="002A5C2F"/>
    <w:rsid w:val="00315FC1"/>
    <w:rsid w:val="00351A2A"/>
    <w:rsid w:val="003A6CD3"/>
    <w:rsid w:val="003F331F"/>
    <w:rsid w:val="00464152"/>
    <w:rsid w:val="004C29F9"/>
    <w:rsid w:val="004D299B"/>
    <w:rsid w:val="005141A9"/>
    <w:rsid w:val="00565D80"/>
    <w:rsid w:val="005B5E45"/>
    <w:rsid w:val="005B79CB"/>
    <w:rsid w:val="005C5566"/>
    <w:rsid w:val="005D5097"/>
    <w:rsid w:val="0062366A"/>
    <w:rsid w:val="006575AD"/>
    <w:rsid w:val="00696B90"/>
    <w:rsid w:val="006B67D9"/>
    <w:rsid w:val="006F6B6A"/>
    <w:rsid w:val="00810136"/>
    <w:rsid w:val="0095290A"/>
    <w:rsid w:val="009938AA"/>
    <w:rsid w:val="009B0A1E"/>
    <w:rsid w:val="009F1BA3"/>
    <w:rsid w:val="00A81F66"/>
    <w:rsid w:val="00B566EF"/>
    <w:rsid w:val="00B74D85"/>
    <w:rsid w:val="00BB71C9"/>
    <w:rsid w:val="00BD1C5A"/>
    <w:rsid w:val="00C12986"/>
    <w:rsid w:val="00C56277"/>
    <w:rsid w:val="00C62DB6"/>
    <w:rsid w:val="00C830A9"/>
    <w:rsid w:val="00CB699A"/>
    <w:rsid w:val="00CD4531"/>
    <w:rsid w:val="00D229E6"/>
    <w:rsid w:val="00D503D5"/>
    <w:rsid w:val="00D80F81"/>
    <w:rsid w:val="00D870A6"/>
    <w:rsid w:val="00E042A8"/>
    <w:rsid w:val="00E244A5"/>
    <w:rsid w:val="00E544D3"/>
    <w:rsid w:val="00E87F21"/>
    <w:rsid w:val="00E94F27"/>
    <w:rsid w:val="00EC6D71"/>
    <w:rsid w:val="00F1594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7A265-86AE-40F2-A3E9-E8623B4B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31"/>
    <w:rPr>
      <w:rFonts w:ascii="Calibri" w:eastAsia="Calibri" w:hAnsi="Calibri" w:cs="Times New Roman"/>
      <w:lang w:val="sr-Cyrl-CS"/>
    </w:rPr>
  </w:style>
  <w:style w:type="paragraph" w:styleId="Heading2">
    <w:name w:val="heading 2"/>
    <w:basedOn w:val="Normal"/>
    <w:link w:val="Heading2Char"/>
    <w:uiPriority w:val="9"/>
    <w:semiHidden/>
    <w:unhideWhenUsed/>
    <w:qFormat/>
    <w:rsid w:val="00315FC1"/>
    <w:pPr>
      <w:keepNext/>
      <w:spacing w:before="40" w:after="0" w:line="240" w:lineRule="auto"/>
      <w:outlineLvl w:val="1"/>
    </w:pPr>
    <w:rPr>
      <w:rFonts w:ascii="Calibri Light" w:eastAsiaTheme="minorHAnsi" w:hAnsi="Calibri Light" w:cs="Calibri Light"/>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453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D4531"/>
    <w:rPr>
      <w:rFonts w:ascii="Calibri" w:eastAsia="Calibri" w:hAnsi="Calibri" w:cs="Times New Roman"/>
      <w:lang w:val="sr-Cyrl-CS"/>
    </w:rPr>
  </w:style>
  <w:style w:type="paragraph" w:customStyle="1" w:styleId="FreeFormAA">
    <w:name w:val="Free Form A A"/>
    <w:rsid w:val="00CD4531"/>
    <w:pPr>
      <w:spacing w:after="0" w:line="240" w:lineRule="auto"/>
    </w:pPr>
    <w:rPr>
      <w:rFonts w:ascii="Helvetica" w:eastAsia="ヒラギノ角ゴ Pro W3" w:hAnsi="Helvetica" w:cs="Times New Roman"/>
      <w:color w:val="000000"/>
      <w:sz w:val="24"/>
      <w:szCs w:val="20"/>
      <w:lang w:val="en-US" w:eastAsia="sr-Cyrl-CS"/>
    </w:rPr>
  </w:style>
  <w:style w:type="paragraph" w:styleId="FootnoteText">
    <w:name w:val="footnote text"/>
    <w:aliases w:val="single space,footnote text Char,footnote text,Footnote Text Char Char Char,Footnote Text Char Char,single space Char,ft Char,ft,Footnote Text Char Char Char Char Char Char Char Char,Footnote Text Char Char Char Char1 Ch"/>
    <w:basedOn w:val="Normal"/>
    <w:link w:val="FootnoteTextChar"/>
    <w:uiPriority w:val="99"/>
    <w:unhideWhenUsed/>
    <w:rsid w:val="00CD4531"/>
    <w:pPr>
      <w:spacing w:after="0" w:line="240" w:lineRule="auto"/>
    </w:pPr>
    <w:rPr>
      <w:sz w:val="20"/>
      <w:szCs w:val="20"/>
    </w:rPr>
  </w:style>
  <w:style w:type="character" w:customStyle="1" w:styleId="FootnoteTextChar">
    <w:name w:val="Footnote Text Char"/>
    <w:aliases w:val="single space Char1,footnote text Char Char,footnote text Char1,Footnote Text Char Char Char Char,Footnote Text Char Char Char1,single space Char Char,ft Char Char,ft Char1,Footnote Text Char Char Char Char Char Char Char Char Char"/>
    <w:basedOn w:val="DefaultParagraphFont"/>
    <w:link w:val="FootnoteText"/>
    <w:uiPriority w:val="99"/>
    <w:rsid w:val="00CD4531"/>
    <w:rPr>
      <w:rFonts w:ascii="Calibri" w:eastAsia="Calibri" w:hAnsi="Calibri" w:cs="Times New Roman"/>
      <w:sz w:val="20"/>
      <w:szCs w:val="20"/>
      <w:lang w:val="sr-Cyrl-CS"/>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fn Cha, Exposant 3 Point"/>
    <w:link w:val="BVIfnrCharCharCharChar1CharChar"/>
    <w:unhideWhenUsed/>
    <w:qFormat/>
    <w:rsid w:val="00CD4531"/>
    <w:rPr>
      <w:vertAlign w:val="superscript"/>
    </w:rPr>
  </w:style>
  <w:style w:type="paragraph" w:customStyle="1" w:styleId="Body">
    <w:name w:val="Body"/>
    <w:rsid w:val="00CD4531"/>
    <w:pPr>
      <w:spacing w:after="0" w:line="240" w:lineRule="auto"/>
    </w:pPr>
    <w:rPr>
      <w:rFonts w:ascii="Helvetica" w:eastAsia="ヒラギノ角ゴ Pro W3" w:hAnsi="Helvetica" w:cs="Times New Roman"/>
      <w:color w:val="000000"/>
      <w:sz w:val="24"/>
      <w:szCs w:val="20"/>
      <w:lang w:val="en-US" w:eastAsia="sr-Cyrl-C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rsid w:val="00CD4531"/>
    <w:pPr>
      <w:spacing w:after="160" w:line="240" w:lineRule="exact"/>
    </w:pPr>
    <w:rPr>
      <w:rFonts w:asciiTheme="minorHAnsi" w:eastAsiaTheme="minorHAnsi" w:hAnsiTheme="minorHAnsi" w:cstheme="minorBidi"/>
      <w:vertAlign w:val="superscript"/>
      <w:lang w:val="sr-Cyrl-RS"/>
    </w:rPr>
  </w:style>
  <w:style w:type="paragraph" w:styleId="BalloonText">
    <w:name w:val="Balloon Text"/>
    <w:basedOn w:val="Normal"/>
    <w:link w:val="BalloonTextChar"/>
    <w:uiPriority w:val="99"/>
    <w:semiHidden/>
    <w:unhideWhenUsed/>
    <w:rsid w:val="00E9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F27"/>
    <w:rPr>
      <w:rFonts w:ascii="Segoe UI" w:eastAsia="Calibri" w:hAnsi="Segoe UI" w:cs="Segoe UI"/>
      <w:sz w:val="18"/>
      <w:szCs w:val="18"/>
      <w:lang w:val="sr-Cyrl-CS"/>
    </w:rPr>
  </w:style>
  <w:style w:type="character" w:customStyle="1" w:styleId="Heading2Char">
    <w:name w:val="Heading 2 Char"/>
    <w:basedOn w:val="DefaultParagraphFont"/>
    <w:link w:val="Heading2"/>
    <w:uiPriority w:val="9"/>
    <w:semiHidden/>
    <w:rsid w:val="00315FC1"/>
    <w:rPr>
      <w:rFonts w:ascii="Calibri Light" w:hAnsi="Calibri Light" w:cs="Calibri Light"/>
      <w:color w:val="2E74B5"/>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Poverenik 70</dc:creator>
  <cp:lastModifiedBy>kmirjana</cp:lastModifiedBy>
  <cp:revision>2</cp:revision>
  <cp:lastPrinted>2024-11-06T11:44:00Z</cp:lastPrinted>
  <dcterms:created xsi:type="dcterms:W3CDTF">2024-11-06T11:44:00Z</dcterms:created>
  <dcterms:modified xsi:type="dcterms:W3CDTF">2024-11-06T11:44:00Z</dcterms:modified>
</cp:coreProperties>
</file>