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28"/>
        <w:gridCol w:w="938"/>
        <w:gridCol w:w="3948"/>
        <w:gridCol w:w="3778"/>
      </w:tblGrid>
      <w:tr w:rsidR="00CD4531" w:rsidRPr="00335FFB" w:rsidTr="005D5097">
        <w:tc>
          <w:tcPr>
            <w:tcW w:w="2339" w:type="dxa"/>
            <w:gridSpan w:val="3"/>
          </w:tcPr>
          <w:p w:rsidR="00CD4531" w:rsidRPr="007E6699" w:rsidRDefault="00CD4531" w:rsidP="000119EA">
            <w:pPr>
              <w:spacing w:after="0" w:line="240" w:lineRule="auto"/>
              <w:rPr>
                <w:lang w:val="en-US"/>
              </w:rPr>
            </w:pPr>
            <w:r>
              <w:rPr>
                <w:noProof/>
                <w:lang w:val="en-US"/>
              </w:rPr>
              <w:drawing>
                <wp:anchor distT="152400" distB="152400" distL="152400" distR="152400" simplePos="0" relativeHeight="251656192" behindDoc="0" locked="0" layoutInCell="1" allowOverlap="1">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p>
        </w:tc>
        <w:tc>
          <w:tcPr>
            <w:tcW w:w="3960" w:type="dxa"/>
          </w:tcPr>
          <w:p w:rsidR="00CD4531" w:rsidRPr="00335FFB" w:rsidRDefault="00CD4531" w:rsidP="000119EA">
            <w:pPr>
              <w:spacing w:after="0" w:line="240" w:lineRule="auto"/>
            </w:pPr>
          </w:p>
        </w:tc>
        <w:tc>
          <w:tcPr>
            <w:tcW w:w="3781" w:type="dxa"/>
          </w:tcPr>
          <w:p w:rsidR="00CD4531" w:rsidRPr="00335FFB" w:rsidRDefault="00CD4531" w:rsidP="000119EA">
            <w:pPr>
              <w:spacing w:after="0" w:line="240" w:lineRule="auto"/>
              <w:jc w:val="center"/>
            </w:pPr>
            <w:r>
              <w:rPr>
                <w:noProof/>
                <w:lang w:val="en-US"/>
              </w:rPr>
              <w:drawing>
                <wp:anchor distT="152400" distB="152400" distL="152400" distR="152400" simplePos="0" relativeHeight="251658240" behindDoc="0" locked="0" layoutInCell="1" allowOverlap="1">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5097" w:rsidRPr="007D62F6" w:rsidTr="005D5097">
        <w:tc>
          <w:tcPr>
            <w:tcW w:w="388" w:type="dxa"/>
          </w:tcPr>
          <w:p w:rsidR="005D5097" w:rsidRPr="007D62F6" w:rsidRDefault="005D5097" w:rsidP="005D5097">
            <w:pPr>
              <w:spacing w:after="0" w:line="240" w:lineRule="auto"/>
              <w:rPr>
                <w:rFonts w:ascii="Arial" w:hAnsi="Arial" w:cs="Arial"/>
                <w:sz w:val="18"/>
                <w:szCs w:val="18"/>
              </w:rPr>
            </w:pPr>
          </w:p>
        </w:tc>
        <w:tc>
          <w:tcPr>
            <w:tcW w:w="1012" w:type="dxa"/>
            <w:noWrap/>
            <w:tcMar>
              <w:left w:w="0" w:type="dxa"/>
              <w:right w:w="0" w:type="dxa"/>
            </w:tcMar>
          </w:tcPr>
          <w:p w:rsidR="005D5097" w:rsidRPr="009F1BA3" w:rsidRDefault="005D5097" w:rsidP="005D5097">
            <w:pPr>
              <w:spacing w:after="0" w:line="240" w:lineRule="auto"/>
              <w:jc w:val="center"/>
              <w:rPr>
                <w:rFonts w:ascii="Arial" w:hAnsi="Arial" w:cs="Arial"/>
                <w:sz w:val="18"/>
                <w:szCs w:val="18"/>
                <w:lang w:val="sr-Cyrl-RS"/>
              </w:rPr>
            </w:pPr>
            <w:r>
              <w:rPr>
                <w:rFonts w:ascii="Arial" w:hAnsi="Arial" w:cs="Arial"/>
                <w:sz w:val="18"/>
                <w:szCs w:val="18"/>
                <w:lang w:val="sr-Cyrl-RS"/>
              </w:rPr>
              <w:t>ЕС</w:t>
            </w:r>
          </w:p>
          <w:p w:rsidR="005D5097" w:rsidRPr="00CD4531" w:rsidRDefault="005D5097" w:rsidP="005D5097">
            <w:pPr>
              <w:spacing w:after="0" w:line="240" w:lineRule="auto"/>
              <w:jc w:val="center"/>
              <w:rPr>
                <w:rFonts w:ascii="Arial" w:hAnsi="Arial" w:cs="Arial"/>
                <w:sz w:val="18"/>
                <w:szCs w:val="18"/>
                <w:lang w:val="sr-Cyrl-RS"/>
              </w:rPr>
            </w:pPr>
            <w:r>
              <w:rPr>
                <w:rFonts w:ascii="Arial" w:hAnsi="Arial" w:cs="Arial"/>
                <w:sz w:val="18"/>
                <w:szCs w:val="18"/>
                <w:lang w:val="sr-Cyrl-RS"/>
              </w:rPr>
              <w:t>517/24</w:t>
            </w:r>
          </w:p>
        </w:tc>
        <w:tc>
          <w:tcPr>
            <w:tcW w:w="939" w:type="dxa"/>
          </w:tcPr>
          <w:p w:rsidR="005D5097" w:rsidRPr="007D62F6" w:rsidRDefault="005D5097" w:rsidP="005D5097">
            <w:pPr>
              <w:spacing w:after="0" w:line="240" w:lineRule="auto"/>
              <w:rPr>
                <w:rFonts w:ascii="Arial" w:hAnsi="Arial" w:cs="Arial"/>
                <w:sz w:val="18"/>
                <w:szCs w:val="18"/>
              </w:rPr>
            </w:pPr>
          </w:p>
        </w:tc>
        <w:tc>
          <w:tcPr>
            <w:tcW w:w="3960" w:type="dxa"/>
          </w:tcPr>
          <w:p w:rsidR="005D5097" w:rsidRPr="007D62F6" w:rsidRDefault="005D5097" w:rsidP="005D5097">
            <w:pPr>
              <w:spacing w:after="0" w:line="240" w:lineRule="auto"/>
              <w:rPr>
                <w:sz w:val="18"/>
                <w:szCs w:val="18"/>
              </w:rPr>
            </w:pPr>
          </w:p>
        </w:tc>
        <w:tc>
          <w:tcPr>
            <w:tcW w:w="3781" w:type="dxa"/>
          </w:tcPr>
          <w:p w:rsidR="005D5097" w:rsidRPr="007D62F6" w:rsidRDefault="005D5097" w:rsidP="005D5097">
            <w:pPr>
              <w:spacing w:after="0" w:line="240" w:lineRule="auto"/>
              <w:jc w:val="center"/>
              <w:rPr>
                <w:sz w:val="18"/>
                <w:szCs w:val="18"/>
              </w:rPr>
            </w:pPr>
          </w:p>
        </w:tc>
      </w:tr>
    </w:tbl>
    <w:p w:rsidR="00CD4531" w:rsidRPr="005071DE" w:rsidRDefault="005D5097" w:rsidP="00CD4531">
      <w:pPr>
        <w:spacing w:after="240" w:line="240" w:lineRule="auto"/>
        <w:mirrorIndents/>
        <w:jc w:val="both"/>
        <w:rPr>
          <w:rFonts w:ascii="Arial" w:eastAsia="ヒラギノ角ゴ Pro W3" w:hAnsi="Arial" w:cs="Arial"/>
          <w:color w:val="000000"/>
          <w:lang w:val="sr-Cyrl-RS" w:eastAsia="sr-Cyrl-CS"/>
        </w:rPr>
      </w:pPr>
      <w:r w:rsidRPr="007D62F6">
        <w:rPr>
          <w:rFonts w:ascii="Arial" w:hAnsi="Arial"/>
          <w:spacing w:val="-1"/>
          <w:sz w:val="18"/>
          <w:szCs w:val="18"/>
        </w:rPr>
        <w:t xml:space="preserve">бр. </w:t>
      </w:r>
      <w:r w:rsidRPr="00976E41">
        <w:rPr>
          <w:rFonts w:ascii="Arial" w:hAnsi="Arial"/>
          <w:spacing w:val="-1"/>
          <w:sz w:val="18"/>
          <w:szCs w:val="18"/>
          <w:lang w:val="sr-Cyrl-RS"/>
        </w:rPr>
        <w:t xml:space="preserve">011-00-00023/2024-02   </w:t>
      </w:r>
      <w:r w:rsidRPr="00976E41">
        <w:rPr>
          <w:rFonts w:ascii="Arial" w:hAnsi="Arial"/>
          <w:spacing w:val="-1"/>
          <w:sz w:val="18"/>
          <w:szCs w:val="18"/>
        </w:rPr>
        <w:t xml:space="preserve">датум:  </w:t>
      </w:r>
      <w:r w:rsidRPr="00976E41">
        <w:rPr>
          <w:rFonts w:ascii="Arial" w:hAnsi="Arial"/>
          <w:spacing w:val="-1"/>
          <w:sz w:val="18"/>
          <w:szCs w:val="18"/>
          <w:lang w:val="sr-Cyrl-RS"/>
        </w:rPr>
        <w:t>19.07.2024</w:t>
      </w:r>
    </w:p>
    <w:p w:rsidR="005D5097" w:rsidRDefault="005D5097" w:rsidP="00CD4531">
      <w:pPr>
        <w:spacing w:after="240" w:line="240" w:lineRule="auto"/>
        <w:mirrorIndents/>
        <w:jc w:val="both"/>
        <w:rPr>
          <w:rFonts w:ascii="Arial" w:eastAsia="ヒラギノ角ゴ Pro W3" w:hAnsi="Arial" w:cs="Arial"/>
          <w:color w:val="000000"/>
          <w:lang w:val="sr-Cyrl-RS" w:eastAsia="sr-Cyrl-CS"/>
        </w:rPr>
      </w:pPr>
    </w:p>
    <w:p w:rsidR="00CD4531" w:rsidRPr="005071DE" w:rsidRDefault="00CD4531" w:rsidP="00CD4531">
      <w:pPr>
        <w:spacing w:after="240" w:line="240" w:lineRule="auto"/>
        <w:mirrorIndents/>
        <w:jc w:val="both"/>
        <w:rPr>
          <w:rFonts w:ascii="Arial" w:eastAsia="ヒラギノ角ゴ Pro W3" w:hAnsi="Arial" w:cs="Arial"/>
          <w:color w:val="000000"/>
          <w:lang w:val="sr-Cyrl-RS" w:eastAsia="sr-Cyrl-CS"/>
        </w:rPr>
      </w:pPr>
      <w:r w:rsidRPr="005071DE">
        <w:rPr>
          <w:rFonts w:ascii="Arial" w:eastAsia="ヒラギノ角ゴ Pro W3" w:hAnsi="Arial" w:cs="Arial"/>
          <w:color w:val="000000"/>
          <w:lang w:val="sr-Cyrl-RS" w:eastAsia="sr-Cyrl-CS"/>
        </w:rPr>
        <w:t>Поступајући у оквиру законом прописане надлежности</w:t>
      </w:r>
      <w:r w:rsidRPr="005071DE">
        <w:rPr>
          <w:rStyle w:val="FootnoteReference"/>
          <w:rFonts w:ascii="Arial" w:eastAsia="ヒラギノ角ゴ Pro W3" w:hAnsi="Arial" w:cs="Arial"/>
          <w:color w:val="000000"/>
          <w:lang w:val="sr-Cyrl-RS" w:eastAsia="sr-Cyrl-CS"/>
        </w:rPr>
        <w:footnoteReference w:id="1"/>
      </w:r>
      <w:r w:rsidRPr="005071DE">
        <w:rPr>
          <w:rFonts w:ascii="Arial" w:eastAsia="ヒラギノ角ゴ Pro W3" w:hAnsi="Arial" w:cs="Arial"/>
          <w:color w:val="000000"/>
          <w:lang w:val="sr-Cyrl-RS" w:eastAsia="sr-Cyrl-CS"/>
        </w:rPr>
        <w:t>, Поверени</w:t>
      </w:r>
      <w:r w:rsidRPr="005071DE">
        <w:rPr>
          <w:rFonts w:ascii="Arial" w:eastAsia="ヒラギノ角ゴ Pro W3" w:hAnsi="Arial" w:cs="Arial"/>
          <w:color w:val="000000"/>
          <w:lang w:eastAsia="sr-Cyrl-CS"/>
        </w:rPr>
        <w:t>к</w:t>
      </w:r>
      <w:r w:rsidRPr="005071DE">
        <w:rPr>
          <w:rFonts w:ascii="Arial" w:eastAsia="ヒラギノ角ゴ Pro W3" w:hAnsi="Arial" w:cs="Arial"/>
          <w:color w:val="000000"/>
          <w:lang w:val="sr-Cyrl-RS" w:eastAsia="sr-Cyrl-CS"/>
        </w:rPr>
        <w:t xml:space="preserve"> за заштиту равноправности,  даје</w:t>
      </w:r>
    </w:p>
    <w:p w:rsidR="00CD4531" w:rsidRPr="005071DE" w:rsidRDefault="00CD4531" w:rsidP="00CD4531">
      <w:pPr>
        <w:spacing w:after="240" w:line="240" w:lineRule="auto"/>
        <w:mirrorIndents/>
        <w:jc w:val="both"/>
        <w:rPr>
          <w:rFonts w:ascii="Arial" w:eastAsia="ヒラギノ角ゴ Pro W3" w:hAnsi="Arial" w:cs="Arial"/>
          <w:color w:val="000000"/>
          <w:lang w:val="sr-Cyrl-RS" w:eastAsia="sr-Cyrl-CS"/>
        </w:rPr>
      </w:pPr>
    </w:p>
    <w:p w:rsidR="00CD4531" w:rsidRPr="005071DE" w:rsidRDefault="00CD4531" w:rsidP="00CD4531">
      <w:pPr>
        <w:pStyle w:val="Body"/>
        <w:tabs>
          <w:tab w:val="left" w:pos="9072"/>
        </w:tabs>
        <w:spacing w:after="120"/>
        <w:jc w:val="center"/>
        <w:rPr>
          <w:rFonts w:ascii="Arial" w:hAnsi="Arial" w:cs="Arial"/>
          <w:b/>
          <w:sz w:val="22"/>
          <w:szCs w:val="22"/>
        </w:rPr>
      </w:pPr>
      <w:r w:rsidRPr="005071DE">
        <w:rPr>
          <w:rFonts w:ascii="Arial" w:hAnsi="Arial" w:cs="Arial"/>
          <w:b/>
          <w:sz w:val="22"/>
          <w:szCs w:val="22"/>
        </w:rPr>
        <w:t>МИШЉЕЊЕ</w:t>
      </w:r>
    </w:p>
    <w:p w:rsidR="00CD4531" w:rsidRPr="005071DE" w:rsidRDefault="00CD4531" w:rsidP="00CD4531">
      <w:pPr>
        <w:pStyle w:val="Body"/>
        <w:tabs>
          <w:tab w:val="left" w:pos="9072"/>
        </w:tabs>
        <w:spacing w:after="120"/>
        <w:jc w:val="center"/>
        <w:rPr>
          <w:rFonts w:ascii="Arial" w:hAnsi="Arial" w:cs="Arial"/>
          <w:b/>
          <w:sz w:val="22"/>
          <w:szCs w:val="22"/>
          <w:lang w:val="sr-Cyrl-CS"/>
        </w:rPr>
      </w:pPr>
      <w:r>
        <w:rPr>
          <w:rFonts w:ascii="Arial" w:hAnsi="Arial" w:cs="Arial"/>
          <w:b/>
          <w:sz w:val="22"/>
          <w:szCs w:val="22"/>
          <w:lang w:val="sr-Cyrl-CS"/>
        </w:rPr>
        <w:t xml:space="preserve">      </w:t>
      </w:r>
      <w:r w:rsidRPr="005071DE">
        <w:rPr>
          <w:rFonts w:ascii="Arial" w:hAnsi="Arial" w:cs="Arial"/>
          <w:b/>
          <w:sz w:val="22"/>
          <w:szCs w:val="22"/>
          <w:lang w:val="sr-Cyrl-CS"/>
        </w:rPr>
        <w:t xml:space="preserve">на Нацрт Закона о </w:t>
      </w:r>
      <w:r w:rsidR="005D5097">
        <w:rPr>
          <w:rFonts w:ascii="Arial" w:hAnsi="Arial" w:cs="Arial"/>
          <w:b/>
          <w:sz w:val="22"/>
          <w:szCs w:val="22"/>
          <w:lang w:val="sr-Cyrl-CS"/>
        </w:rPr>
        <w:t>војном образовању</w:t>
      </w:r>
    </w:p>
    <w:p w:rsidR="00CD4531" w:rsidRPr="005071DE" w:rsidRDefault="00CD4531" w:rsidP="00CD4531">
      <w:pPr>
        <w:pStyle w:val="Body"/>
        <w:tabs>
          <w:tab w:val="left" w:pos="9072"/>
        </w:tabs>
        <w:spacing w:after="120"/>
        <w:jc w:val="center"/>
        <w:rPr>
          <w:rFonts w:ascii="Arial" w:hAnsi="Arial" w:cs="Arial"/>
          <w:b/>
          <w:sz w:val="22"/>
          <w:szCs w:val="22"/>
          <w:lang w:val="sr-Cyrl-CS"/>
        </w:rPr>
      </w:pPr>
    </w:p>
    <w:p w:rsidR="00CD4531" w:rsidRPr="005071DE" w:rsidRDefault="00CD4531" w:rsidP="00CD4531">
      <w:pPr>
        <w:pStyle w:val="Body"/>
        <w:tabs>
          <w:tab w:val="left" w:pos="9072"/>
        </w:tabs>
        <w:spacing w:after="120"/>
        <w:rPr>
          <w:rFonts w:ascii="Arial" w:hAnsi="Arial" w:cs="Arial"/>
          <w:b/>
          <w:sz w:val="22"/>
          <w:szCs w:val="22"/>
          <w:lang w:val="sr-Cyrl-CS"/>
        </w:rPr>
      </w:pPr>
    </w:p>
    <w:p w:rsidR="00CD4531" w:rsidRPr="005071DE" w:rsidRDefault="00CD4531" w:rsidP="00CD4531">
      <w:pPr>
        <w:pStyle w:val="Body"/>
        <w:tabs>
          <w:tab w:val="left" w:pos="9072"/>
        </w:tabs>
        <w:spacing w:after="120"/>
        <w:rPr>
          <w:rFonts w:ascii="Arial" w:hAnsi="Arial" w:cs="Arial"/>
          <w:b/>
          <w:sz w:val="22"/>
          <w:szCs w:val="22"/>
          <w:lang w:val="sr-Cyrl-CS"/>
        </w:rPr>
      </w:pPr>
    </w:p>
    <w:p w:rsidR="005D5097" w:rsidRDefault="005D5097" w:rsidP="005D5097">
      <w:pPr>
        <w:pStyle w:val="Body"/>
        <w:tabs>
          <w:tab w:val="left" w:pos="9072"/>
        </w:tabs>
        <w:spacing w:after="120"/>
        <w:jc w:val="both"/>
        <w:rPr>
          <w:rFonts w:ascii="Arial" w:hAnsi="Arial" w:cs="Arial"/>
          <w:sz w:val="22"/>
          <w:szCs w:val="22"/>
          <w:lang w:val="sr-Cyrl-CS"/>
        </w:rPr>
      </w:pPr>
      <w:proofErr w:type="spellStart"/>
      <w:r w:rsidRPr="007D62F6">
        <w:rPr>
          <w:rFonts w:ascii="Arial" w:hAnsi="Arial" w:cs="Arial"/>
          <w:sz w:val="22"/>
          <w:szCs w:val="22"/>
        </w:rPr>
        <w:t>Министарство</w:t>
      </w:r>
      <w:proofErr w:type="spellEnd"/>
      <w:r w:rsidRPr="007D62F6">
        <w:rPr>
          <w:rFonts w:ascii="Arial" w:hAnsi="Arial" w:cs="Arial"/>
          <w:sz w:val="22"/>
          <w:szCs w:val="22"/>
        </w:rPr>
        <w:t xml:space="preserve"> </w:t>
      </w:r>
      <w:r>
        <w:rPr>
          <w:rFonts w:ascii="Arial" w:hAnsi="Arial" w:cs="Arial"/>
          <w:sz w:val="22"/>
          <w:szCs w:val="22"/>
          <w:lang w:val="sr-Cyrl-CS"/>
        </w:rPr>
        <w:t>одбране</w:t>
      </w:r>
      <w:r w:rsidRPr="007D62F6">
        <w:rPr>
          <w:rFonts w:ascii="Arial" w:hAnsi="Arial" w:cs="Arial"/>
          <w:sz w:val="22"/>
          <w:szCs w:val="22"/>
        </w:rPr>
        <w:t xml:space="preserve"> </w:t>
      </w:r>
      <w:proofErr w:type="spellStart"/>
      <w:r w:rsidRPr="007D62F6">
        <w:rPr>
          <w:rFonts w:ascii="Arial" w:hAnsi="Arial" w:cs="Arial"/>
          <w:sz w:val="22"/>
          <w:szCs w:val="22"/>
        </w:rPr>
        <w:t>је</w:t>
      </w:r>
      <w:proofErr w:type="spellEnd"/>
      <w:r w:rsidRPr="007D62F6">
        <w:rPr>
          <w:rFonts w:ascii="Arial" w:hAnsi="Arial" w:cs="Arial"/>
          <w:sz w:val="22"/>
          <w:szCs w:val="22"/>
        </w:rPr>
        <w:t xml:space="preserve"> </w:t>
      </w:r>
      <w:proofErr w:type="spellStart"/>
      <w:r w:rsidRPr="007D62F6">
        <w:rPr>
          <w:rFonts w:ascii="Arial" w:hAnsi="Arial" w:cs="Arial"/>
          <w:sz w:val="22"/>
          <w:szCs w:val="22"/>
        </w:rPr>
        <w:t>дописом</w:t>
      </w:r>
      <w:proofErr w:type="spellEnd"/>
      <w:r w:rsidRPr="007D62F6">
        <w:rPr>
          <w:rFonts w:ascii="Arial" w:hAnsi="Arial" w:cs="Arial"/>
          <w:sz w:val="22"/>
          <w:szCs w:val="22"/>
        </w:rPr>
        <w:t xml:space="preserve"> </w:t>
      </w:r>
      <w:r>
        <w:rPr>
          <w:rFonts w:ascii="Arial" w:hAnsi="Arial" w:cs="Arial"/>
          <w:sz w:val="22"/>
          <w:szCs w:val="22"/>
          <w:lang w:val="sr-Cyrl-RS"/>
        </w:rPr>
        <w:t xml:space="preserve">број: 1632-8, </w:t>
      </w:r>
      <w:proofErr w:type="spellStart"/>
      <w:r w:rsidRPr="007D62F6">
        <w:rPr>
          <w:rFonts w:ascii="Arial" w:hAnsi="Arial" w:cs="Arial"/>
          <w:sz w:val="22"/>
          <w:szCs w:val="22"/>
        </w:rPr>
        <w:t>од</w:t>
      </w:r>
      <w:proofErr w:type="spellEnd"/>
      <w:r>
        <w:rPr>
          <w:rFonts w:ascii="Arial" w:hAnsi="Arial" w:cs="Arial"/>
          <w:sz w:val="22"/>
          <w:szCs w:val="22"/>
          <w:lang w:val="sr-Cyrl-RS"/>
        </w:rPr>
        <w:t xml:space="preserve"> 4. јула 2024. године,</w:t>
      </w:r>
      <w:r w:rsidRPr="007D62F6">
        <w:rPr>
          <w:rFonts w:ascii="Arial" w:hAnsi="Arial" w:cs="Arial"/>
          <w:sz w:val="22"/>
          <w:szCs w:val="22"/>
        </w:rPr>
        <w:t xml:space="preserve"> </w:t>
      </w:r>
      <w:proofErr w:type="spellStart"/>
      <w:r w:rsidRPr="007D62F6">
        <w:rPr>
          <w:rFonts w:ascii="Arial" w:hAnsi="Arial" w:cs="Arial"/>
          <w:sz w:val="22"/>
          <w:szCs w:val="22"/>
        </w:rPr>
        <w:t>доставило</w:t>
      </w:r>
      <w:proofErr w:type="spellEnd"/>
      <w:r w:rsidRPr="007D62F6">
        <w:rPr>
          <w:rFonts w:ascii="Arial" w:hAnsi="Arial" w:cs="Arial"/>
          <w:sz w:val="22"/>
          <w:szCs w:val="22"/>
        </w:rPr>
        <w:t xml:space="preserve"> </w:t>
      </w:r>
      <w:proofErr w:type="spellStart"/>
      <w:r w:rsidRPr="007D62F6">
        <w:rPr>
          <w:rFonts w:ascii="Arial" w:hAnsi="Arial" w:cs="Arial"/>
          <w:sz w:val="22"/>
          <w:szCs w:val="22"/>
        </w:rPr>
        <w:t>Поверенику</w:t>
      </w:r>
      <w:proofErr w:type="spellEnd"/>
      <w:r w:rsidRPr="007D62F6">
        <w:rPr>
          <w:rFonts w:ascii="Arial" w:hAnsi="Arial" w:cs="Arial"/>
          <w:sz w:val="22"/>
          <w:szCs w:val="22"/>
        </w:rPr>
        <w:t xml:space="preserve"> </w:t>
      </w:r>
      <w:proofErr w:type="spellStart"/>
      <w:r w:rsidRPr="007D62F6">
        <w:rPr>
          <w:rFonts w:ascii="Arial" w:hAnsi="Arial" w:cs="Arial"/>
          <w:sz w:val="22"/>
          <w:szCs w:val="22"/>
        </w:rPr>
        <w:t>за</w:t>
      </w:r>
      <w:proofErr w:type="spellEnd"/>
      <w:r w:rsidRPr="007D62F6">
        <w:rPr>
          <w:rFonts w:ascii="Arial" w:hAnsi="Arial" w:cs="Arial"/>
          <w:sz w:val="22"/>
          <w:szCs w:val="22"/>
        </w:rPr>
        <w:t xml:space="preserve"> </w:t>
      </w:r>
      <w:proofErr w:type="spellStart"/>
      <w:r w:rsidRPr="007D62F6">
        <w:rPr>
          <w:rFonts w:ascii="Arial" w:hAnsi="Arial" w:cs="Arial"/>
          <w:sz w:val="22"/>
          <w:szCs w:val="22"/>
        </w:rPr>
        <w:t>заштиту</w:t>
      </w:r>
      <w:proofErr w:type="spellEnd"/>
      <w:r w:rsidRPr="007D62F6">
        <w:rPr>
          <w:rFonts w:ascii="Arial" w:hAnsi="Arial" w:cs="Arial"/>
          <w:sz w:val="22"/>
          <w:szCs w:val="22"/>
        </w:rPr>
        <w:t xml:space="preserve"> </w:t>
      </w:r>
      <w:proofErr w:type="spellStart"/>
      <w:r w:rsidRPr="007D62F6">
        <w:rPr>
          <w:rFonts w:ascii="Arial" w:hAnsi="Arial" w:cs="Arial"/>
          <w:sz w:val="22"/>
          <w:szCs w:val="22"/>
        </w:rPr>
        <w:t>равноправности</w:t>
      </w:r>
      <w:proofErr w:type="spellEnd"/>
      <w:r w:rsidRPr="007D62F6">
        <w:rPr>
          <w:rFonts w:ascii="Arial" w:hAnsi="Arial" w:cs="Arial"/>
          <w:sz w:val="22"/>
          <w:szCs w:val="22"/>
        </w:rPr>
        <w:t xml:space="preserve"> </w:t>
      </w:r>
      <w:r w:rsidRPr="007D62F6">
        <w:rPr>
          <w:rFonts w:ascii="Arial" w:hAnsi="Arial" w:cs="Arial"/>
          <w:sz w:val="22"/>
          <w:szCs w:val="22"/>
          <w:lang w:val="sr-Cyrl-CS"/>
        </w:rPr>
        <w:t xml:space="preserve">Нацрт Закона о </w:t>
      </w:r>
      <w:r>
        <w:rPr>
          <w:rFonts w:ascii="Arial" w:hAnsi="Arial" w:cs="Arial"/>
          <w:sz w:val="22"/>
          <w:szCs w:val="22"/>
          <w:lang w:val="sr-Cyrl-CS"/>
        </w:rPr>
        <w:t>војном  образовању</w:t>
      </w:r>
      <w:r w:rsidR="00042BEB">
        <w:rPr>
          <w:rFonts w:ascii="Arial" w:hAnsi="Arial" w:cs="Arial"/>
          <w:sz w:val="22"/>
          <w:szCs w:val="22"/>
          <w:lang w:val="sr-Cyrl-CS"/>
        </w:rPr>
        <w:t xml:space="preserve"> (у даљем тексту: Нацрт закона)</w:t>
      </w:r>
      <w:r>
        <w:rPr>
          <w:rFonts w:ascii="Arial" w:hAnsi="Arial" w:cs="Arial"/>
          <w:sz w:val="22"/>
          <w:szCs w:val="22"/>
          <w:lang w:val="sr-Cyrl-CS"/>
        </w:rPr>
        <w:t xml:space="preserve">, са образложењем, Анализом ефеката закона и Извештајем о спроведеној јавној расправи, ради давања мишљења. </w:t>
      </w:r>
    </w:p>
    <w:p w:rsidR="002661B3" w:rsidRDefault="00042BEB" w:rsidP="003F331F">
      <w:pPr>
        <w:spacing w:after="0" w:line="240" w:lineRule="auto"/>
        <w:jc w:val="both"/>
        <w:rPr>
          <w:rFonts w:ascii="Arial" w:hAnsi="Arial" w:cs="Arial"/>
          <w:lang w:val="sr-Cyrl-RS"/>
        </w:rPr>
      </w:pPr>
      <w:r w:rsidRPr="002661B3">
        <w:rPr>
          <w:rFonts w:ascii="Arial" w:hAnsi="Arial" w:cs="Arial"/>
          <w:iCs/>
          <w:lang w:val="sr-Cyrl-RS"/>
        </w:rPr>
        <w:t>П</w:t>
      </w:r>
      <w:r w:rsidRPr="002661B3">
        <w:rPr>
          <w:rFonts w:ascii="Arial" w:hAnsi="Arial" w:cs="Arial"/>
          <w:iCs/>
        </w:rPr>
        <w:t>оступајући по овом допису,</w:t>
      </w:r>
      <w:r w:rsidRPr="002661B3">
        <w:rPr>
          <w:rFonts w:ascii="Arial" w:hAnsi="Arial" w:cs="Arial"/>
          <w:iCs/>
          <w:lang w:val="sr-Cyrl-RS"/>
        </w:rPr>
        <w:t xml:space="preserve"> а </w:t>
      </w:r>
      <w:r w:rsidR="0062366A">
        <w:rPr>
          <w:rFonts w:ascii="Arial" w:hAnsi="Arial" w:cs="Arial"/>
          <w:iCs/>
          <w:lang w:val="sr-Cyrl-RS"/>
        </w:rPr>
        <w:t>са аспекта делокруга рада Повереника</w:t>
      </w:r>
      <w:r w:rsidRPr="002661B3">
        <w:rPr>
          <w:rFonts w:ascii="Arial" w:hAnsi="Arial" w:cs="Arial"/>
          <w:iCs/>
          <w:lang w:val="sr-Cyrl-RS"/>
        </w:rPr>
        <w:t>,</w:t>
      </w:r>
      <w:r w:rsidRPr="002661B3">
        <w:rPr>
          <w:rFonts w:ascii="Arial" w:hAnsi="Arial" w:cs="Arial"/>
          <w:iCs/>
        </w:rPr>
        <w:t xml:space="preserve"> </w:t>
      </w:r>
      <w:r w:rsidRPr="002661B3">
        <w:rPr>
          <w:rFonts w:ascii="Arial" w:eastAsia="ヒラギノ角ゴ Pro W3" w:hAnsi="Arial" w:cs="Arial"/>
          <w:color w:val="000000"/>
          <w:lang w:val="sr-Cyrl-RS" w:eastAsia="sr-Cyrl-CS"/>
        </w:rPr>
        <w:t>најпре указује</w:t>
      </w:r>
      <w:r w:rsidR="00565D80">
        <w:rPr>
          <w:rFonts w:ascii="Arial" w:eastAsia="ヒラギノ角ゴ Pro W3" w:hAnsi="Arial" w:cs="Arial"/>
          <w:color w:val="000000"/>
          <w:lang w:val="sr-Cyrl-RS" w:eastAsia="sr-Cyrl-CS"/>
        </w:rPr>
        <w:t>мо</w:t>
      </w:r>
      <w:r w:rsidRPr="002661B3">
        <w:rPr>
          <w:rFonts w:ascii="Arial" w:eastAsia="ヒラギノ角ゴ Pro W3" w:hAnsi="Arial" w:cs="Arial"/>
          <w:color w:val="000000"/>
          <w:lang w:val="sr-Cyrl-RS" w:eastAsia="sr-Cyrl-CS"/>
        </w:rPr>
        <w:t xml:space="preserve"> да се одређеним одредаба</w:t>
      </w:r>
      <w:r w:rsidR="00565D80">
        <w:rPr>
          <w:rFonts w:ascii="Arial" w:eastAsia="ヒラギノ角ゴ Pro W3" w:hAnsi="Arial" w:cs="Arial"/>
          <w:color w:val="000000"/>
          <w:lang w:val="sr-Cyrl-RS" w:eastAsia="sr-Cyrl-CS"/>
        </w:rPr>
        <w:t>ма</w:t>
      </w:r>
      <w:r w:rsidRPr="002661B3">
        <w:rPr>
          <w:rFonts w:ascii="Arial" w:eastAsia="ヒラギノ角ゴ Pro W3" w:hAnsi="Arial" w:cs="Arial"/>
          <w:color w:val="000000"/>
          <w:lang w:val="sr-Cyrl-RS" w:eastAsia="sr-Cyrl-CS"/>
        </w:rPr>
        <w:t xml:space="preserve"> Нацрта закона уређују питања састава појединих органа у систему војног образовања, као што су на пример </w:t>
      </w:r>
      <w:r w:rsidR="006575AD" w:rsidRPr="002661B3">
        <w:rPr>
          <w:rFonts w:ascii="Arial" w:eastAsia="ヒラギノ角ゴ Pro W3" w:hAnsi="Arial" w:cs="Arial"/>
          <w:color w:val="000000"/>
          <w:lang w:val="sr-Cyrl-RS" w:eastAsia="sr-Cyrl-CS"/>
        </w:rPr>
        <w:t xml:space="preserve">Савет средње војне школе (чл.97.), Савет високошколске установе (чл.102.), Сенат Универзитета (чл.108.) и сл. С тим у вези </w:t>
      </w:r>
      <w:r w:rsidR="00565D80">
        <w:rPr>
          <w:rFonts w:ascii="Arial" w:eastAsia="ヒラギノ角ゴ Pro W3" w:hAnsi="Arial" w:cs="Arial"/>
          <w:color w:val="000000"/>
          <w:lang w:val="sr-Cyrl-RS" w:eastAsia="sr-Cyrl-CS"/>
        </w:rPr>
        <w:t xml:space="preserve">потребно је предвидети равноправно учешће полова у свим фазама избора за састав ових органа како би се обезбедило остваривање начела равноправности у саставу ових органа. </w:t>
      </w:r>
      <w:r w:rsidR="006575AD" w:rsidRPr="002661B3">
        <w:rPr>
          <w:rFonts w:ascii="Arial" w:eastAsia="ヒラギノ角ゴ Pro W3" w:hAnsi="Arial" w:cs="Arial"/>
          <w:color w:val="000000"/>
          <w:lang w:val="sr-Cyrl-RS" w:eastAsia="sr-Cyrl-CS"/>
        </w:rPr>
        <w:t>У прилог томе подсећамо</w:t>
      </w:r>
      <w:r w:rsidR="00B74D85">
        <w:rPr>
          <w:rFonts w:ascii="Arial" w:eastAsia="ヒラギノ角ゴ Pro W3" w:hAnsi="Arial" w:cs="Arial"/>
          <w:color w:val="000000"/>
          <w:lang w:val="sr-Cyrl-RS" w:eastAsia="sr-Cyrl-CS"/>
        </w:rPr>
        <w:t xml:space="preserve"> </w:t>
      </w:r>
      <w:r w:rsidR="00565D80">
        <w:rPr>
          <w:rFonts w:ascii="Arial" w:eastAsia="ヒラギノ角ゴ Pro W3" w:hAnsi="Arial" w:cs="Arial"/>
          <w:color w:val="000000"/>
          <w:lang w:val="sr-Cyrl-RS" w:eastAsia="sr-Cyrl-CS"/>
        </w:rPr>
        <w:t>да је</w:t>
      </w:r>
      <w:r w:rsidR="006575AD" w:rsidRPr="002661B3">
        <w:rPr>
          <w:rFonts w:ascii="Arial" w:eastAsia="ヒラギノ角ゴ Pro W3" w:hAnsi="Arial" w:cs="Arial"/>
          <w:color w:val="000000"/>
          <w:lang w:val="sr-Cyrl-RS" w:eastAsia="sr-Cyrl-CS"/>
        </w:rPr>
        <w:t xml:space="preserve"> Националним акционим планом за примену Резолуције 1325 Савета безбедности Уједињених нација – Жене, мир и безбедност у Републици Србији (2017-2020)</w:t>
      </w:r>
      <w:r w:rsidR="002661B3" w:rsidRPr="002661B3">
        <w:rPr>
          <w:rFonts w:ascii="Arial" w:eastAsia="ヒラギノ角ゴ Pro W3" w:hAnsi="Arial" w:cs="Arial"/>
          <w:color w:val="000000"/>
          <w:lang w:val="sr-Cyrl-RS" w:eastAsia="sr-Cyrl-CS"/>
        </w:rPr>
        <w:t xml:space="preserve">, </w:t>
      </w:r>
      <w:r w:rsidR="00565D80">
        <w:rPr>
          <w:rFonts w:ascii="Arial" w:eastAsia="ヒラギノ角ゴ Pro W3" w:hAnsi="Arial" w:cs="Arial"/>
          <w:color w:val="000000"/>
          <w:lang w:val="sr-Cyrl-RS" w:eastAsia="sr-Cyrl-CS"/>
        </w:rPr>
        <w:t xml:space="preserve">као циљ који је потребно остварити предвиђено </w:t>
      </w:r>
      <w:r w:rsidR="002661B3" w:rsidRPr="003F331F">
        <w:rPr>
          <w:rFonts w:ascii="Arial" w:eastAsia="ヒラギノ角ゴ Pro W3" w:hAnsi="Arial" w:cs="Arial"/>
          <w:i/>
          <w:color w:val="000000"/>
          <w:lang w:val="sr-Cyrl-RS" w:eastAsia="sr-Cyrl-CS"/>
        </w:rPr>
        <w:t>Повећа</w:t>
      </w:r>
      <w:r w:rsidR="00565D80">
        <w:rPr>
          <w:rFonts w:ascii="Arial" w:eastAsia="ヒラギノ角ゴ Pro W3" w:hAnsi="Arial" w:cs="Arial"/>
          <w:i/>
          <w:color w:val="000000"/>
          <w:lang w:val="sr-Cyrl-RS" w:eastAsia="sr-Cyrl-CS"/>
        </w:rPr>
        <w:t>ње</w:t>
      </w:r>
      <w:r w:rsidR="002661B3" w:rsidRPr="003F331F">
        <w:rPr>
          <w:rFonts w:ascii="Arial" w:eastAsia="ヒラギノ角ゴ Pro W3" w:hAnsi="Arial" w:cs="Arial"/>
          <w:i/>
          <w:color w:val="000000"/>
          <w:lang w:val="sr-Cyrl-RS" w:eastAsia="sr-Cyrl-CS"/>
        </w:rPr>
        <w:t xml:space="preserve"> заступљеност</w:t>
      </w:r>
      <w:r w:rsidR="00565D80">
        <w:rPr>
          <w:rFonts w:ascii="Arial" w:eastAsia="ヒラギノ角ゴ Pro W3" w:hAnsi="Arial" w:cs="Arial"/>
          <w:i/>
          <w:color w:val="000000"/>
          <w:lang w:val="sr-Cyrl-RS" w:eastAsia="sr-Cyrl-CS"/>
        </w:rPr>
        <w:t>и</w:t>
      </w:r>
      <w:r w:rsidR="002661B3" w:rsidRPr="003F331F">
        <w:rPr>
          <w:rFonts w:ascii="Arial" w:eastAsia="ヒラギノ角ゴ Pro W3" w:hAnsi="Arial" w:cs="Arial"/>
          <w:i/>
          <w:color w:val="000000"/>
          <w:lang w:val="sr-Cyrl-RS" w:eastAsia="sr-Cyrl-CS"/>
        </w:rPr>
        <w:t>, укљученост и одлучивање жена у свим процесима који се тичу очувања мира и безбедности</w:t>
      </w:r>
      <w:r w:rsidR="002661B3" w:rsidRPr="002661B3">
        <w:rPr>
          <w:rFonts w:ascii="Arial" w:eastAsia="ヒラギノ角ゴ Pro W3" w:hAnsi="Arial" w:cs="Arial"/>
          <w:color w:val="000000"/>
          <w:lang w:val="sr-Cyrl-RS" w:eastAsia="sr-Cyrl-CS"/>
        </w:rPr>
        <w:t xml:space="preserve"> управо кроз с</w:t>
      </w:r>
      <w:r w:rsidR="002661B3" w:rsidRPr="002661B3">
        <w:rPr>
          <w:rFonts w:ascii="Arial" w:hAnsi="Arial" w:cs="Arial"/>
        </w:rPr>
        <w:t>тварање једнаких могућности у пракси за школовање, запошљавање, каријерно вођење и напредовање жена (посебно жена из вишеструко дискриминисаних и мањинских група) и мушкараца у систему безбедности</w:t>
      </w:r>
      <w:r w:rsidR="002661B3" w:rsidRPr="002661B3">
        <w:rPr>
          <w:rFonts w:ascii="Arial" w:hAnsi="Arial" w:cs="Arial"/>
          <w:lang w:val="sr-Cyrl-RS"/>
        </w:rPr>
        <w:t xml:space="preserve"> (активност 3.3.), као и с</w:t>
      </w:r>
      <w:r w:rsidR="002661B3" w:rsidRPr="002661B3">
        <w:rPr>
          <w:rFonts w:ascii="Arial" w:hAnsi="Arial" w:cs="Arial"/>
        </w:rPr>
        <w:t>тварање једнаких могућности за повећање заступљености жена на позицијама ректора и проректора универзитета, декана, продекана, шефова катедри, наставника и полазника на свим нивоима школовања и усавршавања у области безбедности</w:t>
      </w:r>
      <w:r w:rsidR="002661B3" w:rsidRPr="002661B3">
        <w:rPr>
          <w:rFonts w:ascii="Arial" w:hAnsi="Arial" w:cs="Arial"/>
          <w:lang w:val="sr-Cyrl-RS"/>
        </w:rPr>
        <w:t xml:space="preserve"> (активност 3.4.)</w:t>
      </w:r>
      <w:r w:rsidR="003F331F">
        <w:rPr>
          <w:rFonts w:ascii="Arial" w:hAnsi="Arial" w:cs="Arial"/>
          <w:lang w:val="sr-Cyrl-RS"/>
        </w:rPr>
        <w:t xml:space="preserve">. </w:t>
      </w:r>
      <w:r w:rsidR="00565D80">
        <w:rPr>
          <w:rFonts w:ascii="Arial" w:hAnsi="Arial" w:cs="Arial"/>
          <w:lang w:val="sr-Cyrl-RS"/>
        </w:rPr>
        <w:t>Као н</w:t>
      </w:r>
      <w:r w:rsidR="003F331F" w:rsidRPr="003F331F">
        <w:rPr>
          <w:rFonts w:ascii="Arial" w:hAnsi="Arial" w:cs="Arial"/>
          <w:lang w:val="sr-Cyrl-RS"/>
        </w:rPr>
        <w:t xml:space="preserve">осиоци ових активности су, између осталог, </w:t>
      </w:r>
      <w:r w:rsidR="00565D80">
        <w:rPr>
          <w:rFonts w:ascii="Arial" w:hAnsi="Arial" w:cs="Arial"/>
          <w:lang w:val="sr-Cyrl-RS"/>
        </w:rPr>
        <w:t>предвиђени у</w:t>
      </w:r>
      <w:r w:rsidR="002661B3" w:rsidRPr="003F331F">
        <w:rPr>
          <w:rFonts w:ascii="Arial" w:hAnsi="Arial" w:cs="Arial"/>
        </w:rPr>
        <w:t xml:space="preserve">ниверзитети и образоване институције у области безбедности, </w:t>
      </w:r>
      <w:r w:rsidR="003F331F" w:rsidRPr="003F331F">
        <w:rPr>
          <w:rFonts w:ascii="Arial" w:hAnsi="Arial" w:cs="Arial"/>
          <w:lang w:val="sr-Cyrl-RS"/>
        </w:rPr>
        <w:t>као и органи држав</w:t>
      </w:r>
      <w:r w:rsidR="003F331F">
        <w:rPr>
          <w:rFonts w:ascii="Arial" w:hAnsi="Arial" w:cs="Arial"/>
          <w:lang w:val="sr-Cyrl-RS"/>
        </w:rPr>
        <w:t xml:space="preserve">не управе у систему безбедности са многобројним партнерима. </w:t>
      </w:r>
      <w:r w:rsidR="00565D80">
        <w:rPr>
          <w:rFonts w:ascii="Arial" w:hAnsi="Arial" w:cs="Arial"/>
          <w:lang w:val="sr-Cyrl-RS"/>
        </w:rPr>
        <w:t xml:space="preserve">Имајући у виду наведено </w:t>
      </w:r>
      <w:r w:rsidR="003F331F">
        <w:rPr>
          <w:rFonts w:ascii="Arial" w:hAnsi="Arial" w:cs="Arial"/>
          <w:lang w:val="sr-Cyrl-RS"/>
        </w:rPr>
        <w:t xml:space="preserve">мишљења смо да </w:t>
      </w:r>
      <w:r w:rsidR="00565D80">
        <w:rPr>
          <w:rFonts w:ascii="Arial" w:hAnsi="Arial" w:cs="Arial"/>
          <w:lang w:val="sr-Cyrl-RS"/>
        </w:rPr>
        <w:t xml:space="preserve">је </w:t>
      </w:r>
      <w:r w:rsidR="003F331F">
        <w:rPr>
          <w:rFonts w:ascii="Arial" w:hAnsi="Arial" w:cs="Arial"/>
          <w:lang w:val="sr-Cyrl-RS"/>
        </w:rPr>
        <w:t xml:space="preserve">наведене одредбе </w:t>
      </w:r>
      <w:r w:rsidR="00565D80">
        <w:rPr>
          <w:rFonts w:ascii="Arial" w:hAnsi="Arial" w:cs="Arial"/>
          <w:lang w:val="sr-Cyrl-RS"/>
        </w:rPr>
        <w:t>потребно</w:t>
      </w:r>
      <w:r w:rsidR="003F331F">
        <w:rPr>
          <w:rFonts w:ascii="Arial" w:hAnsi="Arial" w:cs="Arial"/>
          <w:lang w:val="sr-Cyrl-RS"/>
        </w:rPr>
        <w:t xml:space="preserve"> још једном размотрити са аспекта обезбеђивања заступљености мање заступљеног пола. </w:t>
      </w:r>
    </w:p>
    <w:p w:rsidR="00E244A5" w:rsidRDefault="00E244A5" w:rsidP="003F331F">
      <w:pPr>
        <w:spacing w:after="0" w:line="240" w:lineRule="auto"/>
        <w:jc w:val="both"/>
        <w:rPr>
          <w:rFonts w:ascii="Arial" w:hAnsi="Arial" w:cs="Arial"/>
          <w:lang w:val="sr-Cyrl-RS"/>
        </w:rPr>
      </w:pPr>
    </w:p>
    <w:p w:rsidR="009938AA" w:rsidRDefault="00E244A5" w:rsidP="003F331F">
      <w:pPr>
        <w:spacing w:after="0" w:line="240" w:lineRule="auto"/>
        <w:jc w:val="both"/>
        <w:rPr>
          <w:rFonts w:ascii="Arial" w:hAnsi="Arial" w:cs="Arial"/>
          <w:lang w:val="sr-Cyrl-RS"/>
        </w:rPr>
      </w:pPr>
      <w:r w:rsidRPr="00E244A5">
        <w:rPr>
          <w:rFonts w:ascii="Arial" w:hAnsi="Arial" w:cs="Arial"/>
          <w:lang w:val="sr-Cyrl-RS"/>
        </w:rPr>
        <w:t>Повереник указује и на недовољно јасно конципиране одредбе члана 150.</w:t>
      </w:r>
      <w:r>
        <w:rPr>
          <w:rFonts w:ascii="Arial" w:hAnsi="Arial" w:cs="Arial"/>
          <w:lang w:val="sr-Cyrl-RS"/>
        </w:rPr>
        <w:t xml:space="preserve"> ст</w:t>
      </w:r>
      <w:r w:rsidR="00565D80">
        <w:rPr>
          <w:rFonts w:ascii="Arial" w:hAnsi="Arial" w:cs="Arial"/>
          <w:lang w:val="sr-Cyrl-RS"/>
        </w:rPr>
        <w:t xml:space="preserve">ав </w:t>
      </w:r>
      <w:r>
        <w:rPr>
          <w:rFonts w:ascii="Arial" w:hAnsi="Arial" w:cs="Arial"/>
          <w:lang w:val="sr-Cyrl-RS"/>
        </w:rPr>
        <w:t>1.</w:t>
      </w:r>
      <w:r w:rsidRPr="00E244A5">
        <w:rPr>
          <w:rFonts w:ascii="Arial" w:hAnsi="Arial" w:cs="Arial"/>
          <w:lang w:val="sr-Cyrl-RS"/>
        </w:rPr>
        <w:t xml:space="preserve"> Нацрта закона. Наиме, овим чланом прописано је да наставном особљу из члана 129. став 2. овог закона, осим истраживачима, изборни период мирује, </w:t>
      </w:r>
      <w:r>
        <w:rPr>
          <w:rFonts w:ascii="Arial" w:hAnsi="Arial" w:cs="Arial"/>
          <w:lang w:val="sr-Cyrl-RS"/>
        </w:rPr>
        <w:t>о</w:t>
      </w:r>
      <w:r w:rsidRPr="00E244A5">
        <w:rPr>
          <w:rFonts w:ascii="Arial" w:hAnsi="Arial" w:cs="Arial"/>
          <w:lang w:val="sr-Cyrl-RS"/>
        </w:rPr>
        <w:t>дносно продужава се за време проведено на породиљском одсуству</w:t>
      </w:r>
      <w:r>
        <w:rPr>
          <w:rFonts w:ascii="Arial" w:hAnsi="Arial" w:cs="Arial"/>
          <w:lang w:val="sr-Cyrl-RS"/>
        </w:rPr>
        <w:t xml:space="preserve">, на одсуству </w:t>
      </w:r>
      <w:r w:rsidR="00565D80">
        <w:rPr>
          <w:rFonts w:ascii="Arial" w:hAnsi="Arial" w:cs="Arial"/>
          <w:lang w:val="sr-Cyrl-RS"/>
        </w:rPr>
        <w:t xml:space="preserve">са рада </w:t>
      </w:r>
      <w:r>
        <w:rPr>
          <w:rFonts w:ascii="Arial" w:hAnsi="Arial" w:cs="Arial"/>
          <w:lang w:val="sr-Cyrl-RS"/>
        </w:rPr>
        <w:t xml:space="preserve">ради неге детета, на одсуству </w:t>
      </w:r>
      <w:r w:rsidR="00565D80">
        <w:rPr>
          <w:rFonts w:ascii="Arial" w:hAnsi="Arial" w:cs="Arial"/>
          <w:lang w:val="sr-Cyrl-RS"/>
        </w:rPr>
        <w:t xml:space="preserve">са рада </w:t>
      </w:r>
      <w:r>
        <w:rPr>
          <w:rFonts w:ascii="Arial" w:hAnsi="Arial" w:cs="Arial"/>
          <w:lang w:val="sr-Cyrl-RS"/>
        </w:rPr>
        <w:t>ради посебне неге детета или другог лица према којем постоји законска обавеза издржавања, на привременој спречености за рад дуже од шест месеци, у војном представништву у иностранству дуже од шест месеци, у мировној мисији дуже од шест месеци, на каријерн</w:t>
      </w:r>
      <w:r w:rsidR="009938AA">
        <w:rPr>
          <w:rFonts w:ascii="Arial" w:hAnsi="Arial" w:cs="Arial"/>
          <w:lang w:val="sr-Cyrl-RS"/>
        </w:rPr>
        <w:t xml:space="preserve">ом усавршавању дуже од </w:t>
      </w:r>
      <w:r>
        <w:rPr>
          <w:rFonts w:ascii="Arial" w:hAnsi="Arial" w:cs="Arial"/>
          <w:lang w:val="sr-Cyrl-RS"/>
        </w:rPr>
        <w:t>шест месеци, на другим активностима</w:t>
      </w:r>
      <w:r w:rsidR="009938AA">
        <w:rPr>
          <w:rFonts w:ascii="Arial" w:hAnsi="Arial" w:cs="Arial"/>
          <w:lang w:val="sr-Cyrl-RS"/>
        </w:rPr>
        <w:t>,</w:t>
      </w:r>
      <w:r>
        <w:rPr>
          <w:rFonts w:ascii="Arial" w:hAnsi="Arial" w:cs="Arial"/>
          <w:lang w:val="sr-Cyrl-RS"/>
        </w:rPr>
        <w:t xml:space="preserve"> у складу са законом. </w:t>
      </w:r>
      <w:r w:rsidR="009938AA">
        <w:rPr>
          <w:rFonts w:ascii="Arial" w:hAnsi="Arial" w:cs="Arial"/>
          <w:lang w:val="sr-Cyrl-RS"/>
        </w:rPr>
        <w:t xml:space="preserve">Повереник је мишљења да би овако конципирана одредба морала бити </w:t>
      </w:r>
      <w:r w:rsidR="00E87F21">
        <w:rPr>
          <w:rFonts w:ascii="Arial" w:hAnsi="Arial" w:cs="Arial"/>
          <w:lang w:val="sr-Cyrl-RS"/>
        </w:rPr>
        <w:t>јасније написана</w:t>
      </w:r>
      <w:r w:rsidR="009938AA">
        <w:rPr>
          <w:rFonts w:ascii="Arial" w:hAnsi="Arial" w:cs="Arial"/>
          <w:lang w:val="sr-Cyrl-RS"/>
        </w:rPr>
        <w:t xml:space="preserve"> с обзиром на значење термина </w:t>
      </w:r>
      <w:r w:rsidR="009938AA" w:rsidRPr="009938AA">
        <w:rPr>
          <w:rFonts w:ascii="Arial" w:hAnsi="Arial" w:cs="Arial"/>
          <w:i/>
          <w:lang w:val="sr-Cyrl-RS"/>
        </w:rPr>
        <w:t>мировање</w:t>
      </w:r>
      <w:r w:rsidR="009938AA">
        <w:rPr>
          <w:rFonts w:ascii="Arial" w:hAnsi="Arial" w:cs="Arial"/>
          <w:i/>
          <w:lang w:val="sr-Cyrl-RS"/>
        </w:rPr>
        <w:t xml:space="preserve"> </w:t>
      </w:r>
      <w:r w:rsidR="00E87F21" w:rsidRPr="00E87F21">
        <w:rPr>
          <w:rFonts w:ascii="Arial" w:hAnsi="Arial" w:cs="Arial"/>
          <w:lang w:val="sr-Cyrl-RS"/>
        </w:rPr>
        <w:t>из Закона о раду</w:t>
      </w:r>
      <w:r w:rsidR="00E87F21">
        <w:rPr>
          <w:rFonts w:ascii="Arial" w:hAnsi="Arial" w:cs="Arial"/>
          <w:lang w:val="sr-Cyrl-RS"/>
        </w:rPr>
        <w:t xml:space="preserve">, </w:t>
      </w:r>
      <w:r w:rsidR="009938AA">
        <w:rPr>
          <w:rFonts w:ascii="Arial" w:hAnsi="Arial" w:cs="Arial"/>
          <w:lang w:val="sr-Cyrl-RS"/>
        </w:rPr>
        <w:t>како би се избегл</w:t>
      </w:r>
      <w:r w:rsidR="00E87F21">
        <w:rPr>
          <w:rFonts w:ascii="Arial" w:hAnsi="Arial" w:cs="Arial"/>
          <w:lang w:val="sr-Cyrl-RS"/>
        </w:rPr>
        <w:t xml:space="preserve">о евентуално погрешно тумачење закона. </w:t>
      </w:r>
      <w:r w:rsidR="009938AA">
        <w:rPr>
          <w:rFonts w:ascii="Arial" w:hAnsi="Arial" w:cs="Arial"/>
          <w:lang w:val="sr-Cyrl-RS"/>
        </w:rPr>
        <w:t xml:space="preserve">Други недовољно јасан аспект ове одредбе је издвајање истраживача из групе на коју се односи могућност да изборни период мирује, односно да се продужава. </w:t>
      </w:r>
    </w:p>
    <w:p w:rsidR="009938AA" w:rsidRPr="009938AA" w:rsidRDefault="009938AA" w:rsidP="003F331F">
      <w:pPr>
        <w:spacing w:after="0" w:line="240" w:lineRule="auto"/>
        <w:jc w:val="both"/>
        <w:rPr>
          <w:rFonts w:ascii="Arial" w:hAnsi="Arial" w:cs="Arial"/>
          <w:lang w:val="sr-Cyrl-RS"/>
        </w:rPr>
      </w:pPr>
    </w:p>
    <w:p w:rsidR="00042BEB" w:rsidRDefault="00E87F21" w:rsidP="00CD4531">
      <w:pPr>
        <w:spacing w:line="240" w:lineRule="auto"/>
        <w:jc w:val="both"/>
        <w:rPr>
          <w:rFonts w:ascii="Arial" w:hAnsi="Arial" w:cs="Arial"/>
          <w:shd w:val="clear" w:color="auto" w:fill="FFFFFF"/>
          <w:lang w:val="sr-Cyrl-RS"/>
        </w:rPr>
      </w:pPr>
      <w:r>
        <w:rPr>
          <w:rFonts w:ascii="Arial" w:hAnsi="Arial" w:cs="Arial"/>
          <w:shd w:val="clear" w:color="auto" w:fill="FFFFFF"/>
          <w:lang w:val="sr-Cyrl-RS"/>
        </w:rPr>
        <w:t xml:space="preserve">У члану 153. став 1. Нацрта закона прописано је да наставник коме је престала професионална војна служба, са правом на пензију у складу са законом, задржава звање које је имао у тренутку престанка службе, док је ставом 2. прописано да наставник из става 1. овог члана може бити ангажован на свим нивоима студија и усавршавања, најдуже две школске године након одласка у пензију. С тим у вези нејасно је зашто је прописано ограничење од две године имајући у виду да </w:t>
      </w:r>
      <w:r w:rsidR="00A81F66">
        <w:rPr>
          <w:rFonts w:ascii="Arial" w:hAnsi="Arial" w:cs="Arial"/>
          <w:shd w:val="clear" w:color="auto" w:fill="FFFFFF"/>
          <w:lang w:val="sr-Cyrl-RS"/>
        </w:rPr>
        <w:t>лица у професионалној служби могу стећи раније право на пензију у односу на наставнике у образовним установама које нису у систему војног образовања, чиме им се ограничава право на рад у односу на ову категорију грађана.</w:t>
      </w:r>
    </w:p>
    <w:p w:rsidR="00042BEB" w:rsidRPr="005071DE" w:rsidRDefault="00042BEB" w:rsidP="00CD4531">
      <w:pPr>
        <w:spacing w:line="240" w:lineRule="auto"/>
        <w:jc w:val="both"/>
        <w:rPr>
          <w:rFonts w:ascii="Arial" w:hAnsi="Arial" w:cs="Arial"/>
          <w:shd w:val="clear" w:color="auto" w:fill="FFFFFF"/>
          <w:lang w:val="sr-Cyrl-RS"/>
        </w:rPr>
      </w:pPr>
    </w:p>
    <w:tbl>
      <w:tblPr>
        <w:tblW w:w="10076" w:type="dxa"/>
        <w:tblLook w:val="04A0" w:firstRow="1" w:lastRow="0" w:firstColumn="1" w:lastColumn="0" w:noHBand="0" w:noVBand="1"/>
      </w:tblPr>
      <w:tblGrid>
        <w:gridCol w:w="3364"/>
        <w:gridCol w:w="2555"/>
        <w:gridCol w:w="4157"/>
      </w:tblGrid>
      <w:tr w:rsidR="00CD4531" w:rsidRPr="005071DE" w:rsidTr="000119EA">
        <w:trPr>
          <w:trHeight w:val="318"/>
        </w:trPr>
        <w:tc>
          <w:tcPr>
            <w:tcW w:w="3364" w:type="dxa"/>
            <w:vMerge w:val="restart"/>
          </w:tcPr>
          <w:p w:rsidR="00CD4531" w:rsidRPr="005071DE" w:rsidRDefault="00CD4531" w:rsidP="000119EA">
            <w:pPr>
              <w:pStyle w:val="Body"/>
              <w:tabs>
                <w:tab w:val="left" w:pos="1134"/>
              </w:tabs>
              <w:rPr>
                <w:rFonts w:ascii="Arial" w:eastAsia="Times New Roman" w:hAnsi="Arial" w:cs="Arial"/>
                <w:color w:val="auto"/>
                <w:sz w:val="22"/>
                <w:szCs w:val="22"/>
                <w:lang w:val="sr-Cyrl-RS"/>
              </w:rPr>
            </w:pPr>
          </w:p>
        </w:tc>
        <w:tc>
          <w:tcPr>
            <w:tcW w:w="2555" w:type="dxa"/>
            <w:vMerge w:val="restart"/>
          </w:tcPr>
          <w:p w:rsidR="00CD4531" w:rsidRPr="005071DE" w:rsidRDefault="00CD4531" w:rsidP="000119EA">
            <w:pPr>
              <w:pStyle w:val="Body"/>
              <w:tabs>
                <w:tab w:val="left" w:pos="1134"/>
              </w:tabs>
              <w:rPr>
                <w:rFonts w:ascii="Arial" w:hAnsi="Arial" w:cs="Arial"/>
                <w:color w:val="auto"/>
                <w:sz w:val="22"/>
                <w:szCs w:val="22"/>
                <w:lang w:val="sr-Cyrl-RS"/>
              </w:rPr>
            </w:pPr>
          </w:p>
        </w:tc>
        <w:tc>
          <w:tcPr>
            <w:tcW w:w="4157" w:type="dxa"/>
          </w:tcPr>
          <w:p w:rsidR="00CD4531" w:rsidRPr="005071DE" w:rsidRDefault="00CD4531" w:rsidP="000119EA">
            <w:pPr>
              <w:pStyle w:val="Body"/>
              <w:tabs>
                <w:tab w:val="left" w:pos="1134"/>
              </w:tabs>
              <w:jc w:val="center"/>
              <w:rPr>
                <w:rFonts w:ascii="Arial" w:hAnsi="Arial" w:cs="Arial"/>
                <w:b/>
                <w:color w:val="auto"/>
                <w:sz w:val="22"/>
                <w:szCs w:val="22"/>
                <w:lang w:val="sr-Cyrl-RS"/>
              </w:rPr>
            </w:pPr>
            <w:r w:rsidRPr="005071DE">
              <w:rPr>
                <w:rFonts w:ascii="Arial" w:hAnsi="Arial" w:cs="Arial"/>
                <w:b/>
                <w:color w:val="auto"/>
                <w:sz w:val="22"/>
                <w:szCs w:val="22"/>
                <w:lang w:val="sr-Cyrl-RS"/>
              </w:rPr>
              <w:t>ПОВЕРЕНИЦА ЗА ЗАШТИТУ РАВНОПРАВНОСТИ</w:t>
            </w:r>
          </w:p>
          <w:p w:rsidR="00CD4531" w:rsidRPr="005071DE" w:rsidRDefault="00CD4531" w:rsidP="000119EA">
            <w:pPr>
              <w:pStyle w:val="Body"/>
              <w:tabs>
                <w:tab w:val="left" w:pos="1134"/>
              </w:tabs>
              <w:jc w:val="center"/>
              <w:rPr>
                <w:rFonts w:ascii="Arial" w:hAnsi="Arial" w:cs="Arial"/>
                <w:color w:val="auto"/>
                <w:sz w:val="22"/>
                <w:szCs w:val="22"/>
                <w:lang w:val="sr-Cyrl-RS"/>
              </w:rPr>
            </w:pPr>
          </w:p>
        </w:tc>
      </w:tr>
      <w:tr w:rsidR="00CD4531" w:rsidRPr="005071DE" w:rsidTr="000119EA">
        <w:trPr>
          <w:trHeight w:val="317"/>
        </w:trPr>
        <w:tc>
          <w:tcPr>
            <w:tcW w:w="0" w:type="auto"/>
            <w:vMerge/>
            <w:vAlign w:val="center"/>
            <w:hideMark/>
          </w:tcPr>
          <w:p w:rsidR="00CD4531" w:rsidRPr="005071DE" w:rsidRDefault="00CD4531" w:rsidP="000119EA">
            <w:pPr>
              <w:spacing w:after="0" w:line="240" w:lineRule="auto"/>
              <w:rPr>
                <w:rFonts w:ascii="Arial" w:eastAsia="Times New Roman" w:hAnsi="Arial" w:cs="Arial"/>
                <w:lang w:val="sr-Cyrl-RS" w:eastAsia="sr-Cyrl-CS"/>
              </w:rPr>
            </w:pPr>
          </w:p>
        </w:tc>
        <w:tc>
          <w:tcPr>
            <w:tcW w:w="0" w:type="auto"/>
            <w:vMerge/>
            <w:vAlign w:val="center"/>
            <w:hideMark/>
          </w:tcPr>
          <w:p w:rsidR="00CD4531" w:rsidRPr="005071DE" w:rsidRDefault="00CD4531" w:rsidP="000119EA">
            <w:pPr>
              <w:spacing w:after="0" w:line="240" w:lineRule="auto"/>
              <w:rPr>
                <w:rFonts w:ascii="Arial" w:eastAsia="ヒラギノ角ゴ Pro W3" w:hAnsi="Arial" w:cs="Arial"/>
                <w:lang w:val="sr-Cyrl-RS" w:eastAsia="sr-Cyrl-CS"/>
              </w:rPr>
            </w:pPr>
          </w:p>
        </w:tc>
        <w:tc>
          <w:tcPr>
            <w:tcW w:w="4157" w:type="dxa"/>
            <w:vAlign w:val="center"/>
            <w:hideMark/>
          </w:tcPr>
          <w:p w:rsidR="00CD4531" w:rsidRPr="005071DE" w:rsidRDefault="00CD4531" w:rsidP="000119EA">
            <w:pPr>
              <w:pStyle w:val="Body"/>
              <w:tabs>
                <w:tab w:val="left" w:pos="1134"/>
              </w:tabs>
              <w:jc w:val="center"/>
              <w:rPr>
                <w:rFonts w:ascii="Arial" w:hAnsi="Arial" w:cs="Arial"/>
                <w:b/>
                <w:color w:val="auto"/>
                <w:sz w:val="22"/>
                <w:szCs w:val="22"/>
                <w:lang w:val="sr-Cyrl-RS"/>
              </w:rPr>
            </w:pPr>
            <w:r w:rsidRPr="005071DE">
              <w:rPr>
                <w:rFonts w:ascii="Arial" w:hAnsi="Arial" w:cs="Arial"/>
                <w:b/>
                <w:color w:val="auto"/>
                <w:sz w:val="22"/>
                <w:szCs w:val="22"/>
                <w:lang w:val="sr-Cyrl-RS"/>
              </w:rPr>
              <w:t>Бранкица Јанковић</w:t>
            </w:r>
          </w:p>
          <w:p w:rsidR="00CD4531" w:rsidRPr="005071DE" w:rsidRDefault="00CD4531" w:rsidP="000119EA">
            <w:pPr>
              <w:pStyle w:val="Body"/>
              <w:tabs>
                <w:tab w:val="left" w:pos="1134"/>
              </w:tabs>
              <w:jc w:val="center"/>
              <w:rPr>
                <w:rFonts w:ascii="Arial" w:hAnsi="Arial" w:cs="Arial"/>
                <w:b/>
                <w:color w:val="auto"/>
                <w:sz w:val="22"/>
                <w:szCs w:val="22"/>
                <w:lang w:val="sr-Cyrl-RS"/>
              </w:rPr>
            </w:pPr>
          </w:p>
        </w:tc>
      </w:tr>
    </w:tbl>
    <w:p w:rsidR="00CD4531" w:rsidRDefault="00CD4531" w:rsidP="00CD4531">
      <w:pPr>
        <w:spacing w:after="0" w:line="240" w:lineRule="auto"/>
        <w:jc w:val="both"/>
        <w:rPr>
          <w:rFonts w:ascii="Arial" w:hAnsi="Arial" w:cs="Arial"/>
        </w:rPr>
      </w:pPr>
    </w:p>
    <w:p w:rsidR="00CD4531" w:rsidRDefault="00CD4531" w:rsidP="00CD4531">
      <w:pPr>
        <w:spacing w:after="180" w:line="240" w:lineRule="auto"/>
        <w:jc w:val="both"/>
        <w:rPr>
          <w:rFonts w:ascii="Arial" w:hAnsi="Arial" w:cs="Arial"/>
          <w:color w:val="000000"/>
        </w:rPr>
      </w:pPr>
    </w:p>
    <w:p w:rsidR="00E544D3" w:rsidRDefault="00E544D3"/>
    <w:sectPr w:rsidR="00E544D3" w:rsidSect="0006693F">
      <w:footerReference w:type="default" r:id="rId8"/>
      <w:footerReference w:type="first" r:id="rId9"/>
      <w:pgSz w:w="11906" w:h="16838"/>
      <w:pgMar w:top="1260" w:right="1021" w:bottom="1800"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A6" w:rsidRDefault="00D870A6" w:rsidP="00CD4531">
      <w:pPr>
        <w:spacing w:after="0" w:line="240" w:lineRule="auto"/>
      </w:pPr>
      <w:r>
        <w:separator/>
      </w:r>
    </w:p>
  </w:endnote>
  <w:endnote w:type="continuationSeparator" w:id="0">
    <w:p w:rsidR="00D870A6" w:rsidRDefault="00D870A6" w:rsidP="00CD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45" w:rsidRDefault="00CD4531">
    <w:pPr>
      <w:pStyle w:val="Footer"/>
    </w:pPr>
    <w:r>
      <w:rPr>
        <w:noProof/>
        <w:lang w:val="en-US"/>
      </w:rPr>
      <mc:AlternateContent>
        <mc:Choice Requires="wps">
          <w:drawing>
            <wp:anchor distT="152400" distB="152400" distL="152400" distR="152400" simplePos="0" relativeHeight="251659264" behindDoc="0" locked="0" layoutInCell="1" allowOverlap="1">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C5B45" w:rsidRDefault="006B67D9" w:rsidP="009F1163">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lang w:val="sr-Cyrl-RS"/>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6C5B45" w:rsidRPr="006560D2" w:rsidRDefault="006B67D9" w:rsidP="009F1163">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136135">
                            <w:rPr>
                              <w:rFonts w:ascii="Arial" w:hAnsi="Arial" w:cs="Arial"/>
                              <w:noProof/>
                              <w:sz w:val="16"/>
                              <w:lang w:val="sr-Cyrl-RS"/>
                            </w:rPr>
                            <w:t>2</w:t>
                          </w:r>
                          <w:r w:rsidRPr="006560D2">
                            <w:rPr>
                              <w:rFonts w:ascii="Arial" w:hAnsi="Arial" w:cs="Arial"/>
                              <w:sz w:val="16"/>
                              <w:lang w:val="sr-Cyrl-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6C5B45" w:rsidRDefault="006B67D9" w:rsidP="009F1163">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lang w:val="sr-Cyrl-RS"/>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6C5B45" w:rsidRPr="006560D2" w:rsidRDefault="006B67D9" w:rsidP="009F1163">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136135">
                      <w:rPr>
                        <w:rFonts w:ascii="Arial" w:hAnsi="Arial" w:cs="Arial"/>
                        <w:noProof/>
                        <w:sz w:val="16"/>
                        <w:lang w:val="sr-Cyrl-RS"/>
                      </w:rPr>
                      <w:t>2</w:t>
                    </w:r>
                    <w:r w:rsidRPr="006560D2">
                      <w:rPr>
                        <w:rFonts w:ascii="Arial" w:hAnsi="Arial" w:cs="Arial"/>
                        <w:sz w:val="16"/>
                        <w:lang w:val="sr-Cyrl-RS"/>
                      </w:rPr>
                      <w:fldChar w:fldCharType="end"/>
                    </w:r>
                  </w:p>
                </w:txbxContent>
              </v:textbox>
              <w10:wrap type="square" anchorx="page" anchory="page"/>
            </v:rect>
          </w:pict>
        </mc:Fallback>
      </mc:AlternateContent>
    </w:r>
    <w:r>
      <w:rPr>
        <w:noProof/>
        <w:lang w:val="en-US"/>
      </w:rPr>
      <w:drawing>
        <wp:anchor distT="0" distB="0" distL="114300" distR="114300" simplePos="0" relativeHeight="251660288" behindDoc="0" locked="0" layoutInCell="1" allowOverlap="1">
          <wp:simplePos x="0" y="0"/>
          <wp:positionH relativeFrom="page">
            <wp:posOffset>457200</wp:posOffset>
          </wp:positionH>
          <wp:positionV relativeFrom="page">
            <wp:posOffset>9458325</wp:posOffset>
          </wp:positionV>
          <wp:extent cx="6642100" cy="52387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2" w:rsidRDefault="00CD4531">
    <w:pPr>
      <w:pStyle w:val="Footer"/>
    </w:pPr>
    <w:r>
      <w:rPr>
        <w:noProof/>
        <w:lang w:val="en-US"/>
      </w:rPr>
      <mc:AlternateContent>
        <mc:Choice Requires="wps">
          <w:drawing>
            <wp:anchor distT="152400" distB="152400" distL="152400" distR="152400" simplePos="0" relativeHeight="251662336" behindDoc="0" locked="0" layoutInCell="1" allowOverlap="1">
              <wp:simplePos x="0" y="0"/>
              <wp:positionH relativeFrom="page">
                <wp:posOffset>751205</wp:posOffset>
              </wp:positionH>
              <wp:positionV relativeFrom="page">
                <wp:posOffset>9911715</wp:posOffset>
              </wp:positionV>
              <wp:extent cx="6165850" cy="57150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560D2" w:rsidRDefault="006B67D9" w:rsidP="006560D2">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6560D2" w:rsidRPr="006560D2" w:rsidRDefault="006B67D9" w:rsidP="006560D2">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59.15pt;margin-top:780.45pt;width:485.5pt;height:4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6560D2" w:rsidRDefault="006B67D9" w:rsidP="006560D2">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6560D2" w:rsidRPr="006560D2" w:rsidRDefault="006B67D9" w:rsidP="006560D2">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p>
                </w:txbxContent>
              </v:textbox>
              <w10:wrap type="square" anchorx="page" anchory="page"/>
            </v:rect>
          </w:pict>
        </mc:Fallback>
      </mc:AlternateContent>
    </w:r>
    <w:r>
      <w:rPr>
        <w:noProof/>
        <w:lang w:val="en-US"/>
      </w:rPr>
      <w:drawing>
        <wp:anchor distT="0" distB="0" distL="114300" distR="114300" simplePos="0" relativeHeight="251661312" behindDoc="0" locked="0" layoutInCell="1" allowOverlap="1">
          <wp:simplePos x="0" y="0"/>
          <wp:positionH relativeFrom="page">
            <wp:posOffset>530860</wp:posOffset>
          </wp:positionH>
          <wp:positionV relativeFrom="page">
            <wp:posOffset>9486900</wp:posOffset>
          </wp:positionV>
          <wp:extent cx="6642100" cy="52387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A6" w:rsidRDefault="00D870A6" w:rsidP="00CD4531">
      <w:pPr>
        <w:spacing w:after="0" w:line="240" w:lineRule="auto"/>
      </w:pPr>
      <w:r>
        <w:separator/>
      </w:r>
    </w:p>
  </w:footnote>
  <w:footnote w:type="continuationSeparator" w:id="0">
    <w:p w:rsidR="00D870A6" w:rsidRDefault="00D870A6" w:rsidP="00CD4531">
      <w:pPr>
        <w:spacing w:after="0" w:line="240" w:lineRule="auto"/>
      </w:pPr>
      <w:r>
        <w:continuationSeparator/>
      </w:r>
    </w:p>
  </w:footnote>
  <w:footnote w:id="1">
    <w:p w:rsidR="00CD4531" w:rsidRDefault="00CD4531" w:rsidP="00CD4531">
      <w:pPr>
        <w:pStyle w:val="FootnoteText"/>
      </w:pPr>
      <w:r>
        <w:rPr>
          <w:rStyle w:val="FootnoteReference"/>
        </w:rPr>
        <w:footnoteRef/>
      </w:r>
      <w:r>
        <w:t xml:space="preserve"> </w:t>
      </w:r>
      <w:r>
        <w:rPr>
          <w:rFonts w:ascii="Arial" w:hAnsi="Arial" w:cs="Arial"/>
          <w:sz w:val="16"/>
          <w:szCs w:val="16"/>
          <w:lang w:val="sr-Cyrl-RS"/>
        </w:rPr>
        <w:t xml:space="preserve">Закон о забрани дискриминације („Службени гласник РС”, број  22/09, 52/21 члан 1. и члан 33. </w:t>
      </w:r>
      <w:r>
        <w:rPr>
          <w:rFonts w:ascii="Arial" w:hAnsi="Arial" w:cs="Arial"/>
          <w:sz w:val="16"/>
          <w:szCs w:val="16"/>
        </w:rPr>
        <w:t xml:space="preserve">став 1. </w:t>
      </w:r>
      <w:r>
        <w:rPr>
          <w:rFonts w:ascii="Arial" w:hAnsi="Arial" w:cs="Arial"/>
          <w:sz w:val="16"/>
          <w:szCs w:val="16"/>
          <w:lang w:val="sr-Cyrl-RS"/>
        </w:rPr>
        <w:t>тачка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31"/>
    <w:rsid w:val="00042BEB"/>
    <w:rsid w:val="00136135"/>
    <w:rsid w:val="00201CB4"/>
    <w:rsid w:val="002025C0"/>
    <w:rsid w:val="002661B3"/>
    <w:rsid w:val="003F331F"/>
    <w:rsid w:val="004C29F9"/>
    <w:rsid w:val="00565D80"/>
    <w:rsid w:val="005D5097"/>
    <w:rsid w:val="0062366A"/>
    <w:rsid w:val="006575AD"/>
    <w:rsid w:val="006B67D9"/>
    <w:rsid w:val="00810136"/>
    <w:rsid w:val="0095290A"/>
    <w:rsid w:val="009938AA"/>
    <w:rsid w:val="009F1BA3"/>
    <w:rsid w:val="00A81F66"/>
    <w:rsid w:val="00B74D85"/>
    <w:rsid w:val="00BD1C5A"/>
    <w:rsid w:val="00C56277"/>
    <w:rsid w:val="00C62DB6"/>
    <w:rsid w:val="00CD4531"/>
    <w:rsid w:val="00D229E6"/>
    <w:rsid w:val="00D503D5"/>
    <w:rsid w:val="00D870A6"/>
    <w:rsid w:val="00E042A8"/>
    <w:rsid w:val="00E244A5"/>
    <w:rsid w:val="00E544D3"/>
    <w:rsid w:val="00E87F21"/>
    <w:rsid w:val="00E94F27"/>
    <w:rsid w:val="00F1594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7A265-86AE-40F2-A3E9-E8623B4B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31"/>
    <w:rPr>
      <w:rFonts w:ascii="Calibri" w:eastAsia="Calibri" w:hAnsi="Calibri" w:cs="Times New Roman"/>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453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4531"/>
    <w:rPr>
      <w:rFonts w:ascii="Calibri" w:eastAsia="Calibri" w:hAnsi="Calibri" w:cs="Times New Roman"/>
      <w:lang w:val="sr-Cyrl-CS"/>
    </w:rPr>
  </w:style>
  <w:style w:type="paragraph" w:customStyle="1" w:styleId="FreeFormAA">
    <w:name w:val="Free Form A A"/>
    <w:rsid w:val="00CD4531"/>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single space Char,ft Char,ft,Footnote Text Char Char Char Char Char Char Char Char,Footnote Text Char Char Char Char1 Ch"/>
    <w:basedOn w:val="Normal"/>
    <w:link w:val="FootnoteTextChar"/>
    <w:uiPriority w:val="99"/>
    <w:unhideWhenUsed/>
    <w:rsid w:val="00CD4531"/>
    <w:pPr>
      <w:spacing w:after="0" w:line="240" w:lineRule="auto"/>
    </w:pPr>
    <w:rPr>
      <w:sz w:val="20"/>
      <w:szCs w:val="20"/>
    </w:rPr>
  </w:style>
  <w:style w:type="character" w:customStyle="1" w:styleId="FootnoteTextChar">
    <w:name w:val="Footnote Text Char"/>
    <w:aliases w:val="single space Char1,footnote text Char Char,footnote text Char1,Footnote Text Char Char Char Char,Footnote Text Char Char Char1,single space Char Char,ft Char Char,ft Char1,Footnote Text Char Char Char Char Char Char Char Char Char"/>
    <w:basedOn w:val="DefaultParagraphFont"/>
    <w:link w:val="FootnoteText"/>
    <w:uiPriority w:val="99"/>
    <w:rsid w:val="00CD4531"/>
    <w:rPr>
      <w:rFonts w:ascii="Calibri" w:eastAsia="Calibri" w:hAnsi="Calibri" w:cs="Times New Roman"/>
      <w:sz w:val="20"/>
      <w:szCs w:val="20"/>
      <w:lang w:val="sr-Cyrl-C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fn Cha, Exposant 3 Point"/>
    <w:link w:val="BVIfnrCharCharCharChar1CharChar"/>
    <w:unhideWhenUsed/>
    <w:qFormat/>
    <w:rsid w:val="00CD4531"/>
    <w:rPr>
      <w:vertAlign w:val="superscript"/>
    </w:rPr>
  </w:style>
  <w:style w:type="paragraph" w:customStyle="1" w:styleId="Body">
    <w:name w:val="Body"/>
    <w:rsid w:val="00CD4531"/>
    <w:pPr>
      <w:spacing w:after="0" w:line="240" w:lineRule="auto"/>
    </w:pPr>
    <w:rPr>
      <w:rFonts w:ascii="Helvetica" w:eastAsia="ヒラギノ角ゴ Pro W3" w:hAnsi="Helvetica" w:cs="Times New Roman"/>
      <w:color w:val="000000"/>
      <w:sz w:val="24"/>
      <w:szCs w:val="20"/>
      <w:lang w:val="en-US"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rsid w:val="00CD4531"/>
    <w:pPr>
      <w:spacing w:after="160" w:line="240" w:lineRule="exact"/>
    </w:pPr>
    <w:rPr>
      <w:rFonts w:asciiTheme="minorHAnsi" w:eastAsiaTheme="minorHAnsi" w:hAnsiTheme="minorHAnsi" w:cstheme="minorBidi"/>
      <w:vertAlign w:val="superscript"/>
      <w:lang w:val="sr-Cyrl-RS"/>
    </w:rPr>
  </w:style>
  <w:style w:type="paragraph" w:styleId="BalloonText">
    <w:name w:val="Balloon Text"/>
    <w:basedOn w:val="Normal"/>
    <w:link w:val="BalloonTextChar"/>
    <w:uiPriority w:val="99"/>
    <w:semiHidden/>
    <w:unhideWhenUsed/>
    <w:rsid w:val="00E9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27"/>
    <w:rPr>
      <w:rFonts w:ascii="Segoe UI" w:eastAsia="Calibri" w:hAnsi="Segoe UI" w:cs="Segoe UI"/>
      <w:sz w:val="18"/>
      <w:szCs w:val="18"/>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4145</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Poverenik 70</dc:creator>
  <cp:lastModifiedBy>kmirjana</cp:lastModifiedBy>
  <cp:revision>8</cp:revision>
  <cp:lastPrinted>2024-08-02T13:36:00Z</cp:lastPrinted>
  <dcterms:created xsi:type="dcterms:W3CDTF">2024-07-19T12:17:00Z</dcterms:created>
  <dcterms:modified xsi:type="dcterms:W3CDTF">2024-08-05T07:31:00Z</dcterms:modified>
</cp:coreProperties>
</file>