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EB6433" w:rsidRPr="00EB6433" w:rsidTr="00534D9F">
        <w:tc>
          <w:tcPr>
            <w:tcW w:w="2324" w:type="dxa"/>
            <w:gridSpan w:val="3"/>
          </w:tcPr>
          <w:p w:rsidR="00EB6433" w:rsidRPr="00EB6433" w:rsidRDefault="00EB6433" w:rsidP="0045709C">
            <w:pPr>
              <w:spacing w:before="120" w:after="0" w:line="240" w:lineRule="auto"/>
              <w:rPr>
                <w:rFonts w:ascii="Calibri" w:eastAsia="Calibri" w:hAnsi="Calibri" w:cs="Times New Roman"/>
                <w:lang w:val="sr-Cyrl-CS"/>
              </w:rPr>
            </w:pPr>
            <w:r>
              <w:rPr>
                <w:rFonts w:ascii="Calibri" w:eastAsia="Calibri" w:hAnsi="Calibri" w:cs="Times New Roman"/>
                <w:noProof/>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72" w:type="dxa"/>
          </w:tcPr>
          <w:p w:rsidR="00EB6433" w:rsidRPr="00EB6433" w:rsidRDefault="00EB6433" w:rsidP="0045709C">
            <w:pPr>
              <w:spacing w:before="120" w:after="0" w:line="240" w:lineRule="auto"/>
              <w:rPr>
                <w:rFonts w:ascii="Calibri" w:eastAsia="Calibri" w:hAnsi="Calibri" w:cs="Times New Roman"/>
                <w:lang w:val="sr-Cyrl-CS"/>
              </w:rPr>
            </w:pPr>
          </w:p>
        </w:tc>
        <w:tc>
          <w:tcPr>
            <w:tcW w:w="3784" w:type="dxa"/>
          </w:tcPr>
          <w:p w:rsidR="00EB6433" w:rsidRPr="00EB6433" w:rsidRDefault="00EB6433" w:rsidP="0045709C">
            <w:pPr>
              <w:spacing w:before="120" w:after="0" w:line="240" w:lineRule="auto"/>
              <w:jc w:val="center"/>
              <w:rPr>
                <w:rFonts w:ascii="Calibri" w:eastAsia="Calibri" w:hAnsi="Calibri" w:cs="Times New Roman"/>
                <w:lang w:val="sr-Cyrl-CS"/>
              </w:rPr>
            </w:pPr>
            <w:r>
              <w:rPr>
                <w:rFonts w:ascii="Calibri" w:eastAsia="Calibri" w:hAnsi="Calibri" w:cs="Times New Roman"/>
                <w:noProof/>
              </w:rPr>
              <w:drawing>
                <wp:anchor distT="152400" distB="152400" distL="152400" distR="152400" simplePos="0" relativeHeight="251660288" behindDoc="0" locked="0" layoutInCell="1" allowOverlap="1">
                  <wp:simplePos x="0" y="0"/>
                  <wp:positionH relativeFrom="page">
                    <wp:posOffset>340995</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EB6433" w:rsidRPr="00EB6433" w:rsidTr="00534D9F">
        <w:trPr>
          <w:trHeight w:val="536"/>
        </w:trPr>
        <w:tc>
          <w:tcPr>
            <w:tcW w:w="388" w:type="dxa"/>
          </w:tcPr>
          <w:p w:rsidR="00EB6433" w:rsidRPr="00EB6433" w:rsidRDefault="00EB6433" w:rsidP="0045709C">
            <w:pPr>
              <w:spacing w:before="120" w:after="0" w:line="240" w:lineRule="auto"/>
              <w:rPr>
                <w:rFonts w:ascii="Arial" w:eastAsia="Calibri" w:hAnsi="Arial" w:cs="Arial"/>
                <w:lang w:val="sr-Cyrl-CS"/>
              </w:rPr>
            </w:pPr>
          </w:p>
        </w:tc>
        <w:tc>
          <w:tcPr>
            <w:tcW w:w="996" w:type="dxa"/>
            <w:noWrap/>
            <w:tcMar>
              <w:left w:w="0" w:type="dxa"/>
              <w:right w:w="0" w:type="dxa"/>
            </w:tcMar>
          </w:tcPr>
          <w:p w:rsidR="00EB6433" w:rsidRPr="008E0F10" w:rsidRDefault="008E0F10" w:rsidP="0045709C">
            <w:pPr>
              <w:spacing w:after="0" w:line="240" w:lineRule="auto"/>
              <w:jc w:val="center"/>
              <w:rPr>
                <w:rFonts w:ascii="Arial" w:eastAsia="Calibri" w:hAnsi="Arial" w:cs="Arial"/>
                <w:sz w:val="18"/>
                <w:szCs w:val="18"/>
              </w:rPr>
            </w:pPr>
            <w:r>
              <w:rPr>
                <w:rFonts w:ascii="Arial" w:eastAsia="Calibri" w:hAnsi="Arial" w:cs="Arial"/>
                <w:sz w:val="18"/>
                <w:szCs w:val="18"/>
              </w:rPr>
              <w:t>РП</w:t>
            </w:r>
          </w:p>
          <w:p w:rsidR="00EB6433" w:rsidRPr="004D31E0" w:rsidRDefault="004D31E0" w:rsidP="0045709C">
            <w:pPr>
              <w:spacing w:after="0" w:line="240" w:lineRule="auto"/>
              <w:jc w:val="center"/>
              <w:rPr>
                <w:rFonts w:ascii="Arial" w:eastAsia="Calibri" w:hAnsi="Arial" w:cs="Arial"/>
                <w:sz w:val="18"/>
                <w:szCs w:val="18"/>
              </w:rPr>
            </w:pPr>
            <w:r>
              <w:rPr>
                <w:rFonts w:ascii="Arial" w:eastAsia="Calibri" w:hAnsi="Arial" w:cs="Arial"/>
                <w:sz w:val="18"/>
                <w:szCs w:val="18"/>
              </w:rPr>
              <w:t>230</w:t>
            </w:r>
            <w:r w:rsidR="006E3786">
              <w:rPr>
                <w:rFonts w:ascii="Arial" w:eastAsia="Calibri" w:hAnsi="Arial" w:cs="Arial"/>
                <w:sz w:val="18"/>
                <w:szCs w:val="18"/>
              </w:rPr>
              <w:t>/202</w:t>
            </w:r>
            <w:r>
              <w:rPr>
                <w:rFonts w:ascii="Arial" w:eastAsia="Calibri" w:hAnsi="Arial" w:cs="Arial"/>
                <w:sz w:val="18"/>
                <w:szCs w:val="18"/>
              </w:rPr>
              <w:t>3</w:t>
            </w:r>
          </w:p>
        </w:tc>
        <w:tc>
          <w:tcPr>
            <w:tcW w:w="940" w:type="dxa"/>
          </w:tcPr>
          <w:p w:rsidR="00EB6433" w:rsidRPr="00EB6433" w:rsidRDefault="00EB6433" w:rsidP="0045709C">
            <w:pPr>
              <w:spacing w:before="120" w:after="0" w:line="240" w:lineRule="auto"/>
              <w:rPr>
                <w:rFonts w:ascii="Arial" w:eastAsia="Calibri" w:hAnsi="Arial" w:cs="Arial"/>
                <w:sz w:val="18"/>
                <w:szCs w:val="18"/>
                <w:lang w:val="sr-Cyrl-CS"/>
              </w:rPr>
            </w:pPr>
          </w:p>
        </w:tc>
        <w:tc>
          <w:tcPr>
            <w:tcW w:w="3972" w:type="dxa"/>
          </w:tcPr>
          <w:p w:rsidR="00EB6433" w:rsidRPr="00EB6433" w:rsidRDefault="00EB6433" w:rsidP="0045709C">
            <w:pPr>
              <w:spacing w:before="120" w:after="0" w:line="240" w:lineRule="auto"/>
              <w:rPr>
                <w:rFonts w:ascii="Calibri" w:eastAsia="Calibri" w:hAnsi="Calibri" w:cs="Times New Roman"/>
                <w:lang w:val="sr-Cyrl-CS"/>
              </w:rPr>
            </w:pPr>
          </w:p>
        </w:tc>
        <w:tc>
          <w:tcPr>
            <w:tcW w:w="3784" w:type="dxa"/>
          </w:tcPr>
          <w:p w:rsidR="00EB6433" w:rsidRPr="00EB6433" w:rsidRDefault="00EB6433" w:rsidP="0045709C">
            <w:pPr>
              <w:spacing w:before="120" w:after="0" w:line="240" w:lineRule="auto"/>
              <w:jc w:val="center"/>
              <w:rPr>
                <w:rFonts w:ascii="Calibri" w:eastAsia="Calibri" w:hAnsi="Calibri" w:cs="Times New Roman"/>
                <w:lang w:val="sr-Cyrl-CS"/>
              </w:rPr>
            </w:pPr>
          </w:p>
        </w:tc>
      </w:tr>
    </w:tbl>
    <w:p w:rsidR="00EB6433" w:rsidRDefault="00EB6433" w:rsidP="0045709C">
      <w:pPr>
        <w:spacing w:after="0" w:line="240" w:lineRule="auto"/>
        <w:rPr>
          <w:rFonts w:ascii="Arial" w:eastAsia="ヒラギノ角ゴ Pro W3" w:hAnsi="Arial" w:cs="Times New Roman"/>
          <w:color w:val="000000"/>
          <w:spacing w:val="-1"/>
          <w:sz w:val="20"/>
          <w:szCs w:val="20"/>
          <w:lang w:eastAsia="sr-Cyrl-CS"/>
        </w:rPr>
      </w:pPr>
      <w:r w:rsidRPr="00EB6433">
        <w:rPr>
          <w:rFonts w:ascii="Arial" w:eastAsia="ヒラギノ角ゴ Pro W3" w:hAnsi="Arial" w:cs="Times New Roman"/>
          <w:color w:val="000000"/>
          <w:spacing w:val="-1"/>
          <w:sz w:val="20"/>
          <w:szCs w:val="20"/>
          <w:lang w:eastAsia="sr-Cyrl-CS"/>
        </w:rPr>
        <w:t xml:space="preserve">бр. </w:t>
      </w:r>
      <w:r w:rsidR="00926715">
        <w:rPr>
          <w:rFonts w:ascii="Arial" w:eastAsia="ヒラギノ角ゴ Pro W3" w:hAnsi="Arial" w:cs="Times New Roman"/>
          <w:color w:val="000000"/>
          <w:spacing w:val="-1"/>
          <w:sz w:val="20"/>
          <w:szCs w:val="20"/>
          <w:lang w:eastAsia="sr-Cyrl-CS"/>
        </w:rPr>
        <w:t>07-00-</w:t>
      </w:r>
      <w:r w:rsidR="004D31E0">
        <w:rPr>
          <w:rFonts w:ascii="Arial" w:eastAsia="ヒラギノ角ゴ Pro W3" w:hAnsi="Arial" w:cs="Times New Roman"/>
          <w:color w:val="000000"/>
          <w:spacing w:val="-1"/>
          <w:sz w:val="20"/>
          <w:szCs w:val="20"/>
          <w:lang w:eastAsia="sr-Cyrl-CS"/>
        </w:rPr>
        <w:t>161</w:t>
      </w:r>
      <w:r w:rsidR="006E3786">
        <w:rPr>
          <w:rFonts w:ascii="Arial" w:eastAsia="ヒラギノ角ゴ Pro W3" w:hAnsi="Arial" w:cs="Times New Roman"/>
          <w:color w:val="000000"/>
          <w:spacing w:val="-1"/>
          <w:sz w:val="20"/>
          <w:szCs w:val="20"/>
          <w:lang w:eastAsia="sr-Cyrl-CS"/>
        </w:rPr>
        <w:t>/202</w:t>
      </w:r>
      <w:r w:rsidR="004D31E0">
        <w:rPr>
          <w:rFonts w:ascii="Arial" w:eastAsia="ヒラギノ角ゴ Pro W3" w:hAnsi="Arial" w:cs="Times New Roman"/>
          <w:color w:val="000000"/>
          <w:spacing w:val="-1"/>
          <w:sz w:val="20"/>
          <w:szCs w:val="20"/>
          <w:lang w:eastAsia="sr-Cyrl-CS"/>
        </w:rPr>
        <w:t>3</w:t>
      </w:r>
      <w:r>
        <w:rPr>
          <w:rFonts w:ascii="Arial" w:eastAsia="ヒラギノ角ゴ Pro W3" w:hAnsi="Arial" w:cs="Times New Roman"/>
          <w:color w:val="000000"/>
          <w:spacing w:val="-1"/>
          <w:sz w:val="20"/>
          <w:szCs w:val="20"/>
          <w:lang w:eastAsia="sr-Cyrl-CS"/>
        </w:rPr>
        <w:t>-02</w:t>
      </w:r>
      <w:r w:rsidR="008C52A7">
        <w:rPr>
          <w:rFonts w:ascii="Arial" w:eastAsia="ヒラギノ角ゴ Pro W3" w:hAnsi="Arial" w:cs="Times New Roman"/>
          <w:color w:val="000000"/>
          <w:spacing w:val="-1"/>
          <w:sz w:val="20"/>
          <w:szCs w:val="20"/>
          <w:lang w:eastAsia="sr-Cyrl-CS"/>
        </w:rPr>
        <w:t xml:space="preserve">  </w:t>
      </w:r>
      <w:r>
        <w:rPr>
          <w:rFonts w:ascii="Arial" w:eastAsia="ヒラギノ角ゴ Pro W3" w:hAnsi="Arial" w:cs="Times New Roman"/>
          <w:color w:val="000000"/>
          <w:spacing w:val="-1"/>
          <w:sz w:val="20"/>
          <w:szCs w:val="20"/>
          <w:lang w:eastAsia="sr-Cyrl-CS"/>
        </w:rPr>
        <w:t xml:space="preserve"> </w:t>
      </w:r>
      <w:r w:rsidRPr="00EB6433">
        <w:rPr>
          <w:rFonts w:ascii="Arial" w:eastAsia="ヒラギノ角ゴ Pro W3" w:hAnsi="Arial" w:cs="Times New Roman"/>
          <w:color w:val="000000"/>
          <w:spacing w:val="-1"/>
          <w:sz w:val="20"/>
          <w:szCs w:val="20"/>
          <w:lang w:eastAsia="sr-Cyrl-CS"/>
        </w:rPr>
        <w:t xml:space="preserve">датум: </w:t>
      </w:r>
      <w:r w:rsidR="004D31E0">
        <w:rPr>
          <w:rFonts w:ascii="Arial" w:eastAsia="ヒラギノ角ゴ Pro W3" w:hAnsi="Arial" w:cs="Times New Roman"/>
          <w:color w:val="000000"/>
          <w:spacing w:val="-1"/>
          <w:sz w:val="20"/>
          <w:szCs w:val="20"/>
          <w:lang w:eastAsia="sr-Cyrl-CS"/>
        </w:rPr>
        <w:t>30.5</w:t>
      </w:r>
      <w:r w:rsidR="00926715">
        <w:rPr>
          <w:rFonts w:ascii="Arial" w:eastAsia="ヒラギノ角ゴ Pro W3" w:hAnsi="Arial" w:cs="Times New Roman"/>
          <w:color w:val="000000"/>
          <w:spacing w:val="-1"/>
          <w:sz w:val="20"/>
          <w:szCs w:val="20"/>
          <w:lang w:eastAsia="sr-Cyrl-CS"/>
        </w:rPr>
        <w:t>.</w:t>
      </w:r>
      <w:r w:rsidR="000832F5">
        <w:rPr>
          <w:rFonts w:ascii="Arial" w:eastAsia="ヒラギノ角ゴ Pro W3" w:hAnsi="Arial" w:cs="Times New Roman"/>
          <w:color w:val="000000"/>
          <w:spacing w:val="-1"/>
          <w:sz w:val="20"/>
          <w:szCs w:val="20"/>
          <w:lang w:eastAsia="sr-Cyrl-CS"/>
        </w:rPr>
        <w:t>2023</w:t>
      </w:r>
      <w:bookmarkStart w:id="0" w:name="_GoBack"/>
      <w:bookmarkEnd w:id="0"/>
      <w:r>
        <w:rPr>
          <w:rFonts w:ascii="Arial" w:eastAsia="ヒラギノ角ゴ Pro W3" w:hAnsi="Arial" w:cs="Times New Roman"/>
          <w:color w:val="000000"/>
          <w:spacing w:val="-1"/>
          <w:sz w:val="20"/>
          <w:szCs w:val="20"/>
          <w:lang w:eastAsia="sr-Cyrl-CS"/>
        </w:rPr>
        <w:t>.</w:t>
      </w:r>
    </w:p>
    <w:p w:rsidR="005F79CA" w:rsidRDefault="005F79CA" w:rsidP="0045709C">
      <w:pPr>
        <w:spacing w:after="0" w:line="240" w:lineRule="auto"/>
        <w:rPr>
          <w:rFonts w:ascii="Arial" w:eastAsia="ヒラギノ角ゴ Pro W3" w:hAnsi="Arial" w:cs="Times New Roman"/>
          <w:color w:val="000000"/>
          <w:spacing w:val="-1"/>
          <w:sz w:val="20"/>
          <w:szCs w:val="20"/>
          <w:lang w:eastAsia="sr-Cyrl-CS"/>
        </w:rPr>
      </w:pPr>
    </w:p>
    <w:p w:rsidR="002D0A6B" w:rsidRPr="002D0A6B" w:rsidRDefault="00EB6433" w:rsidP="002D0A6B">
      <w:pPr>
        <w:spacing w:before="120" w:after="0" w:line="240" w:lineRule="auto"/>
        <w:jc w:val="center"/>
        <w:rPr>
          <w:rFonts w:ascii="Arial" w:eastAsia="Calibri" w:hAnsi="Arial" w:cs="Arial"/>
          <w:b/>
          <w:sz w:val="28"/>
          <w:szCs w:val="28"/>
        </w:rPr>
      </w:pPr>
      <w:r w:rsidRPr="00EB6433">
        <w:rPr>
          <w:rFonts w:ascii="Arial" w:eastAsia="Calibri" w:hAnsi="Arial" w:cs="Arial"/>
          <w:b/>
          <w:sz w:val="28"/>
          <w:szCs w:val="28"/>
        </w:rPr>
        <w:t>МИШЉЕЊЕ</w:t>
      </w:r>
    </w:p>
    <w:p w:rsidR="00E137D3" w:rsidRDefault="00B96AA7" w:rsidP="0045709C">
      <w:pPr>
        <w:spacing w:line="240" w:lineRule="auto"/>
        <w:jc w:val="both"/>
        <w:rPr>
          <w:rFonts w:ascii="Arial" w:eastAsia="Calibri" w:hAnsi="Arial" w:cs="Arial"/>
          <w:i/>
          <w:lang w:val="sr-Cyrl-CS"/>
        </w:rPr>
      </w:pPr>
      <w:r w:rsidRPr="007F3EC4">
        <w:rPr>
          <w:rFonts w:ascii="Arial" w:eastAsia="Calibri" w:hAnsi="Arial" w:cs="Arial"/>
          <w:i/>
          <w:lang w:val="sr-Cyrl-CS"/>
        </w:rPr>
        <w:t xml:space="preserve">Мишљење је донето у поступку поводом притужбе </w:t>
      </w:r>
      <w:r w:rsidR="00F64C06">
        <w:rPr>
          <w:rFonts w:ascii="Arial" w:eastAsia="Calibri" w:hAnsi="Arial" w:cs="Arial"/>
          <w:i/>
        </w:rPr>
        <w:t>A. A</w:t>
      </w:r>
      <w:r w:rsidR="00F64C06">
        <w:rPr>
          <w:rFonts w:ascii="Arial" w:eastAsia="Calibri" w:hAnsi="Arial" w:cs="Arial"/>
          <w:i/>
          <w:lang w:val="sr-Cyrl-RS"/>
        </w:rPr>
        <w:t>.</w:t>
      </w:r>
      <w:r>
        <w:rPr>
          <w:rFonts w:ascii="Arial" w:eastAsia="Calibri" w:hAnsi="Arial" w:cs="Arial"/>
          <w:i/>
          <w:lang w:val="sr-Cyrl-CS"/>
        </w:rPr>
        <w:t>,</w:t>
      </w:r>
      <w:r w:rsidRPr="007F3EC4">
        <w:rPr>
          <w:rFonts w:ascii="Arial" w:eastAsia="Calibri" w:hAnsi="Arial" w:cs="Arial"/>
          <w:i/>
          <w:lang w:val="sr-Cyrl-CS"/>
        </w:rPr>
        <w:t xml:space="preserve"> поднете против </w:t>
      </w:r>
      <w:r w:rsidR="008A58AE">
        <w:rPr>
          <w:rFonts w:ascii="Arial" w:eastAsia="Calibri" w:hAnsi="Arial" w:cs="Arial"/>
          <w:i/>
        </w:rPr>
        <w:t>Б. Б.</w:t>
      </w:r>
      <w:r w:rsidRPr="007F3EC4">
        <w:rPr>
          <w:rFonts w:ascii="Arial" w:eastAsia="Calibri" w:hAnsi="Arial" w:cs="Arial"/>
          <w:i/>
          <w:lang w:val="sr-Cyrl-CS"/>
        </w:rPr>
        <w:t>,</w:t>
      </w:r>
      <w:r w:rsidRPr="007F3EC4">
        <w:rPr>
          <w:rFonts w:ascii="Arial" w:eastAsia="Calibri" w:hAnsi="Arial" w:cs="Arial"/>
          <w:i/>
        </w:rPr>
        <w:t xml:space="preserve"> </w:t>
      </w:r>
      <w:r>
        <w:rPr>
          <w:rFonts w:ascii="Arial" w:eastAsia="Calibri" w:hAnsi="Arial" w:cs="Arial"/>
          <w:i/>
        </w:rPr>
        <w:t>због дискриминације на</w:t>
      </w:r>
      <w:r w:rsidRPr="007F3EC4">
        <w:rPr>
          <w:rFonts w:ascii="Arial" w:eastAsia="Calibri" w:hAnsi="Arial" w:cs="Arial"/>
          <w:i/>
        </w:rPr>
        <w:t xml:space="preserve"> основу </w:t>
      </w:r>
      <w:r>
        <w:rPr>
          <w:rFonts w:ascii="Arial" w:eastAsia="Calibri" w:hAnsi="Arial" w:cs="Arial"/>
          <w:i/>
        </w:rPr>
        <w:t>сексуалне оријентације</w:t>
      </w:r>
      <w:r w:rsidRPr="007F3EC4">
        <w:rPr>
          <w:rFonts w:ascii="Arial" w:eastAsia="Calibri" w:hAnsi="Arial" w:cs="Arial"/>
          <w:i/>
        </w:rPr>
        <w:t>,</w:t>
      </w:r>
      <w:r>
        <w:rPr>
          <w:rFonts w:ascii="Arial" w:eastAsia="Calibri" w:hAnsi="Arial" w:cs="Arial"/>
          <w:i/>
        </w:rPr>
        <w:t xml:space="preserve"> у области здравствене заштите.</w:t>
      </w:r>
      <w:r w:rsidRPr="007F3EC4">
        <w:rPr>
          <w:rFonts w:ascii="Arial" w:eastAsia="Calibri" w:hAnsi="Arial" w:cs="Arial"/>
          <w:i/>
          <w:lang w:val="sr-Cyrl-CS"/>
        </w:rPr>
        <w:t xml:space="preserve"> У притужби је </w:t>
      </w:r>
      <w:r>
        <w:rPr>
          <w:rFonts w:ascii="Arial" w:eastAsia="Calibri" w:hAnsi="Arial" w:cs="Arial"/>
          <w:i/>
          <w:lang w:val="sr-Cyrl-CS"/>
        </w:rPr>
        <w:t xml:space="preserve">наведено да је </w:t>
      </w:r>
      <w:r w:rsidR="008917AC" w:rsidRPr="008917AC">
        <w:rPr>
          <w:rFonts w:ascii="Arial" w:hAnsi="Arial" w:cs="Arial"/>
          <w:i/>
        </w:rPr>
        <w:t xml:space="preserve">гинеколог одбио да изврши уобичајен гинеколошки преглед, какав је подноситељка притужбе навела да је раније обављала, из разлога што је, на његово питање, одговорила да не упражњава односе са мушкарцима. У притужби је навела да је он њу сматрао невином иако је истакла да је имала односе али не и са супротним полом, да није невина и да је до сада имала уобичајене гинеколошке прегледе. Даље је навела да је одбила другачији преглед који јој је понуђен, а који се обавља када је у питању невина особа, те </w:t>
      </w:r>
      <w:r w:rsidR="008917AC" w:rsidRPr="008917AC">
        <w:rPr>
          <w:rFonts w:ascii="Arial" w:eastAsia="Calibri" w:hAnsi="Arial" w:cs="Arial"/>
          <w:i/>
          <w:lang w:val="sr-Cyrl-CS"/>
        </w:rPr>
        <w:t>да се осетила непријатно и да је</w:t>
      </w:r>
      <w:r w:rsidR="00ED5FC8">
        <w:rPr>
          <w:rFonts w:ascii="Arial" w:eastAsia="Calibri" w:hAnsi="Arial" w:cs="Arial"/>
          <w:i/>
          <w:lang w:val="sr-Cyrl-CS"/>
        </w:rPr>
        <w:t xml:space="preserve"> одустала </w:t>
      </w:r>
      <w:r w:rsidR="00D875A4" w:rsidRPr="008917AC">
        <w:rPr>
          <w:rFonts w:ascii="Arial" w:eastAsia="Calibri" w:hAnsi="Arial" w:cs="Arial"/>
          <w:i/>
          <w:lang w:val="sr-Cyrl-CS"/>
        </w:rPr>
        <w:t xml:space="preserve"> од прегледа</w:t>
      </w:r>
      <w:r w:rsidR="00D875A4">
        <w:rPr>
          <w:rFonts w:ascii="Arial" w:eastAsia="Calibri" w:hAnsi="Arial" w:cs="Arial"/>
          <w:i/>
          <w:lang w:val="sr-Cyrl-CS"/>
        </w:rPr>
        <w:t xml:space="preserve">. У изјашњењу је наведено да је пацијенткиња рекла да није имала односе са мушкарцима, и да то за њега значи да је та пацијенткиња медицински </w:t>
      </w:r>
      <w:r w:rsidR="00D875A4">
        <w:rPr>
          <w:rFonts w:ascii="Arial" w:eastAsia="Calibri" w:hAnsi="Arial" w:cs="Arial"/>
          <w:i/>
        </w:rPr>
        <w:t>virgo intacta, да је понудио другачију врсту прегледа али је она то одбила.</w:t>
      </w:r>
      <w:r w:rsidR="00D875A4">
        <w:rPr>
          <w:rFonts w:ascii="Arial" w:eastAsia="Calibri" w:hAnsi="Arial" w:cs="Arial"/>
          <w:i/>
          <w:lang w:val="sr-Cyrl-CS"/>
        </w:rPr>
        <w:t xml:space="preserve"> </w:t>
      </w:r>
      <w:r w:rsidR="008917AC">
        <w:rPr>
          <w:rFonts w:ascii="Arial" w:eastAsia="Calibri" w:hAnsi="Arial" w:cs="Arial"/>
          <w:i/>
          <w:lang w:val="sr-Cyrl-CS"/>
        </w:rPr>
        <w:t xml:space="preserve">Повереник је затражио </w:t>
      </w:r>
      <w:r w:rsidR="008917AC" w:rsidRPr="008917AC">
        <w:rPr>
          <w:rFonts w:ascii="Arial" w:eastAsia="Calibri" w:hAnsi="Arial" w:cs="Arial"/>
          <w:i/>
          <w:lang w:val="sr-Cyrl-CS"/>
        </w:rPr>
        <w:t xml:space="preserve">додатно изјашњење, постављајући између осталог следећа питања: који протокол обавезује да </w:t>
      </w:r>
      <w:r w:rsidR="008917AC">
        <w:rPr>
          <w:rFonts w:ascii="Arial" w:eastAsia="Calibri" w:hAnsi="Arial" w:cs="Arial"/>
          <w:i/>
          <w:lang w:val="sr-Cyrl-CS"/>
        </w:rPr>
        <w:t xml:space="preserve">се </w:t>
      </w:r>
      <w:r w:rsidR="008917AC" w:rsidRPr="008917AC">
        <w:rPr>
          <w:rFonts w:ascii="Arial" w:eastAsia="Calibri" w:hAnsi="Arial" w:cs="Arial"/>
          <w:i/>
          <w:lang w:val="sr-Cyrl-CS"/>
        </w:rPr>
        <w:t>не спроводи вагинални преглед у случају да пацијенткиња није имала односе са супротним полом, на који начин утврђује да ли је пацијенткиња virgo intacta и да ли је његов лични став да се „невиност“ губи само у хетеросексуалном односу или је то ст</w:t>
      </w:r>
      <w:r w:rsidR="008A58AE">
        <w:rPr>
          <w:rFonts w:ascii="Arial" w:eastAsia="Calibri" w:hAnsi="Arial" w:cs="Arial"/>
          <w:i/>
          <w:lang w:val="sr-Cyrl-CS"/>
        </w:rPr>
        <w:t>ав медицине. Међутим, Б. Б.</w:t>
      </w:r>
      <w:r w:rsidR="008917AC" w:rsidRPr="008917AC">
        <w:rPr>
          <w:rFonts w:ascii="Arial" w:eastAsia="Calibri" w:hAnsi="Arial" w:cs="Arial"/>
          <w:i/>
          <w:lang w:val="sr-Cyrl-CS"/>
        </w:rPr>
        <w:t xml:space="preserve"> се није изјаснио на наведена питања.</w:t>
      </w:r>
      <w:r w:rsidR="008917AC">
        <w:rPr>
          <w:rFonts w:ascii="Arial" w:eastAsia="Calibri" w:hAnsi="Arial" w:cs="Arial"/>
          <w:i/>
          <w:lang w:val="sr-Cyrl-CS"/>
        </w:rPr>
        <w:t xml:space="preserve"> </w:t>
      </w:r>
      <w:r>
        <w:rPr>
          <w:rFonts w:ascii="Arial" w:eastAsia="Calibri" w:hAnsi="Arial" w:cs="Arial"/>
          <w:i/>
        </w:rPr>
        <w:t xml:space="preserve">Током поступка примењено је правило о прерасподели терета доказивања из члана 45. Закона о забрани дискриминације, по коме подноситељ притужбе треба да учини вероватним акт дискриминације, а ако то </w:t>
      </w:r>
      <w:r w:rsidR="008917AC">
        <w:rPr>
          <w:rFonts w:ascii="Arial" w:eastAsia="Calibri" w:hAnsi="Arial" w:cs="Arial"/>
          <w:i/>
        </w:rPr>
        <w:t>уради</w:t>
      </w:r>
      <w:r>
        <w:rPr>
          <w:rFonts w:ascii="Arial" w:eastAsia="Calibri" w:hAnsi="Arial" w:cs="Arial"/>
          <w:i/>
        </w:rPr>
        <w:t xml:space="preserve">, терет доказивања да није дошло до повреде начела једнакости сноси </w:t>
      </w:r>
      <w:r w:rsidR="0045709C">
        <w:rPr>
          <w:rFonts w:ascii="Arial" w:eastAsia="Calibri" w:hAnsi="Arial" w:cs="Arial"/>
          <w:i/>
        </w:rPr>
        <w:t>лице</w:t>
      </w:r>
      <w:r>
        <w:rPr>
          <w:rFonts w:ascii="Arial" w:eastAsia="Calibri" w:hAnsi="Arial" w:cs="Arial"/>
          <w:i/>
        </w:rPr>
        <w:t xml:space="preserve"> против кога је притужба поднета.</w:t>
      </w:r>
      <w:r w:rsidR="00D875A4">
        <w:rPr>
          <w:rFonts w:ascii="Arial" w:eastAsia="Calibri" w:hAnsi="Arial" w:cs="Arial"/>
          <w:i/>
        </w:rPr>
        <w:t xml:space="preserve"> Након анализе исказа подноситељке притужбе, изјашњења </w:t>
      </w:r>
      <w:r w:rsidR="008A58AE">
        <w:rPr>
          <w:rFonts w:ascii="Arial" w:eastAsia="Calibri" w:hAnsi="Arial" w:cs="Arial"/>
          <w:i/>
        </w:rPr>
        <w:t xml:space="preserve">Б. Б. </w:t>
      </w:r>
      <w:r w:rsidR="00D875A4">
        <w:rPr>
          <w:rFonts w:ascii="Arial" w:eastAsia="Calibri" w:hAnsi="Arial" w:cs="Arial"/>
          <w:i/>
        </w:rPr>
        <w:t>, исказа сведокиње и писаног доказа, утврђено је да је пацијенткиња</w:t>
      </w:r>
      <w:r w:rsidR="006243BE">
        <w:rPr>
          <w:rFonts w:ascii="Arial" w:eastAsia="Calibri" w:hAnsi="Arial" w:cs="Arial"/>
          <w:i/>
        </w:rPr>
        <w:t xml:space="preserve"> дошла у ординацију 21. марта у намери да обави гинеколошки преглед, да је</w:t>
      </w:r>
      <w:r w:rsidR="00D875A4">
        <w:rPr>
          <w:rFonts w:ascii="Arial" w:eastAsia="Calibri" w:hAnsi="Arial" w:cs="Arial"/>
          <w:i/>
        </w:rPr>
        <w:t xml:space="preserve"> рекла да није имала односе са мушкарцима, али је појаснила да није невина, да је имала односе са женама и да је до сада имала уобичајене гинеколошке прегледе. Упркос томе, гинеколог је инсистирао да је она невина</w:t>
      </w:r>
      <w:r w:rsidR="007A4896">
        <w:rPr>
          <w:rFonts w:ascii="Arial" w:eastAsia="Calibri" w:hAnsi="Arial" w:cs="Arial"/>
          <w:i/>
        </w:rPr>
        <w:t xml:space="preserve"> јер није имала односе са мушкарцима</w:t>
      </w:r>
      <w:r w:rsidR="00D875A4">
        <w:rPr>
          <w:rFonts w:ascii="Arial" w:eastAsia="Calibri" w:hAnsi="Arial" w:cs="Arial"/>
          <w:i/>
        </w:rPr>
        <w:t xml:space="preserve"> и понудио алтернативне начине прегледа на које она није пристала јер се осећала непријатно.</w:t>
      </w:r>
      <w:r w:rsidR="00D875A4" w:rsidRPr="00D875A4">
        <w:t xml:space="preserve"> </w:t>
      </w:r>
      <w:r w:rsidR="00D875A4" w:rsidRPr="00D875A4">
        <w:rPr>
          <w:rFonts w:ascii="Arial" w:eastAsia="Calibri" w:hAnsi="Arial" w:cs="Arial"/>
          <w:i/>
        </w:rPr>
        <w:t xml:space="preserve">Током поступка, </w:t>
      </w:r>
      <w:r w:rsidR="008A58AE">
        <w:rPr>
          <w:rFonts w:ascii="Arial" w:eastAsia="Calibri" w:hAnsi="Arial" w:cs="Arial"/>
          <w:i/>
        </w:rPr>
        <w:t>Б. Б.</w:t>
      </w:r>
      <w:r w:rsidR="00D875A4" w:rsidRPr="00D875A4">
        <w:rPr>
          <w:rFonts w:ascii="Arial" w:eastAsia="Calibri" w:hAnsi="Arial" w:cs="Arial"/>
          <w:i/>
        </w:rPr>
        <w:t xml:space="preserve"> није пружио доказе да се у конкретном случају руководио објективним критеријумима заснованим на медицинској науци и пракси, </w:t>
      </w:r>
      <w:r w:rsidR="003078D6">
        <w:rPr>
          <w:rFonts w:ascii="Arial" w:eastAsia="Calibri" w:hAnsi="Arial" w:cs="Arial"/>
          <w:i/>
        </w:rPr>
        <w:t>a не</w:t>
      </w:r>
      <w:r w:rsidR="00D875A4" w:rsidRPr="00D875A4">
        <w:rPr>
          <w:rFonts w:ascii="Arial" w:eastAsia="Calibri" w:hAnsi="Arial" w:cs="Arial"/>
          <w:i/>
        </w:rPr>
        <w:t xml:space="preserve"> предрасудама о особама д</w:t>
      </w:r>
      <w:r w:rsidR="003078D6">
        <w:rPr>
          <w:rFonts w:ascii="Arial" w:eastAsia="Calibri" w:hAnsi="Arial" w:cs="Arial"/>
          <w:i/>
        </w:rPr>
        <w:t>ругачије сексуалне оријентације</w:t>
      </w:r>
      <w:r w:rsidR="00D875A4" w:rsidRPr="00D875A4">
        <w:rPr>
          <w:rFonts w:ascii="Arial" w:eastAsia="Calibri" w:hAnsi="Arial" w:cs="Arial"/>
          <w:i/>
        </w:rPr>
        <w:t xml:space="preserve">. Нејасан је и неутемељен став лекара да је „нормалан“ однос, однос између мушкарца и жене као и да се „невиност“ губи пенетрацијом мушког полног органа у женски. </w:t>
      </w:r>
      <w:r w:rsidR="0045709C">
        <w:rPr>
          <w:rFonts w:ascii="Arial" w:eastAsia="Calibri" w:hAnsi="Arial" w:cs="Arial"/>
          <w:i/>
        </w:rPr>
        <w:t>У</w:t>
      </w:r>
      <w:r w:rsidR="00D875A4" w:rsidRPr="00D875A4">
        <w:rPr>
          <w:rFonts w:ascii="Arial" w:eastAsia="Calibri" w:hAnsi="Arial" w:cs="Arial"/>
          <w:i/>
        </w:rPr>
        <w:t xml:space="preserve">порно негирање способности </w:t>
      </w:r>
      <w:r w:rsidR="0045709C">
        <w:rPr>
          <w:rFonts w:ascii="Arial" w:eastAsia="Calibri" w:hAnsi="Arial" w:cs="Arial"/>
          <w:i/>
        </w:rPr>
        <w:t xml:space="preserve">подноситељка притужбе </w:t>
      </w:r>
      <w:r w:rsidR="00ED5FC8" w:rsidRPr="00D875A4">
        <w:rPr>
          <w:rFonts w:ascii="Arial" w:eastAsia="Calibri" w:hAnsi="Arial" w:cs="Arial"/>
          <w:i/>
        </w:rPr>
        <w:t xml:space="preserve">да адекватно </w:t>
      </w:r>
      <w:r w:rsidR="00D875A4" w:rsidRPr="00D875A4">
        <w:rPr>
          <w:rFonts w:ascii="Arial" w:eastAsia="Calibri" w:hAnsi="Arial" w:cs="Arial"/>
          <w:i/>
        </w:rPr>
        <w:t xml:space="preserve">изрази своју сексуалност и здравствено стање, </w:t>
      </w:r>
      <w:r w:rsidR="007A4896">
        <w:rPr>
          <w:rFonts w:ascii="Arial" w:eastAsia="Calibri" w:hAnsi="Arial" w:cs="Arial"/>
          <w:i/>
        </w:rPr>
        <w:t>а затим</w:t>
      </w:r>
      <w:r w:rsidR="00D875A4" w:rsidRPr="00D875A4">
        <w:rPr>
          <w:rFonts w:ascii="Arial" w:eastAsia="Calibri" w:hAnsi="Arial" w:cs="Arial"/>
          <w:i/>
        </w:rPr>
        <w:t xml:space="preserve"> предлагање алтернативних начина прегледа за невине жене, очигледно је код пацијенткиње створило осећај понижења и неповерење према лекару и третману због чега је одбила такав преглед. </w:t>
      </w:r>
      <w:r>
        <w:rPr>
          <w:rFonts w:ascii="Arial" w:hAnsi="Arial" w:cs="Arial"/>
          <w:i/>
          <w:noProof/>
          <w:lang w:val="sr-Cyrl-CS"/>
        </w:rPr>
        <w:t>Због тога</w:t>
      </w:r>
      <w:r w:rsidR="00E124AC">
        <w:rPr>
          <w:rFonts w:ascii="Arial" w:hAnsi="Arial" w:cs="Arial"/>
          <w:i/>
          <w:noProof/>
          <w:lang w:val="sr-Cyrl-CS"/>
        </w:rPr>
        <w:t>, Повереник је донео мишљење да Б. Б.</w:t>
      </w:r>
      <w:r w:rsidR="00D875A4">
        <w:rPr>
          <w:rFonts w:ascii="Arial" w:hAnsi="Arial" w:cs="Arial"/>
          <w:i/>
          <w:noProof/>
          <w:lang w:val="sr-Cyrl-CS"/>
        </w:rPr>
        <w:t xml:space="preserve"> </w:t>
      </w:r>
      <w:r w:rsidRPr="00B1482D">
        <w:rPr>
          <w:rFonts w:ascii="Arial" w:hAnsi="Arial" w:cs="Arial"/>
          <w:i/>
          <w:noProof/>
          <w:lang w:val="sr-Cyrl-CS"/>
        </w:rPr>
        <w:t>повредио одредбе члана 12</w:t>
      </w:r>
      <w:r>
        <w:rPr>
          <w:rFonts w:ascii="Arial" w:hAnsi="Arial" w:cs="Arial"/>
          <w:i/>
          <w:noProof/>
          <w:lang w:val="sr-Cyrl-CS"/>
        </w:rPr>
        <w:t>.</w:t>
      </w:r>
      <w:r w:rsidRPr="00B1482D">
        <w:rPr>
          <w:rFonts w:ascii="Arial" w:hAnsi="Arial" w:cs="Arial"/>
          <w:i/>
          <w:noProof/>
          <w:lang w:val="sr-Cyrl-CS"/>
        </w:rPr>
        <w:t xml:space="preserve"> став 1. Закона о забрани дискриминације, који забрањује узнемиравање и понижавајуће поступање</w:t>
      </w:r>
      <w:r w:rsidR="00D875A4">
        <w:rPr>
          <w:rFonts w:ascii="Arial" w:hAnsi="Arial" w:cs="Arial"/>
          <w:i/>
          <w:noProof/>
          <w:lang w:val="sr-Cyrl-CS"/>
        </w:rPr>
        <w:t xml:space="preserve"> и</w:t>
      </w:r>
      <w:r>
        <w:rPr>
          <w:rFonts w:ascii="Arial" w:hAnsi="Arial" w:cs="Arial"/>
          <w:i/>
          <w:noProof/>
          <w:lang w:val="sr-Cyrl-CS"/>
        </w:rPr>
        <w:t xml:space="preserve"> дао препоруку </w:t>
      </w:r>
      <w:r w:rsidR="00E124AC">
        <w:rPr>
          <w:rFonts w:ascii="Arial" w:hAnsi="Arial" w:cs="Arial"/>
          <w:i/>
          <w:noProof/>
          <w:lang w:val="sr-Cyrl-CS"/>
        </w:rPr>
        <w:t>Б. Б.</w:t>
      </w:r>
      <w:r>
        <w:rPr>
          <w:rFonts w:ascii="Arial" w:hAnsi="Arial" w:cs="Arial"/>
          <w:i/>
          <w:noProof/>
          <w:lang w:val="sr-Cyrl-CS"/>
        </w:rPr>
        <w:t xml:space="preserve">  </w:t>
      </w:r>
      <w:r w:rsidR="00D875A4">
        <w:rPr>
          <w:rFonts w:ascii="Arial" w:hAnsi="Arial" w:cs="Arial"/>
          <w:i/>
          <w:noProof/>
          <w:lang w:val="sr-Cyrl-CS"/>
        </w:rPr>
        <w:t>да се информише о положају и правима особа другачије сексуалне оријентације, посебно у области здравствене заштите и да се у будуће придржава прописа који забрањују дискриминацију.</w:t>
      </w:r>
    </w:p>
    <w:p w:rsidR="006243BE" w:rsidRPr="006243BE" w:rsidRDefault="006243BE" w:rsidP="0045709C">
      <w:pPr>
        <w:spacing w:line="240" w:lineRule="auto"/>
        <w:jc w:val="both"/>
        <w:rPr>
          <w:rFonts w:ascii="Arial" w:eastAsia="Calibri" w:hAnsi="Arial" w:cs="Arial"/>
          <w:i/>
          <w:lang w:val="sr-Cyrl-CS"/>
        </w:rPr>
      </w:pPr>
    </w:p>
    <w:p w:rsidR="00F9350C" w:rsidRPr="00E137D3" w:rsidRDefault="00EB6433" w:rsidP="0045709C">
      <w:pPr>
        <w:numPr>
          <w:ilvl w:val="0"/>
          <w:numId w:val="6"/>
        </w:numPr>
        <w:tabs>
          <w:tab w:val="left" w:pos="270"/>
        </w:tabs>
        <w:spacing w:after="120" w:line="240" w:lineRule="auto"/>
        <w:ind w:left="0" w:firstLine="0"/>
        <w:jc w:val="both"/>
        <w:rPr>
          <w:rFonts w:ascii="Arial" w:eastAsia="Calibri" w:hAnsi="Arial" w:cs="Arial"/>
          <w:b/>
          <w:noProof/>
          <w:lang w:val="sr-Cyrl-CS"/>
        </w:rPr>
      </w:pPr>
      <w:r w:rsidRPr="0031751F">
        <w:rPr>
          <w:rFonts w:ascii="Arial" w:eastAsia="Calibri" w:hAnsi="Arial" w:cs="Arial"/>
          <w:b/>
          <w:noProof/>
          <w:lang w:val="sr-Cyrl-CS"/>
        </w:rPr>
        <w:lastRenderedPageBreak/>
        <w:t>ТОК ПОСТУПКА</w:t>
      </w:r>
    </w:p>
    <w:p w:rsidR="00EB6433" w:rsidRPr="0048092D" w:rsidRDefault="00EB6433" w:rsidP="0045709C">
      <w:pPr>
        <w:pStyle w:val="ListParagraph"/>
        <w:numPr>
          <w:ilvl w:val="1"/>
          <w:numId w:val="6"/>
        </w:numPr>
        <w:spacing w:after="120"/>
        <w:ind w:left="0" w:firstLine="0"/>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Поверенику за заштиту равноправности </w:t>
      </w:r>
      <w:r w:rsidR="004D31E0">
        <w:rPr>
          <w:rFonts w:ascii="Arial" w:eastAsia="Calibri" w:hAnsi="Arial" w:cs="Arial"/>
          <w:color w:val="000000"/>
          <w:sz w:val="22"/>
          <w:szCs w:val="22"/>
          <w:lang w:val="sr-Cyrl-CS"/>
        </w:rPr>
        <w:t xml:space="preserve">притужбом се обратила </w:t>
      </w:r>
      <w:r w:rsidR="00F64C06">
        <w:rPr>
          <w:rFonts w:ascii="Arial" w:eastAsia="Calibri" w:hAnsi="Arial" w:cs="Arial"/>
          <w:color w:val="000000"/>
          <w:sz w:val="22"/>
          <w:szCs w:val="22"/>
          <w:lang w:val="sr-Cyrl-CS"/>
        </w:rPr>
        <w:t xml:space="preserve">А. </w:t>
      </w:r>
      <w:r w:rsidR="008A58AE">
        <w:rPr>
          <w:rFonts w:ascii="Arial" w:eastAsia="Calibri" w:hAnsi="Arial" w:cs="Arial"/>
          <w:color w:val="000000"/>
          <w:sz w:val="22"/>
          <w:szCs w:val="22"/>
          <w:lang w:val="sr-Cyrl-CS"/>
        </w:rPr>
        <w:t xml:space="preserve">А. </w:t>
      </w:r>
      <w:r w:rsidR="004D31E0">
        <w:rPr>
          <w:rFonts w:ascii="Arial" w:eastAsia="Calibri" w:hAnsi="Arial" w:cs="Arial"/>
          <w:color w:val="000000"/>
          <w:sz w:val="22"/>
          <w:szCs w:val="22"/>
          <w:lang w:val="sr-Cyrl-CS"/>
        </w:rPr>
        <w:t xml:space="preserve"> из Београда, </w:t>
      </w:r>
      <w:r w:rsidR="00926715" w:rsidRPr="0048092D">
        <w:rPr>
          <w:rFonts w:ascii="Arial" w:eastAsia="Calibri" w:hAnsi="Arial" w:cs="Arial"/>
          <w:color w:val="000000"/>
          <w:sz w:val="22"/>
          <w:szCs w:val="22"/>
          <w:lang w:val="sr-Cyrl-CS"/>
        </w:rPr>
        <w:t>против</w:t>
      </w:r>
      <w:r w:rsidR="00F64C06">
        <w:rPr>
          <w:rFonts w:ascii="Arial" w:eastAsia="Calibri" w:hAnsi="Arial" w:cs="Arial"/>
          <w:color w:val="000000"/>
          <w:sz w:val="22"/>
          <w:szCs w:val="22"/>
          <w:lang w:val="sr-Cyrl-CS"/>
        </w:rPr>
        <w:t xml:space="preserve"> Б. </w:t>
      </w:r>
      <w:r w:rsidR="008A58AE">
        <w:rPr>
          <w:rFonts w:ascii="Arial" w:eastAsia="Calibri" w:hAnsi="Arial" w:cs="Arial"/>
          <w:color w:val="000000"/>
          <w:sz w:val="22"/>
          <w:szCs w:val="22"/>
          <w:lang w:val="sr-Cyrl-CS"/>
        </w:rPr>
        <w:t>Б.</w:t>
      </w:r>
      <w:r w:rsidR="004D31E0">
        <w:rPr>
          <w:rFonts w:ascii="Arial" w:eastAsia="Calibri" w:hAnsi="Arial" w:cs="Arial"/>
          <w:color w:val="000000"/>
          <w:sz w:val="22"/>
          <w:szCs w:val="22"/>
          <w:lang w:val="sr-Cyrl-CS"/>
        </w:rPr>
        <w:t>,</w:t>
      </w:r>
      <w:r w:rsidR="00926715" w:rsidRPr="0048092D">
        <w:rPr>
          <w:rFonts w:ascii="Arial" w:eastAsia="Calibri" w:hAnsi="Arial" w:cs="Arial"/>
          <w:color w:val="000000"/>
          <w:sz w:val="22"/>
          <w:szCs w:val="22"/>
          <w:lang w:val="sr-Cyrl-CS"/>
        </w:rPr>
        <w:t xml:space="preserve"> </w:t>
      </w:r>
      <w:r w:rsidR="004D31E0">
        <w:rPr>
          <w:rFonts w:ascii="Arial" w:eastAsia="Calibri" w:hAnsi="Arial" w:cs="Arial"/>
          <w:color w:val="000000"/>
          <w:sz w:val="22"/>
          <w:szCs w:val="22"/>
          <w:lang w:val="sr-Cyrl-CS"/>
        </w:rPr>
        <w:t>гинеколога</w:t>
      </w:r>
      <w:r w:rsidR="00926715" w:rsidRPr="0048092D">
        <w:rPr>
          <w:rFonts w:ascii="Arial" w:eastAsia="Calibri" w:hAnsi="Arial" w:cs="Arial"/>
          <w:color w:val="000000"/>
          <w:sz w:val="22"/>
          <w:szCs w:val="22"/>
          <w:lang w:val="sr-Cyrl-CS"/>
        </w:rPr>
        <w:t>,</w:t>
      </w:r>
      <w:r w:rsidR="004D31E0">
        <w:rPr>
          <w:rFonts w:ascii="Arial" w:eastAsia="Calibri" w:hAnsi="Arial" w:cs="Arial"/>
          <w:color w:val="000000"/>
          <w:sz w:val="22"/>
          <w:szCs w:val="22"/>
          <w:lang w:val="sr-Cyrl-CS"/>
        </w:rPr>
        <w:t xml:space="preserve"> запосленог у Дому здравља </w:t>
      </w:r>
      <w:r w:rsidR="008A58AE">
        <w:rPr>
          <w:rFonts w:ascii="Arial" w:eastAsia="Calibri" w:hAnsi="Arial" w:cs="Arial"/>
          <w:color w:val="000000"/>
          <w:sz w:val="22"/>
          <w:szCs w:val="22"/>
        </w:rPr>
        <w:t xml:space="preserve">В. В. </w:t>
      </w:r>
      <w:r w:rsidR="004D31E0">
        <w:rPr>
          <w:rFonts w:ascii="Arial" w:eastAsia="Calibri" w:hAnsi="Arial" w:cs="Arial"/>
          <w:color w:val="000000"/>
          <w:sz w:val="22"/>
          <w:szCs w:val="22"/>
        </w:rPr>
        <w:t>из Београда,</w:t>
      </w:r>
      <w:r w:rsidR="00F407C3">
        <w:rPr>
          <w:rFonts w:ascii="Arial" w:eastAsia="Calibri" w:hAnsi="Arial" w:cs="Arial"/>
          <w:color w:val="000000"/>
          <w:sz w:val="22"/>
          <w:szCs w:val="22"/>
        </w:rPr>
        <w:t xml:space="preserve"> због дискриминације по основу </w:t>
      </w:r>
      <w:r w:rsidR="008F4CFE">
        <w:rPr>
          <w:rFonts w:ascii="Arial" w:eastAsia="Calibri" w:hAnsi="Arial" w:cs="Arial"/>
          <w:color w:val="000000"/>
          <w:sz w:val="22"/>
          <w:szCs w:val="22"/>
        </w:rPr>
        <w:t>сексуалне оријентације</w:t>
      </w:r>
      <w:r w:rsidR="00F407C3">
        <w:rPr>
          <w:rFonts w:ascii="Arial" w:eastAsia="Calibri" w:hAnsi="Arial" w:cs="Arial"/>
          <w:color w:val="000000"/>
          <w:sz w:val="22"/>
          <w:szCs w:val="22"/>
        </w:rPr>
        <w:t>, а</w:t>
      </w:r>
      <w:r w:rsidRPr="0048092D">
        <w:rPr>
          <w:rFonts w:ascii="Arial" w:eastAsia="Calibri" w:hAnsi="Arial" w:cs="Arial"/>
          <w:color w:val="000000"/>
          <w:sz w:val="22"/>
          <w:szCs w:val="22"/>
          <w:lang w:val="sr-Cyrl-CS"/>
        </w:rPr>
        <w:t xml:space="preserve"> </w:t>
      </w:r>
      <w:r w:rsidR="004D31E0">
        <w:rPr>
          <w:rFonts w:ascii="Arial" w:eastAsia="Calibri" w:hAnsi="Arial" w:cs="Arial"/>
          <w:color w:val="000000"/>
          <w:sz w:val="22"/>
          <w:szCs w:val="22"/>
          <w:lang w:val="sr-Cyrl-CS"/>
        </w:rPr>
        <w:t>у вези са пружањем здравствених услуга</w:t>
      </w:r>
      <w:r w:rsidR="008F4CFE">
        <w:rPr>
          <w:rFonts w:ascii="Arial" w:eastAsia="Calibri" w:hAnsi="Arial" w:cs="Arial"/>
          <w:color w:val="000000"/>
          <w:sz w:val="22"/>
          <w:szCs w:val="22"/>
          <w:lang w:val="sr-Cyrl-CS"/>
        </w:rPr>
        <w:t>.</w:t>
      </w:r>
      <w:r w:rsidRPr="0048092D">
        <w:rPr>
          <w:rFonts w:ascii="Arial" w:eastAsia="Calibri" w:hAnsi="Arial" w:cs="Arial"/>
          <w:color w:val="000000"/>
          <w:sz w:val="22"/>
          <w:szCs w:val="22"/>
          <w:lang w:val="sr-Cyrl-CS"/>
        </w:rPr>
        <w:t xml:space="preserve"> У притужби је</w:t>
      </w:r>
      <w:r w:rsidR="00926715" w:rsidRPr="0048092D">
        <w:rPr>
          <w:rFonts w:ascii="Arial" w:eastAsia="Calibri" w:hAnsi="Arial" w:cs="Arial"/>
          <w:color w:val="000000"/>
          <w:sz w:val="22"/>
          <w:szCs w:val="22"/>
          <w:lang w:val="sr-Cyrl-CS"/>
        </w:rPr>
        <w:t>, између осталог,</w:t>
      </w:r>
      <w:r w:rsidRPr="0048092D">
        <w:rPr>
          <w:rFonts w:ascii="Arial" w:eastAsia="Calibri" w:hAnsi="Arial" w:cs="Arial"/>
          <w:color w:val="000000"/>
          <w:sz w:val="22"/>
          <w:szCs w:val="22"/>
          <w:lang w:val="sr-Cyrl-CS"/>
        </w:rPr>
        <w:t xml:space="preserve"> наведе</w:t>
      </w:r>
      <w:r w:rsidR="003E3B17" w:rsidRPr="0048092D">
        <w:rPr>
          <w:rFonts w:ascii="Arial" w:eastAsia="Calibri" w:hAnsi="Arial" w:cs="Arial"/>
          <w:color w:val="000000"/>
          <w:sz w:val="22"/>
          <w:szCs w:val="22"/>
          <w:lang w:val="sr-Cyrl-CS"/>
        </w:rPr>
        <w:t>но</w:t>
      </w:r>
      <w:r w:rsidRPr="0048092D">
        <w:rPr>
          <w:rFonts w:ascii="Arial" w:eastAsia="Calibri" w:hAnsi="Arial" w:cs="Arial"/>
          <w:color w:val="000000"/>
          <w:sz w:val="22"/>
          <w:szCs w:val="22"/>
          <w:lang w:val="sr-Cyrl-CS"/>
        </w:rPr>
        <w:t>:</w:t>
      </w:r>
    </w:p>
    <w:p w:rsidR="00EB6433" w:rsidRPr="0048092D" w:rsidRDefault="00EB6433" w:rsidP="0045709C">
      <w:pPr>
        <w:pStyle w:val="ListParagraph"/>
        <w:spacing w:after="120"/>
        <w:ind w:left="0"/>
        <w:jc w:val="both"/>
        <w:rPr>
          <w:rFonts w:ascii="Arial" w:eastAsia="Calibri" w:hAnsi="Arial" w:cs="Arial"/>
          <w:color w:val="000000"/>
          <w:sz w:val="22"/>
          <w:szCs w:val="22"/>
          <w:lang w:val="sr-Cyrl-CS"/>
        </w:rPr>
      </w:pPr>
    </w:p>
    <w:p w:rsidR="00A451A4" w:rsidRPr="0048092D" w:rsidRDefault="00A451A4" w:rsidP="0045709C">
      <w:pPr>
        <w:pStyle w:val="ListParagraph"/>
        <w:spacing w:after="120"/>
        <w:jc w:val="both"/>
        <w:rPr>
          <w:rFonts w:ascii="Arial" w:eastAsia="Calibri" w:hAnsi="Arial" w:cs="Arial"/>
          <w:color w:val="000000"/>
          <w:sz w:val="22"/>
          <w:szCs w:val="22"/>
          <w:lang w:val="sr-Cyrl-CS"/>
        </w:rPr>
      </w:pPr>
    </w:p>
    <w:p w:rsidR="00162DAE" w:rsidRPr="008F6289" w:rsidRDefault="004D31E0" w:rsidP="0045709C">
      <w:pPr>
        <w:pStyle w:val="ListParagraph"/>
        <w:numPr>
          <w:ilvl w:val="0"/>
          <w:numId w:val="24"/>
        </w:numPr>
        <w:spacing w:after="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да је систематски преглед на који је подноситељка притужбе била упућена обухватао и гинеколошки преглед са колпоскопијом, „папа тест“, узимање вагиналног бриса и ултразвучни преглед мале карлице</w:t>
      </w:r>
      <w:r w:rsidR="00EB075D" w:rsidRPr="0048092D">
        <w:rPr>
          <w:rFonts w:ascii="Arial" w:eastAsia="Calibri" w:hAnsi="Arial" w:cs="Arial"/>
          <w:color w:val="000000"/>
          <w:sz w:val="22"/>
          <w:szCs w:val="22"/>
          <w:lang w:val="sr-Cyrl-CS"/>
        </w:rPr>
        <w:t>;</w:t>
      </w:r>
      <w:r w:rsidR="00162DAE" w:rsidRPr="0048092D">
        <w:rPr>
          <w:rFonts w:ascii="Arial" w:eastAsia="Calibri" w:hAnsi="Arial" w:cs="Arial"/>
          <w:color w:val="000000"/>
          <w:sz w:val="22"/>
          <w:szCs w:val="22"/>
          <w:lang w:val="sr-Cyrl-CS"/>
        </w:rPr>
        <w:t xml:space="preserve"> </w:t>
      </w:r>
    </w:p>
    <w:p w:rsidR="003E3B17" w:rsidRPr="0048092D" w:rsidRDefault="003E3B17" w:rsidP="0045709C">
      <w:pPr>
        <w:pStyle w:val="ListParagraph"/>
        <w:spacing w:after="120"/>
        <w:rPr>
          <w:rFonts w:ascii="Arial" w:eastAsia="Calibri" w:hAnsi="Arial" w:cs="Arial"/>
          <w:color w:val="000000"/>
          <w:sz w:val="22"/>
          <w:szCs w:val="22"/>
          <w:lang w:val="sr-Cyrl-CS"/>
        </w:rPr>
      </w:pPr>
    </w:p>
    <w:p w:rsidR="00F32DAC" w:rsidRPr="002D0135" w:rsidRDefault="0016743E" w:rsidP="0045709C">
      <w:pPr>
        <w:pStyle w:val="ListParagraph"/>
        <w:numPr>
          <w:ilvl w:val="0"/>
          <w:numId w:val="24"/>
        </w:numPr>
        <w:spacing w:after="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 xml:space="preserve">да </w:t>
      </w:r>
      <w:r w:rsidR="004D31E0">
        <w:rPr>
          <w:rFonts w:ascii="Arial" w:eastAsia="Calibri" w:hAnsi="Arial" w:cs="Arial"/>
          <w:color w:val="000000"/>
          <w:sz w:val="22"/>
          <w:szCs w:val="22"/>
          <w:lang w:val="sr-Cyrl-CS"/>
        </w:rPr>
        <w:t>је подноситељка притужбе, по уласку у ординацију</w:t>
      </w:r>
      <w:r w:rsidR="002D0135">
        <w:rPr>
          <w:rFonts w:ascii="Arial" w:eastAsia="Calibri" w:hAnsi="Arial" w:cs="Arial"/>
          <w:color w:val="000000"/>
          <w:sz w:val="22"/>
          <w:szCs w:val="22"/>
          <w:lang w:val="sr-Cyrl-CS"/>
        </w:rPr>
        <w:t>, започела преглед одговарањем на питања која су се односила на историју болести карцинома, први менструални циклус, хронична обољења и сл</w:t>
      </w:r>
      <w:r w:rsidR="002D0135">
        <w:rPr>
          <w:rFonts w:ascii="Arial" w:eastAsia="Calibri" w:hAnsi="Arial" w:cs="Arial"/>
          <w:color w:val="000000"/>
          <w:sz w:val="22"/>
          <w:szCs w:val="22"/>
        </w:rPr>
        <w:t>;</w:t>
      </w:r>
    </w:p>
    <w:p w:rsidR="002D0135" w:rsidRPr="002D0135" w:rsidRDefault="002D0135" w:rsidP="0045709C">
      <w:pPr>
        <w:pStyle w:val="ListParagraph"/>
        <w:rPr>
          <w:rFonts w:ascii="Arial" w:eastAsia="Calibri" w:hAnsi="Arial" w:cs="Arial"/>
          <w:color w:val="000000"/>
          <w:sz w:val="22"/>
          <w:szCs w:val="22"/>
          <w:lang w:val="sr-Cyrl-CS"/>
        </w:rPr>
      </w:pPr>
    </w:p>
    <w:p w:rsidR="002D0135" w:rsidRDefault="002D0135" w:rsidP="0045709C">
      <w:pPr>
        <w:pStyle w:val="ListParagraph"/>
        <w:numPr>
          <w:ilvl w:val="0"/>
          <w:numId w:val="24"/>
        </w:numPr>
        <w:spacing w:after="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да је подноситељка притужбе након тога, замолила гинеколога да „преглед обави са мањим спекулумом, јер јој је са стандардном величином инструмента преглед непријатан и болан“, као и да је допунила реченицу да „нема односе са мушкарцима, па јој је „самим тим пријатније са мањим спекулумом“</w:t>
      </w:r>
    </w:p>
    <w:p w:rsidR="002D0135" w:rsidRPr="002D0135" w:rsidRDefault="002D0135" w:rsidP="0045709C">
      <w:pPr>
        <w:pStyle w:val="ListParagraph"/>
        <w:rPr>
          <w:rFonts w:ascii="Arial" w:eastAsia="Calibri" w:hAnsi="Arial" w:cs="Arial"/>
          <w:color w:val="000000"/>
          <w:sz w:val="22"/>
          <w:szCs w:val="22"/>
          <w:lang w:val="sr-Cyrl-CS"/>
        </w:rPr>
      </w:pPr>
    </w:p>
    <w:p w:rsidR="00B54270" w:rsidRDefault="002D0135" w:rsidP="0045709C">
      <w:pPr>
        <w:pStyle w:val="ListParagraph"/>
        <w:numPr>
          <w:ilvl w:val="0"/>
          <w:numId w:val="24"/>
        </w:numPr>
        <w:spacing w:after="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да се након тога обављала расправа између гинеколога и подноситељке притужбе на начин да је гинеколог тврдио да је подноситељка притужбе „невина јер није имала сексуалне односе са мушкарцима“, да „жене са хименом не прегледа“, док је подноситељка притужбе у расправи тврдила да „није невина“, да је претходно редовно обављала гинеколошке прегледе без проблема и без обзира што није имала сексуалне односе са мушкарцима;</w:t>
      </w:r>
      <w:r w:rsidR="00B54270" w:rsidRPr="00B54270">
        <w:rPr>
          <w:rFonts w:ascii="Arial" w:eastAsia="Calibri" w:hAnsi="Arial" w:cs="Arial"/>
          <w:color w:val="000000"/>
          <w:sz w:val="22"/>
          <w:szCs w:val="22"/>
          <w:lang w:val="sr-Cyrl-CS"/>
        </w:rPr>
        <w:t xml:space="preserve"> </w:t>
      </w:r>
    </w:p>
    <w:p w:rsidR="00B54270" w:rsidRPr="00B54270" w:rsidRDefault="00B54270" w:rsidP="0045709C">
      <w:pPr>
        <w:pStyle w:val="ListParagraph"/>
        <w:rPr>
          <w:rFonts w:ascii="Arial" w:eastAsia="Calibri" w:hAnsi="Arial" w:cs="Arial"/>
          <w:color w:val="000000"/>
          <w:sz w:val="22"/>
          <w:szCs w:val="22"/>
          <w:lang w:val="sr-Cyrl-CS"/>
        </w:rPr>
      </w:pPr>
    </w:p>
    <w:p w:rsidR="00B54270" w:rsidRDefault="00B54270" w:rsidP="0045709C">
      <w:pPr>
        <w:pStyle w:val="ListParagraph"/>
        <w:numPr>
          <w:ilvl w:val="0"/>
          <w:numId w:val="24"/>
        </w:numPr>
        <w:spacing w:after="120"/>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да је </w:t>
      </w:r>
      <w:r>
        <w:rPr>
          <w:rFonts w:ascii="Arial" w:eastAsia="Calibri" w:hAnsi="Arial" w:cs="Arial"/>
          <w:color w:val="000000"/>
          <w:sz w:val="22"/>
          <w:szCs w:val="22"/>
          <w:lang w:val="sr-Cyrl-CS"/>
        </w:rPr>
        <w:t>гинеколог одбио да изврши комплетан гинеколошки преглед, јер му је подноситељка притужбе рекла „да нема односе са мушкарцима“</w:t>
      </w:r>
      <w:r w:rsidRPr="0048092D">
        <w:rPr>
          <w:rFonts w:ascii="Arial" w:eastAsia="Calibri" w:hAnsi="Arial" w:cs="Arial"/>
          <w:color w:val="000000"/>
          <w:sz w:val="22"/>
          <w:szCs w:val="22"/>
          <w:lang w:val="sr-Cyrl-CS"/>
        </w:rPr>
        <w:t>;</w:t>
      </w:r>
    </w:p>
    <w:p w:rsidR="00B54270" w:rsidRDefault="00B54270" w:rsidP="0045709C">
      <w:pPr>
        <w:pStyle w:val="ListParagraph"/>
        <w:spacing w:after="120"/>
        <w:jc w:val="both"/>
        <w:rPr>
          <w:rFonts w:ascii="Arial" w:eastAsia="Calibri" w:hAnsi="Arial" w:cs="Arial"/>
          <w:color w:val="000000"/>
          <w:sz w:val="22"/>
          <w:szCs w:val="22"/>
          <w:lang w:val="sr-Cyrl-CS"/>
        </w:rPr>
      </w:pPr>
    </w:p>
    <w:p w:rsidR="00B54270" w:rsidRPr="008F6289" w:rsidRDefault="00B54270" w:rsidP="0045709C">
      <w:pPr>
        <w:pStyle w:val="ListParagraph"/>
        <w:numPr>
          <w:ilvl w:val="0"/>
          <w:numId w:val="24"/>
        </w:numPr>
        <w:spacing w:after="120"/>
        <w:jc w:val="both"/>
        <w:rPr>
          <w:rFonts w:ascii="Arial" w:eastAsia="Calibri" w:hAnsi="Arial" w:cs="Arial"/>
          <w:color w:val="000000"/>
          <w:sz w:val="22"/>
          <w:szCs w:val="22"/>
          <w:lang w:val="sr-Cyrl-CS"/>
        </w:rPr>
      </w:pPr>
      <w:r w:rsidRPr="008F6289">
        <w:rPr>
          <w:rFonts w:ascii="Arial" w:eastAsia="Calibri" w:hAnsi="Arial" w:cs="Arial"/>
          <w:color w:val="000000"/>
          <w:sz w:val="22"/>
          <w:szCs w:val="22"/>
          <w:lang w:val="sr-Cyrl-CS"/>
        </w:rPr>
        <w:t>да је</w:t>
      </w:r>
      <w:r>
        <w:rPr>
          <w:rFonts w:ascii="Arial" w:eastAsia="Calibri" w:hAnsi="Arial" w:cs="Arial"/>
          <w:color w:val="000000"/>
          <w:sz w:val="22"/>
          <w:szCs w:val="22"/>
          <w:lang w:val="sr-Cyrl-CS"/>
        </w:rPr>
        <w:t xml:space="preserve"> гинеколог појаснио да нема ништа против ЛГБТ популације, али да њему „закон брани да прегледа“ подноситељку притужбе</w:t>
      </w:r>
      <w:r w:rsidRPr="008F6289">
        <w:rPr>
          <w:rFonts w:ascii="Arial" w:eastAsia="Calibri" w:hAnsi="Arial" w:cs="Arial"/>
          <w:color w:val="000000"/>
          <w:sz w:val="22"/>
          <w:szCs w:val="22"/>
          <w:lang w:val="sr-Cyrl-CS"/>
        </w:rPr>
        <w:t>;</w:t>
      </w:r>
    </w:p>
    <w:p w:rsidR="00B54270" w:rsidRDefault="00B54270" w:rsidP="0045709C">
      <w:pPr>
        <w:pStyle w:val="ListParagraph"/>
        <w:spacing w:after="120"/>
        <w:jc w:val="both"/>
        <w:rPr>
          <w:rFonts w:ascii="Arial" w:eastAsia="Calibri" w:hAnsi="Arial" w:cs="Arial"/>
          <w:color w:val="000000"/>
          <w:sz w:val="22"/>
          <w:szCs w:val="22"/>
          <w:lang w:val="sr-Cyrl-CS"/>
        </w:rPr>
      </w:pPr>
    </w:p>
    <w:p w:rsidR="002D0135" w:rsidRPr="00B54270" w:rsidRDefault="00B54270" w:rsidP="0045709C">
      <w:pPr>
        <w:pStyle w:val="ListParagraph"/>
        <w:numPr>
          <w:ilvl w:val="0"/>
          <w:numId w:val="24"/>
        </w:numPr>
        <w:spacing w:after="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да не постоји ниједан правни основ на основу којег је гинеколог могао да одбије да изврши преглед, јер одредбе Закона о здравственој заштити прописују да свако лице има право на здравствену заштиту</w:t>
      </w:r>
      <w:r>
        <w:rPr>
          <w:rFonts w:ascii="Arial" w:eastAsia="Calibri" w:hAnsi="Arial" w:cs="Arial"/>
          <w:color w:val="000000"/>
          <w:sz w:val="22"/>
          <w:szCs w:val="22"/>
        </w:rPr>
        <w:t>;</w:t>
      </w:r>
    </w:p>
    <w:p w:rsidR="002D0135" w:rsidRPr="002D0135" w:rsidRDefault="002D0135" w:rsidP="0045709C">
      <w:pPr>
        <w:pStyle w:val="ListParagraph"/>
        <w:rPr>
          <w:rFonts w:ascii="Arial" w:eastAsia="Calibri" w:hAnsi="Arial" w:cs="Arial"/>
          <w:color w:val="000000"/>
          <w:sz w:val="22"/>
          <w:szCs w:val="22"/>
          <w:lang w:val="sr-Cyrl-CS"/>
        </w:rPr>
      </w:pPr>
    </w:p>
    <w:p w:rsidR="002D0135" w:rsidRDefault="002D0135" w:rsidP="0045709C">
      <w:pPr>
        <w:pStyle w:val="ListParagraph"/>
        <w:numPr>
          <w:ilvl w:val="0"/>
          <w:numId w:val="24"/>
        </w:numPr>
        <w:spacing w:after="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да је на крају расправе гинеколог питао подноситељку притужбе „да ли има химен, јер жене са хименом не сме по закону да прегледа ни прстом“, на шта је подноситељка притужбе одговорила да „нема химен“</w:t>
      </w:r>
      <w:r w:rsidR="003078D6">
        <w:rPr>
          <w:rFonts w:ascii="Arial" w:eastAsia="Calibri" w:hAnsi="Arial" w:cs="Arial"/>
          <w:color w:val="000000"/>
          <w:sz w:val="22"/>
          <w:szCs w:val="22"/>
          <w:lang w:val="sr-Cyrl-CS"/>
        </w:rPr>
        <w:t>;</w:t>
      </w:r>
    </w:p>
    <w:p w:rsidR="002D0135" w:rsidRPr="002D0135" w:rsidRDefault="002D0135" w:rsidP="0045709C">
      <w:pPr>
        <w:pStyle w:val="ListParagraph"/>
        <w:rPr>
          <w:rFonts w:ascii="Arial" w:eastAsia="Calibri" w:hAnsi="Arial" w:cs="Arial"/>
          <w:color w:val="000000"/>
          <w:sz w:val="22"/>
          <w:szCs w:val="22"/>
          <w:lang w:val="sr-Cyrl-CS"/>
        </w:rPr>
      </w:pPr>
    </w:p>
    <w:p w:rsidR="002D0135" w:rsidRDefault="002D0135" w:rsidP="0045709C">
      <w:pPr>
        <w:pStyle w:val="ListParagraph"/>
        <w:numPr>
          <w:ilvl w:val="0"/>
          <w:numId w:val="24"/>
        </w:numPr>
        <w:spacing w:after="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да је гинеколог након тога изјавио да „с обзиром да је подноситељка притужбе невина, да он може само да уради вагинални брис“</w:t>
      </w:r>
      <w:r w:rsidR="003078D6">
        <w:rPr>
          <w:rFonts w:ascii="Arial" w:eastAsia="Calibri" w:hAnsi="Arial" w:cs="Arial"/>
          <w:color w:val="000000"/>
          <w:sz w:val="22"/>
          <w:szCs w:val="22"/>
          <w:lang w:val="sr-Cyrl-CS"/>
        </w:rPr>
        <w:t>;</w:t>
      </w:r>
    </w:p>
    <w:p w:rsidR="002D0135" w:rsidRPr="002D0135" w:rsidRDefault="002D0135" w:rsidP="0045709C">
      <w:pPr>
        <w:pStyle w:val="ListParagraph"/>
        <w:rPr>
          <w:rFonts w:ascii="Arial" w:eastAsia="Calibri" w:hAnsi="Arial" w:cs="Arial"/>
          <w:color w:val="000000"/>
          <w:sz w:val="22"/>
          <w:szCs w:val="22"/>
          <w:lang w:val="sr-Cyrl-CS"/>
        </w:rPr>
      </w:pPr>
    </w:p>
    <w:p w:rsidR="002D0135" w:rsidRPr="00F32DAC" w:rsidRDefault="002D0135" w:rsidP="0045709C">
      <w:pPr>
        <w:pStyle w:val="ListParagraph"/>
        <w:numPr>
          <w:ilvl w:val="0"/>
          <w:numId w:val="24"/>
        </w:numPr>
        <w:spacing w:after="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да је цела расправа за подноситељку притужбе представљала непријатан и понижавајући разговор, али да је одлучила да не пристане на „део прегледа“, јер јој</w:t>
      </w:r>
      <w:r w:rsidR="001B58CB">
        <w:rPr>
          <w:rFonts w:ascii="Arial" w:eastAsia="Calibri" w:hAnsi="Arial" w:cs="Arial"/>
          <w:color w:val="000000"/>
          <w:sz w:val="22"/>
          <w:szCs w:val="22"/>
          <w:lang w:val="sr-Cyrl-CS"/>
        </w:rPr>
        <w:t xml:space="preserve"> је</w:t>
      </w:r>
      <w:r>
        <w:rPr>
          <w:rFonts w:ascii="Arial" w:eastAsia="Calibri" w:hAnsi="Arial" w:cs="Arial"/>
          <w:color w:val="000000"/>
          <w:sz w:val="22"/>
          <w:szCs w:val="22"/>
          <w:lang w:val="sr-Cyrl-CS"/>
        </w:rPr>
        <w:t xml:space="preserve"> гинеколог „својим ставом</w:t>
      </w:r>
      <w:r w:rsidR="001B58CB">
        <w:rPr>
          <w:rFonts w:ascii="Arial" w:eastAsia="Calibri" w:hAnsi="Arial" w:cs="Arial"/>
          <w:color w:val="000000"/>
          <w:sz w:val="22"/>
          <w:szCs w:val="22"/>
          <w:lang w:val="sr-Cyrl-CS"/>
        </w:rPr>
        <w:t>“ онемогућио да оствари право на „значајан превентивни гинеколошки преглед са циљем очувања свог сексуалног и репродуктивног здравља“.</w:t>
      </w:r>
    </w:p>
    <w:p w:rsidR="00295B71" w:rsidRPr="0048092D" w:rsidRDefault="00295B71" w:rsidP="0045709C">
      <w:pPr>
        <w:pStyle w:val="ListParagraph"/>
        <w:spacing w:after="120"/>
        <w:rPr>
          <w:rFonts w:ascii="Arial" w:eastAsia="Calibri" w:hAnsi="Arial" w:cs="Arial"/>
          <w:color w:val="000000"/>
          <w:sz w:val="22"/>
          <w:szCs w:val="22"/>
          <w:lang w:val="sr-Cyrl-CS"/>
        </w:rPr>
      </w:pPr>
    </w:p>
    <w:p w:rsidR="003E3B17" w:rsidRPr="0048092D" w:rsidRDefault="001B58CB" w:rsidP="0045709C">
      <w:pPr>
        <w:pStyle w:val="ListParagraph"/>
        <w:numPr>
          <w:ilvl w:val="1"/>
          <w:numId w:val="6"/>
        </w:numPr>
        <w:tabs>
          <w:tab w:val="left" w:pos="450"/>
        </w:tabs>
        <w:spacing w:after="120"/>
        <w:ind w:left="0" w:firstLine="0"/>
        <w:jc w:val="both"/>
        <w:rPr>
          <w:rFonts w:ascii="Arial" w:eastAsia="Calibri" w:hAnsi="Arial" w:cs="Arial"/>
          <w:noProof/>
          <w:sz w:val="22"/>
          <w:szCs w:val="22"/>
          <w:lang w:val="sr-Cyrl-CS"/>
        </w:rPr>
      </w:pPr>
      <w:r>
        <w:rPr>
          <w:rFonts w:ascii="Arial" w:eastAsia="Calibri" w:hAnsi="Arial" w:cs="Arial"/>
          <w:noProof/>
          <w:sz w:val="22"/>
          <w:szCs w:val="22"/>
          <w:lang w:val="sr-Cyrl-CS"/>
        </w:rPr>
        <w:t>Као доказ наводима из притужбе, подноситељка притужбе је предложила да се као сведокиња саслу</w:t>
      </w:r>
      <w:r w:rsidR="00A01217">
        <w:rPr>
          <w:rFonts w:ascii="Arial" w:eastAsia="Calibri" w:hAnsi="Arial" w:cs="Arial"/>
          <w:noProof/>
          <w:sz w:val="22"/>
          <w:szCs w:val="22"/>
          <w:lang w:val="sr-Cyrl-CS"/>
        </w:rPr>
        <w:t>ш</w:t>
      </w:r>
      <w:r>
        <w:rPr>
          <w:rFonts w:ascii="Arial" w:eastAsia="Calibri" w:hAnsi="Arial" w:cs="Arial"/>
          <w:noProof/>
          <w:sz w:val="22"/>
          <w:szCs w:val="22"/>
          <w:lang w:val="sr-Cyrl-CS"/>
        </w:rPr>
        <w:t>а медицинска сестра која је приликом спорног догађаја била присутна у ординацији</w:t>
      </w:r>
      <w:r w:rsidR="003E3B17" w:rsidRPr="0048092D">
        <w:rPr>
          <w:rFonts w:ascii="Arial" w:eastAsia="Calibri" w:hAnsi="Arial" w:cs="Arial"/>
          <w:noProof/>
          <w:sz w:val="22"/>
          <w:szCs w:val="22"/>
          <w:lang w:val="sr-Cyrl-CS"/>
        </w:rPr>
        <w:t>.</w:t>
      </w:r>
    </w:p>
    <w:p w:rsidR="00A61F11" w:rsidRPr="0048092D" w:rsidRDefault="00A61F11" w:rsidP="0045709C">
      <w:pPr>
        <w:pStyle w:val="ListParagraph"/>
        <w:tabs>
          <w:tab w:val="left" w:pos="450"/>
        </w:tabs>
        <w:spacing w:after="120"/>
        <w:ind w:left="0"/>
        <w:jc w:val="both"/>
        <w:rPr>
          <w:rFonts w:ascii="Arial" w:eastAsia="Calibri" w:hAnsi="Arial" w:cs="Arial"/>
          <w:noProof/>
          <w:sz w:val="22"/>
          <w:szCs w:val="22"/>
          <w:lang w:val="sr-Cyrl-CS"/>
        </w:rPr>
      </w:pPr>
    </w:p>
    <w:p w:rsidR="007424FD" w:rsidRPr="0048092D" w:rsidRDefault="003E3B17" w:rsidP="0045709C">
      <w:pPr>
        <w:pStyle w:val="ListParagraph"/>
        <w:numPr>
          <w:ilvl w:val="1"/>
          <w:numId w:val="21"/>
        </w:numPr>
        <w:tabs>
          <w:tab w:val="left" w:pos="284"/>
          <w:tab w:val="left" w:pos="450"/>
        </w:tabs>
        <w:spacing w:after="120"/>
        <w:ind w:left="0" w:firstLine="0"/>
        <w:jc w:val="both"/>
        <w:rPr>
          <w:rFonts w:ascii="Arial" w:eastAsia="Calibri" w:hAnsi="Arial" w:cs="Arial"/>
          <w:b/>
          <w:noProof/>
          <w:color w:val="000000"/>
          <w:sz w:val="22"/>
          <w:szCs w:val="22"/>
          <w:lang w:val="sr-Cyrl-CS"/>
        </w:rPr>
      </w:pPr>
      <w:r w:rsidRPr="0048092D">
        <w:rPr>
          <w:rFonts w:ascii="Arial" w:eastAsia="Calibri" w:hAnsi="Arial" w:cs="Arial"/>
          <w:noProof/>
          <w:sz w:val="22"/>
          <w:szCs w:val="22"/>
          <w:lang w:val="sr-Cyrl-CS"/>
        </w:rPr>
        <w:lastRenderedPageBreak/>
        <w:t xml:space="preserve"> По</w:t>
      </w:r>
      <w:r w:rsidR="00F5671F" w:rsidRPr="00F5671F">
        <w:rPr>
          <w:rFonts w:ascii="Arial" w:eastAsia="Calibri" w:hAnsi="Arial" w:cs="Arial"/>
          <w:noProof/>
          <w:sz w:val="22"/>
          <w:szCs w:val="22"/>
        </w:rPr>
        <w:t xml:space="preserve">вереник за заштиту равноправности спровео је поступак у циљу утврђивања правно релевантних чињеница и околности, у складу са чланом 37. став 1. Закона о забрани дискриминације, па је у току поступка затражено изјашњење од </w:t>
      </w:r>
      <w:r w:rsidR="001B58CB">
        <w:rPr>
          <w:rFonts w:ascii="Arial" w:eastAsia="Calibri" w:hAnsi="Arial" w:cs="Arial"/>
          <w:noProof/>
          <w:sz w:val="22"/>
          <w:szCs w:val="22"/>
        </w:rPr>
        <w:t xml:space="preserve">гинеколога </w:t>
      </w:r>
      <w:r w:rsidR="00E124AC">
        <w:rPr>
          <w:rFonts w:ascii="Arial" w:eastAsia="Calibri" w:hAnsi="Arial" w:cs="Arial"/>
          <w:noProof/>
          <w:sz w:val="22"/>
          <w:szCs w:val="22"/>
        </w:rPr>
        <w:t>Б. Б.</w:t>
      </w:r>
    </w:p>
    <w:p w:rsidR="0031751F" w:rsidRPr="0048092D" w:rsidRDefault="0031751F" w:rsidP="0045709C">
      <w:pPr>
        <w:pStyle w:val="ListParagraph"/>
        <w:tabs>
          <w:tab w:val="left" w:pos="284"/>
          <w:tab w:val="left" w:pos="450"/>
        </w:tabs>
        <w:spacing w:after="120"/>
        <w:ind w:left="0"/>
        <w:jc w:val="both"/>
        <w:rPr>
          <w:rFonts w:ascii="Arial" w:eastAsia="Calibri" w:hAnsi="Arial" w:cs="Arial"/>
          <w:b/>
          <w:noProof/>
          <w:color w:val="000000"/>
          <w:sz w:val="22"/>
          <w:szCs w:val="22"/>
          <w:lang w:val="sr-Cyrl-CS"/>
        </w:rPr>
      </w:pPr>
    </w:p>
    <w:p w:rsidR="007424FD" w:rsidRPr="0048092D" w:rsidRDefault="00D50E03" w:rsidP="0045709C">
      <w:pPr>
        <w:pStyle w:val="ListParagraph"/>
        <w:numPr>
          <w:ilvl w:val="1"/>
          <w:numId w:val="21"/>
        </w:numPr>
        <w:tabs>
          <w:tab w:val="left" w:pos="284"/>
          <w:tab w:val="left" w:pos="450"/>
        </w:tabs>
        <w:spacing w:after="120"/>
        <w:ind w:left="0" w:firstLine="0"/>
        <w:jc w:val="both"/>
        <w:rPr>
          <w:rFonts w:ascii="Arial" w:eastAsia="Calibri" w:hAnsi="Arial" w:cs="Arial"/>
          <w:b/>
          <w:noProof/>
          <w:color w:val="000000"/>
          <w:sz w:val="22"/>
          <w:szCs w:val="22"/>
          <w:lang w:val="sr-Cyrl-CS"/>
        </w:rPr>
      </w:pPr>
      <w:r>
        <w:rPr>
          <w:rFonts w:ascii="Arial" w:hAnsi="Arial" w:cs="Arial"/>
          <w:sz w:val="22"/>
          <w:szCs w:val="22"/>
        </w:rPr>
        <w:t>Б. Б.</w:t>
      </w:r>
      <w:r w:rsidR="007424FD" w:rsidRPr="0048092D">
        <w:rPr>
          <w:rFonts w:ascii="Arial" w:hAnsi="Arial" w:cs="Arial"/>
          <w:sz w:val="22"/>
          <w:szCs w:val="22"/>
        </w:rPr>
        <w:t xml:space="preserve"> је у изјашњењу, између осталог, навео:</w:t>
      </w:r>
    </w:p>
    <w:p w:rsidR="007424FD" w:rsidRPr="0048092D" w:rsidRDefault="007424FD" w:rsidP="0045709C">
      <w:pPr>
        <w:pStyle w:val="ListParagraph"/>
        <w:tabs>
          <w:tab w:val="left" w:pos="284"/>
          <w:tab w:val="left" w:pos="450"/>
        </w:tabs>
        <w:spacing w:after="120"/>
        <w:ind w:left="0"/>
        <w:jc w:val="both"/>
        <w:rPr>
          <w:rFonts w:ascii="Arial" w:eastAsia="Calibri" w:hAnsi="Arial" w:cs="Arial"/>
          <w:b/>
          <w:noProof/>
          <w:color w:val="000000"/>
          <w:sz w:val="22"/>
          <w:szCs w:val="22"/>
          <w:lang w:val="sr-Cyrl-CS"/>
        </w:rPr>
      </w:pPr>
    </w:p>
    <w:p w:rsidR="007424FD" w:rsidRPr="0048092D" w:rsidRDefault="007424FD" w:rsidP="0045709C">
      <w:pPr>
        <w:pStyle w:val="ListParagraph"/>
        <w:numPr>
          <w:ilvl w:val="0"/>
          <w:numId w:val="24"/>
        </w:numPr>
        <w:tabs>
          <w:tab w:val="left" w:pos="284"/>
          <w:tab w:val="left" w:pos="450"/>
        </w:tabs>
        <w:spacing w:after="120"/>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w:t>
      </w:r>
      <w:r w:rsidR="005E3689">
        <w:rPr>
          <w:rFonts w:ascii="Arial" w:eastAsia="Calibri" w:hAnsi="Arial" w:cs="Arial"/>
          <w:noProof/>
          <w:color w:val="000000"/>
          <w:sz w:val="22"/>
          <w:szCs w:val="22"/>
          <w:lang w:val="sr-Cyrl-CS"/>
        </w:rPr>
        <w:t xml:space="preserve">да </w:t>
      </w:r>
      <w:r w:rsidR="00EA6DF0">
        <w:rPr>
          <w:rFonts w:ascii="Arial" w:eastAsia="Calibri" w:hAnsi="Arial" w:cs="Arial"/>
          <w:noProof/>
          <w:color w:val="000000"/>
          <w:sz w:val="22"/>
          <w:szCs w:val="22"/>
        </w:rPr>
        <w:t>изјава подноситељке притужбе да је дискриминисана по основу сексуалне оријентације није истинита</w:t>
      </w:r>
      <w:r w:rsidR="00DA334E">
        <w:rPr>
          <w:rFonts w:ascii="Arial" w:eastAsia="Calibri" w:hAnsi="Arial" w:cs="Arial"/>
          <w:noProof/>
          <w:color w:val="000000"/>
          <w:sz w:val="22"/>
          <w:szCs w:val="22"/>
          <w:lang w:val="sr-Cyrl-CS"/>
        </w:rPr>
        <w:t>;</w:t>
      </w:r>
    </w:p>
    <w:p w:rsidR="007424FD" w:rsidRPr="0048092D" w:rsidRDefault="007424FD" w:rsidP="0045709C">
      <w:pPr>
        <w:pStyle w:val="ListParagraph"/>
        <w:tabs>
          <w:tab w:val="left" w:pos="284"/>
          <w:tab w:val="left" w:pos="450"/>
        </w:tabs>
        <w:spacing w:after="120"/>
        <w:jc w:val="both"/>
        <w:rPr>
          <w:rFonts w:ascii="Arial" w:eastAsia="Calibri" w:hAnsi="Arial" w:cs="Arial"/>
          <w:b/>
          <w:noProof/>
          <w:color w:val="000000"/>
          <w:sz w:val="22"/>
          <w:szCs w:val="22"/>
          <w:lang w:val="sr-Cyrl-CS"/>
        </w:rPr>
      </w:pPr>
    </w:p>
    <w:p w:rsidR="007424FD" w:rsidRPr="0048092D" w:rsidRDefault="007424FD" w:rsidP="0045709C">
      <w:pPr>
        <w:pStyle w:val="ListParagraph"/>
        <w:numPr>
          <w:ilvl w:val="0"/>
          <w:numId w:val="24"/>
        </w:numPr>
        <w:tabs>
          <w:tab w:val="left" w:pos="284"/>
          <w:tab w:val="left" w:pos="450"/>
        </w:tabs>
        <w:spacing w:after="120"/>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w:t>
      </w:r>
      <w:r w:rsidR="00EA6DF0">
        <w:rPr>
          <w:rFonts w:ascii="Arial" w:eastAsia="Calibri" w:hAnsi="Arial" w:cs="Arial"/>
          <w:noProof/>
          <w:color w:val="000000"/>
          <w:sz w:val="22"/>
          <w:szCs w:val="22"/>
          <w:lang w:val="sr-Cyrl-CS"/>
        </w:rPr>
        <w:t>да он не прегледа „опредељење“ подноситељке притужбе, већ њено здравствено стање, само са гинеколошког аспекта</w:t>
      </w:r>
      <w:r w:rsidR="00DA334E">
        <w:rPr>
          <w:rFonts w:ascii="Arial" w:eastAsia="Calibri" w:hAnsi="Arial" w:cs="Arial"/>
          <w:noProof/>
          <w:color w:val="000000"/>
          <w:sz w:val="22"/>
          <w:szCs w:val="22"/>
          <w:lang w:val="sr-Cyrl-CS"/>
        </w:rPr>
        <w:t>;</w:t>
      </w:r>
    </w:p>
    <w:p w:rsidR="007424FD" w:rsidRPr="0048092D" w:rsidRDefault="007424FD" w:rsidP="0045709C">
      <w:pPr>
        <w:pStyle w:val="ListParagraph"/>
        <w:tabs>
          <w:tab w:val="left" w:pos="284"/>
          <w:tab w:val="left" w:pos="450"/>
        </w:tabs>
        <w:spacing w:after="120"/>
        <w:jc w:val="both"/>
        <w:rPr>
          <w:rFonts w:ascii="Arial" w:eastAsia="Calibri" w:hAnsi="Arial" w:cs="Arial"/>
          <w:b/>
          <w:noProof/>
          <w:color w:val="000000"/>
          <w:sz w:val="22"/>
          <w:szCs w:val="22"/>
          <w:lang w:val="sr-Cyrl-CS"/>
        </w:rPr>
      </w:pPr>
    </w:p>
    <w:p w:rsidR="00EB6433" w:rsidRPr="005E3689" w:rsidRDefault="007424FD" w:rsidP="0045709C">
      <w:pPr>
        <w:pStyle w:val="ListParagraph"/>
        <w:numPr>
          <w:ilvl w:val="0"/>
          <w:numId w:val="24"/>
        </w:numPr>
        <w:tabs>
          <w:tab w:val="left" w:pos="284"/>
          <w:tab w:val="left" w:pos="450"/>
        </w:tabs>
        <w:spacing w:after="120"/>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w:t>
      </w:r>
      <w:r w:rsidR="00EA6DF0">
        <w:rPr>
          <w:rFonts w:ascii="Arial" w:eastAsia="Calibri" w:hAnsi="Arial" w:cs="Arial"/>
          <w:noProof/>
          <w:color w:val="000000"/>
          <w:sz w:val="22"/>
          <w:szCs w:val="22"/>
          <w:lang w:val="sr-Cyrl-CS"/>
        </w:rPr>
        <w:t xml:space="preserve">да наводи подноситељке притужбе да је доктор изјавио да „нема ништа против ЛГБТ популације“ такође нису истинити јер се </w:t>
      </w:r>
      <w:r w:rsidR="00A01217">
        <w:rPr>
          <w:rFonts w:ascii="Arial" w:eastAsia="Calibri" w:hAnsi="Arial" w:cs="Arial"/>
          <w:noProof/>
          <w:color w:val="000000"/>
          <w:sz w:val="22"/>
          <w:szCs w:val="22"/>
          <w:lang w:val="sr-Cyrl-CS"/>
        </w:rPr>
        <w:t>о томе није изјашњава</w:t>
      </w:r>
      <w:r w:rsidR="00EA6DF0">
        <w:rPr>
          <w:rFonts w:ascii="Arial" w:eastAsia="Calibri" w:hAnsi="Arial" w:cs="Arial"/>
          <w:noProof/>
          <w:color w:val="000000"/>
          <w:sz w:val="22"/>
          <w:szCs w:val="22"/>
          <w:lang w:val="sr-Cyrl-CS"/>
        </w:rPr>
        <w:t>о</w:t>
      </w:r>
      <w:r w:rsidR="00DA334E">
        <w:rPr>
          <w:rFonts w:ascii="Arial" w:eastAsia="Calibri" w:hAnsi="Arial" w:cs="Arial"/>
          <w:noProof/>
          <w:color w:val="000000"/>
          <w:sz w:val="22"/>
          <w:szCs w:val="22"/>
          <w:lang w:val="sr-Cyrl-CS"/>
        </w:rPr>
        <w:t>;</w:t>
      </w:r>
    </w:p>
    <w:p w:rsidR="005E3689" w:rsidRPr="005E3689" w:rsidRDefault="005E3689" w:rsidP="0045709C">
      <w:pPr>
        <w:pStyle w:val="ListParagraph"/>
        <w:spacing w:after="120"/>
        <w:rPr>
          <w:rFonts w:ascii="Arial" w:eastAsia="Calibri" w:hAnsi="Arial" w:cs="Arial"/>
          <w:b/>
          <w:noProof/>
          <w:color w:val="000000"/>
          <w:sz w:val="22"/>
          <w:szCs w:val="22"/>
          <w:lang w:val="sr-Cyrl-CS"/>
        </w:rPr>
      </w:pPr>
    </w:p>
    <w:p w:rsidR="00161884" w:rsidRDefault="00EA6DF0" w:rsidP="0045709C">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је до сада прегледао десетине жена „таквих оријентација“, које су биле искрене према лекару и изјасниле се да су имале односе и са мушкарцима и са женама, те да је на основу тога и у складу са медицинском етиком и протоколима лечења могао да изврши гинеколошки преглед, односно да пружи одговарајућу здравствену услугу и заштиту</w:t>
      </w:r>
      <w:r w:rsidR="00161884">
        <w:rPr>
          <w:rFonts w:ascii="Arial" w:eastAsia="Calibri" w:hAnsi="Arial" w:cs="Arial"/>
          <w:noProof/>
          <w:color w:val="000000"/>
          <w:sz w:val="22"/>
          <w:szCs w:val="22"/>
          <w:lang w:val="sr-Cyrl-CS"/>
        </w:rPr>
        <w:t>;</w:t>
      </w:r>
    </w:p>
    <w:p w:rsidR="00161884" w:rsidRPr="00161884" w:rsidRDefault="00161884" w:rsidP="0045709C">
      <w:pPr>
        <w:pStyle w:val="ListParagraph"/>
        <w:spacing w:after="120"/>
        <w:rPr>
          <w:rFonts w:ascii="Arial" w:eastAsia="Calibri" w:hAnsi="Arial" w:cs="Arial"/>
          <w:noProof/>
          <w:color w:val="000000"/>
          <w:sz w:val="22"/>
          <w:szCs w:val="22"/>
          <w:lang w:val="sr-Cyrl-CS"/>
        </w:rPr>
      </w:pPr>
    </w:p>
    <w:p w:rsidR="00161884" w:rsidRDefault="00EA6DF0" w:rsidP="0045709C">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наводи подноситељке притужбе да је доктора замолила да преглед обави са „мањим спекулумом“ и указала да нема односе са мушкарцима није тачна, будући да је то изјавила тек кад је била упитана да ли је имала сексуалне односе са мушкарцима</w:t>
      </w:r>
      <w:r w:rsidR="00161884">
        <w:rPr>
          <w:rFonts w:ascii="Arial" w:eastAsia="Calibri" w:hAnsi="Arial" w:cs="Arial"/>
          <w:noProof/>
          <w:color w:val="000000"/>
          <w:sz w:val="22"/>
          <w:szCs w:val="22"/>
          <w:lang w:val="sr-Cyrl-CS"/>
        </w:rPr>
        <w:t>;</w:t>
      </w:r>
    </w:p>
    <w:p w:rsidR="00161884" w:rsidRPr="00161884" w:rsidRDefault="00161884" w:rsidP="0045709C">
      <w:pPr>
        <w:pStyle w:val="ListParagraph"/>
        <w:spacing w:after="120"/>
        <w:rPr>
          <w:rFonts w:ascii="Arial" w:eastAsia="Calibri" w:hAnsi="Arial" w:cs="Arial"/>
          <w:noProof/>
          <w:color w:val="000000"/>
          <w:sz w:val="22"/>
          <w:szCs w:val="22"/>
          <w:lang w:val="sr-Cyrl-CS"/>
        </w:rPr>
      </w:pPr>
    </w:p>
    <w:p w:rsidR="00161884" w:rsidRDefault="00EA6DF0" w:rsidP="0045709C">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је поновио експлицитно питање да ли је подноситељка притужбе имала сексуалне односе са мушкарцима, на шта му је одговорила да никада није имала сексуалне односе са мушкарцима</w:t>
      </w:r>
      <w:r w:rsidR="00161884">
        <w:rPr>
          <w:rFonts w:ascii="Arial" w:eastAsia="Calibri" w:hAnsi="Arial" w:cs="Arial"/>
          <w:noProof/>
          <w:color w:val="000000"/>
          <w:sz w:val="22"/>
          <w:szCs w:val="22"/>
          <w:lang w:val="sr-Cyrl-CS"/>
        </w:rPr>
        <w:t>;</w:t>
      </w:r>
    </w:p>
    <w:p w:rsidR="00161884" w:rsidRPr="00161884" w:rsidRDefault="00161884" w:rsidP="0045709C">
      <w:pPr>
        <w:pStyle w:val="ListParagraph"/>
        <w:spacing w:after="120"/>
        <w:rPr>
          <w:rFonts w:ascii="Arial" w:eastAsia="Calibri" w:hAnsi="Arial" w:cs="Arial"/>
          <w:noProof/>
          <w:color w:val="000000"/>
          <w:sz w:val="22"/>
          <w:szCs w:val="22"/>
          <w:lang w:val="sr-Cyrl-CS"/>
        </w:rPr>
      </w:pPr>
    </w:p>
    <w:p w:rsidR="00CE6E99" w:rsidRDefault="00EA6DF0" w:rsidP="0045709C">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 xml:space="preserve">да такав одговор за њега значи, да у складу са стањем подноситељке притужбе, нема право да прегледа подноситељку притужбе вагинално, будући да је подноситељка притужбе „медицински </w:t>
      </w:r>
      <w:r>
        <w:rPr>
          <w:rFonts w:ascii="Arial" w:eastAsia="Calibri" w:hAnsi="Arial" w:cs="Arial"/>
          <w:noProof/>
          <w:color w:val="000000"/>
          <w:sz w:val="22"/>
          <w:szCs w:val="22"/>
        </w:rPr>
        <w:t>virgo intacta“, те да би на тај начин „извршио дефлорацију“, која подлеже судско – медицинском вештачењу</w:t>
      </w:r>
      <w:r w:rsidR="00CE6E99">
        <w:rPr>
          <w:rFonts w:ascii="Arial" w:eastAsia="Calibri" w:hAnsi="Arial" w:cs="Arial"/>
          <w:noProof/>
          <w:color w:val="000000"/>
          <w:sz w:val="22"/>
          <w:szCs w:val="22"/>
          <w:lang w:val="sr-Cyrl-CS"/>
        </w:rPr>
        <w:t>;</w:t>
      </w:r>
    </w:p>
    <w:p w:rsidR="00CE6E99" w:rsidRPr="00CE6E99" w:rsidRDefault="00CE6E99" w:rsidP="0045709C">
      <w:pPr>
        <w:pStyle w:val="ListParagraph"/>
        <w:spacing w:after="120"/>
        <w:rPr>
          <w:rFonts w:ascii="Arial" w:eastAsia="Calibri" w:hAnsi="Arial" w:cs="Arial"/>
          <w:noProof/>
          <w:color w:val="000000"/>
          <w:sz w:val="22"/>
          <w:szCs w:val="22"/>
          <w:lang w:val="sr-Cyrl-CS"/>
        </w:rPr>
      </w:pPr>
    </w:p>
    <w:p w:rsidR="00CE6E99" w:rsidRDefault="00CB577A" w:rsidP="0045709C">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би у том случају био прекршен протокол лечења, медицинска етика, као и да би дошло до кривично правне одговорности лекара, односно да би приликом мануелног и инструменталног прегледа такве особе дошло до озлеђивања девичњака и крварења</w:t>
      </w:r>
      <w:r w:rsidR="00CE6E99">
        <w:rPr>
          <w:rFonts w:ascii="Arial" w:eastAsia="Calibri" w:hAnsi="Arial" w:cs="Arial"/>
          <w:noProof/>
          <w:color w:val="000000"/>
          <w:sz w:val="22"/>
          <w:szCs w:val="22"/>
          <w:lang w:val="sr-Cyrl-CS"/>
        </w:rPr>
        <w:t>;</w:t>
      </w:r>
    </w:p>
    <w:p w:rsidR="00CE6E99" w:rsidRPr="00CE6E99" w:rsidRDefault="00CE6E99" w:rsidP="0045709C">
      <w:pPr>
        <w:pStyle w:val="ListParagraph"/>
        <w:spacing w:after="120"/>
        <w:rPr>
          <w:rFonts w:ascii="Arial" w:eastAsia="Calibri" w:hAnsi="Arial" w:cs="Arial"/>
          <w:noProof/>
          <w:color w:val="000000"/>
          <w:sz w:val="22"/>
          <w:szCs w:val="22"/>
          <w:lang w:val="sr-Cyrl-CS"/>
        </w:rPr>
      </w:pPr>
    </w:p>
    <w:p w:rsidR="00CE6E99" w:rsidRDefault="00CB577A" w:rsidP="0045709C">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се „жене које нису имале односе“, по правилима гинекологије, протоколима лечења и медицинској етици, не могу прегледати кроз вагину, већ се прегледају визуелно само спољне гениталије и хименални отвор, те је из тог разлога подноситељки притужбе понудио преглед абдоминалним ултразвуком, вагинални брис и ректални преглед, за који није потребан бинуменални и инструментални улазак у вегину, а што је подноситељка притужбе експлицитно одбила и изјавила да „неће преглед код мене и да жели женског гинеколога“</w:t>
      </w:r>
      <w:r w:rsidR="00CE6E99">
        <w:rPr>
          <w:rFonts w:ascii="Arial" w:eastAsia="Calibri" w:hAnsi="Arial" w:cs="Arial"/>
          <w:noProof/>
          <w:color w:val="000000"/>
          <w:sz w:val="22"/>
          <w:szCs w:val="22"/>
          <w:lang w:val="sr-Cyrl-CS"/>
        </w:rPr>
        <w:t>;</w:t>
      </w:r>
    </w:p>
    <w:p w:rsidR="00CE6E99" w:rsidRPr="00CE6E99" w:rsidRDefault="00CE6E99" w:rsidP="0045709C">
      <w:pPr>
        <w:pStyle w:val="ListParagraph"/>
        <w:spacing w:after="120"/>
        <w:rPr>
          <w:rFonts w:ascii="Arial" w:eastAsia="Calibri" w:hAnsi="Arial" w:cs="Arial"/>
          <w:noProof/>
          <w:color w:val="000000"/>
          <w:sz w:val="22"/>
          <w:szCs w:val="22"/>
          <w:lang w:val="sr-Cyrl-CS"/>
        </w:rPr>
      </w:pPr>
    </w:p>
    <w:p w:rsidR="00CE6E99" w:rsidRDefault="00CB577A" w:rsidP="0045709C">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након свега наведеног, наводи подноситељке притужбе да је лекар одбио да обави преглед нису тачни, већ да је подноситељка притужбе одбила да буде подвргнута одговарајућем гинеколошком прегледу</w:t>
      </w:r>
      <w:r w:rsidR="00CE6E99">
        <w:rPr>
          <w:rFonts w:ascii="Arial" w:eastAsia="Calibri" w:hAnsi="Arial" w:cs="Arial"/>
          <w:noProof/>
          <w:color w:val="000000"/>
          <w:sz w:val="22"/>
          <w:szCs w:val="22"/>
          <w:lang w:val="sr-Cyrl-CS"/>
        </w:rPr>
        <w:t>;</w:t>
      </w:r>
    </w:p>
    <w:p w:rsidR="00CE6E99" w:rsidRPr="00CE6E99" w:rsidRDefault="00CE6E99" w:rsidP="0045709C">
      <w:pPr>
        <w:pStyle w:val="ListParagraph"/>
        <w:spacing w:after="120"/>
        <w:rPr>
          <w:rFonts w:ascii="Arial" w:eastAsia="Calibri" w:hAnsi="Arial" w:cs="Arial"/>
          <w:noProof/>
          <w:color w:val="000000"/>
          <w:sz w:val="22"/>
          <w:szCs w:val="22"/>
          <w:lang w:val="sr-Cyrl-CS"/>
        </w:rPr>
      </w:pPr>
    </w:p>
    <w:p w:rsidR="00CE6E99" w:rsidRDefault="00CB577A" w:rsidP="0045709C">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није одбио да обави гинеколошки преглед, већ је образложио на који начин му етика и закон дозвољавају да изврши преглед, у складу са здравственим стањем подноситељке притужбе, те да за наведено поседује и доказе, јер је у ординацији приликом спорног догађаја била присутна и гинеколошка сестра</w:t>
      </w:r>
      <w:r w:rsidR="00CE6E99">
        <w:rPr>
          <w:rFonts w:ascii="Arial" w:eastAsia="Calibri" w:hAnsi="Arial" w:cs="Arial"/>
          <w:noProof/>
          <w:color w:val="000000"/>
          <w:sz w:val="22"/>
          <w:szCs w:val="22"/>
          <w:lang w:val="sr-Cyrl-CS"/>
        </w:rPr>
        <w:t>;</w:t>
      </w:r>
    </w:p>
    <w:p w:rsidR="00CE6E99" w:rsidRPr="00CE6E99" w:rsidRDefault="00CE6E99" w:rsidP="0045709C">
      <w:pPr>
        <w:pStyle w:val="ListParagraph"/>
        <w:spacing w:after="120"/>
        <w:rPr>
          <w:rFonts w:ascii="Arial" w:eastAsia="Calibri" w:hAnsi="Arial" w:cs="Arial"/>
          <w:noProof/>
          <w:color w:val="000000"/>
          <w:sz w:val="22"/>
          <w:szCs w:val="22"/>
          <w:lang w:val="sr-Cyrl-CS"/>
        </w:rPr>
      </w:pPr>
    </w:p>
    <w:p w:rsidR="005E3689" w:rsidRDefault="00CB577A" w:rsidP="0045709C">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lastRenderedPageBreak/>
        <w:t>да разлог због кога преглед не може бити извршен на начин који подноситељка притужбе жели, нема везе са њеном сексуалном оријентацијом, већ са њеним здравственим стањем</w:t>
      </w:r>
      <w:r w:rsidR="007A5657">
        <w:rPr>
          <w:rFonts w:ascii="Arial" w:eastAsia="Calibri" w:hAnsi="Arial" w:cs="Arial"/>
          <w:noProof/>
          <w:color w:val="000000"/>
          <w:sz w:val="22"/>
          <w:szCs w:val="22"/>
          <w:lang w:val="sr-Cyrl-CS"/>
        </w:rPr>
        <w:t>.</w:t>
      </w:r>
    </w:p>
    <w:p w:rsidR="007A5657" w:rsidRPr="007A5657" w:rsidRDefault="007A5657" w:rsidP="0045709C">
      <w:pPr>
        <w:pStyle w:val="ListParagraph"/>
        <w:spacing w:after="120"/>
        <w:rPr>
          <w:rFonts w:ascii="Arial" w:eastAsia="Calibri" w:hAnsi="Arial" w:cs="Arial"/>
          <w:noProof/>
          <w:color w:val="000000"/>
          <w:sz w:val="22"/>
          <w:szCs w:val="22"/>
          <w:lang w:val="sr-Cyrl-CS"/>
        </w:rPr>
      </w:pPr>
    </w:p>
    <w:p w:rsidR="007A5657" w:rsidRDefault="00CB577A" w:rsidP="0045709C">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подноситељка притужбе „покушава да увуче ту заједницу у ову ситуацију, да испадне да због своје сексуалне оријентације неко не може да је прегледа, што није истина“;</w:t>
      </w:r>
    </w:p>
    <w:p w:rsidR="00CB577A" w:rsidRPr="00CB577A" w:rsidRDefault="00CB577A" w:rsidP="0045709C">
      <w:pPr>
        <w:pStyle w:val="ListParagraph"/>
        <w:rPr>
          <w:rFonts w:ascii="Arial" w:eastAsia="Calibri" w:hAnsi="Arial" w:cs="Arial"/>
          <w:noProof/>
          <w:color w:val="000000"/>
          <w:sz w:val="22"/>
          <w:szCs w:val="22"/>
          <w:lang w:val="sr-Cyrl-CS"/>
        </w:rPr>
      </w:pPr>
    </w:p>
    <w:p w:rsidR="00CB577A" w:rsidRDefault="00FD6331" w:rsidP="0045709C">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 xml:space="preserve">да члан 155. Закона о здравственој заштити прописује да </w:t>
      </w:r>
      <w:r w:rsidR="008D32C5">
        <w:rPr>
          <w:rFonts w:ascii="Arial" w:eastAsia="Calibri" w:hAnsi="Arial" w:cs="Arial"/>
          <w:noProof/>
          <w:color w:val="000000"/>
          <w:sz w:val="22"/>
          <w:szCs w:val="22"/>
          <w:lang w:val="sr-Cyrl-CS"/>
        </w:rPr>
        <w:t>здравствени радници обављају здравствену делатност у складу са стручним стандардима, усвојеним водичима добре праксе, протоколима лечења и Кодексом професионалне медицинске етике, док члан 156. истог закона прописује да здравствени радник може одбити пружање здравствене заштите, ако здравствена услуга, коју треба пружити није у складу са његовом савешћу, уверењима или међународним правилима медицинске етике;</w:t>
      </w:r>
    </w:p>
    <w:p w:rsidR="008D32C5" w:rsidRPr="008D32C5" w:rsidRDefault="008D32C5" w:rsidP="0045709C">
      <w:pPr>
        <w:pStyle w:val="ListParagraph"/>
        <w:rPr>
          <w:rFonts w:ascii="Arial" w:eastAsia="Calibri" w:hAnsi="Arial" w:cs="Arial"/>
          <w:noProof/>
          <w:color w:val="000000"/>
          <w:sz w:val="22"/>
          <w:szCs w:val="22"/>
          <w:lang w:val="sr-Cyrl-CS"/>
        </w:rPr>
      </w:pPr>
    </w:p>
    <w:p w:rsidR="008D32C5" w:rsidRDefault="008D32C5" w:rsidP="0045709C">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подноситељка притужбе у притужби наводи да је пре прегледа изјавила да „нема химен“, али да у разговору са лекаром до те чињенице „уопште нисмо дошли“, јер је подноситељка притужбе одбила преглед, а „химен се не процењује разговором, већ прегледом“;</w:t>
      </w:r>
    </w:p>
    <w:p w:rsidR="008D32C5" w:rsidRPr="008D32C5" w:rsidRDefault="008D32C5" w:rsidP="0045709C">
      <w:pPr>
        <w:pStyle w:val="ListParagraph"/>
        <w:rPr>
          <w:rFonts w:ascii="Arial" w:eastAsia="Calibri" w:hAnsi="Arial" w:cs="Arial"/>
          <w:noProof/>
          <w:color w:val="000000"/>
          <w:sz w:val="22"/>
          <w:szCs w:val="22"/>
          <w:lang w:val="sr-Cyrl-CS"/>
        </w:rPr>
      </w:pPr>
    </w:p>
    <w:p w:rsidR="008D32C5" w:rsidRDefault="008D32C5" w:rsidP="0045709C">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ни једног тренутка током разговора није довођена у питање њена сексуална оријентација, за коју је доктор сазнао тек на крају разговора, где је подноситељка притужбе сама истакла да „има односе само са женама“, те да се и поред те констатације разговор наставио у истом тону „без чуђења“ како наводи подноситељка притужбе;</w:t>
      </w:r>
    </w:p>
    <w:p w:rsidR="008D32C5" w:rsidRPr="008D32C5" w:rsidRDefault="008D32C5" w:rsidP="0045709C">
      <w:pPr>
        <w:pStyle w:val="ListParagraph"/>
        <w:rPr>
          <w:rFonts w:ascii="Arial" w:eastAsia="Calibri" w:hAnsi="Arial" w:cs="Arial"/>
          <w:noProof/>
          <w:color w:val="000000"/>
          <w:sz w:val="22"/>
          <w:szCs w:val="22"/>
          <w:lang w:val="sr-Cyrl-CS"/>
        </w:rPr>
      </w:pPr>
    </w:p>
    <w:p w:rsidR="008D32C5" w:rsidRDefault="008D32C5" w:rsidP="0045709C">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подноситељку притужбе током разговора нико није понижавао нити узнемиравао, нити био непријатан;</w:t>
      </w:r>
    </w:p>
    <w:p w:rsidR="008D32C5" w:rsidRPr="008D32C5" w:rsidRDefault="008D32C5" w:rsidP="0045709C">
      <w:pPr>
        <w:pStyle w:val="ListParagraph"/>
        <w:rPr>
          <w:rFonts w:ascii="Arial" w:eastAsia="Calibri" w:hAnsi="Arial" w:cs="Arial"/>
          <w:noProof/>
          <w:color w:val="000000"/>
          <w:sz w:val="22"/>
          <w:szCs w:val="22"/>
          <w:lang w:val="sr-Cyrl-CS"/>
        </w:rPr>
      </w:pPr>
    </w:p>
    <w:p w:rsidR="008D32C5" w:rsidRDefault="008D32C5" w:rsidP="0045709C">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је подноситељка притужбе тражила да јој доктор објасни „природно полно општење“, што је доктор схватио као „провокацију и понижење“, те да је „прешао преко тога“ и стручно јој објаснио, да је „природно полно општење када мушки полни орган пенетрира у женски полни орган“, након чега је подноситељка притужбе изјавила „да се то код ње никада није догодило и додала да има односе само са женама“, вређајући да доктор „има погрешну перцепцију“</w:t>
      </w:r>
      <w:r w:rsidR="00132AE5">
        <w:rPr>
          <w:rFonts w:ascii="Arial" w:eastAsia="Calibri" w:hAnsi="Arial" w:cs="Arial"/>
          <w:noProof/>
          <w:color w:val="000000"/>
          <w:sz w:val="22"/>
          <w:szCs w:val="22"/>
          <w:lang w:val="sr-Cyrl-CS"/>
        </w:rPr>
        <w:t>;</w:t>
      </w:r>
    </w:p>
    <w:p w:rsidR="00132AE5" w:rsidRPr="00132AE5" w:rsidRDefault="00132AE5" w:rsidP="0045709C">
      <w:pPr>
        <w:pStyle w:val="ListParagraph"/>
        <w:rPr>
          <w:rFonts w:ascii="Arial" w:eastAsia="Calibri" w:hAnsi="Arial" w:cs="Arial"/>
          <w:noProof/>
          <w:color w:val="000000"/>
          <w:sz w:val="22"/>
          <w:szCs w:val="22"/>
          <w:lang w:val="sr-Cyrl-CS"/>
        </w:rPr>
      </w:pPr>
    </w:p>
    <w:p w:rsidR="00DC6616" w:rsidRPr="00DC6616" w:rsidRDefault="00132AE5" w:rsidP="0045709C">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је подноситељка притужбе једина која је у ординацији истицала своје сексуално опредељење и „наметала своје мишљење о истом“, на шта ни доктор ни гинеколошка сестра нису обраћали пажњу, већ су професионално обављали свој посао.</w:t>
      </w:r>
    </w:p>
    <w:p w:rsidR="00132AE5" w:rsidRPr="00132AE5" w:rsidRDefault="00132AE5" w:rsidP="0045709C">
      <w:pPr>
        <w:pStyle w:val="ListParagraph"/>
        <w:rPr>
          <w:rFonts w:ascii="Arial" w:eastAsia="Calibri" w:hAnsi="Arial" w:cs="Arial"/>
          <w:noProof/>
          <w:color w:val="000000"/>
          <w:sz w:val="22"/>
          <w:szCs w:val="22"/>
          <w:lang w:val="sr-Cyrl-CS"/>
        </w:rPr>
      </w:pPr>
    </w:p>
    <w:p w:rsidR="00132AE5" w:rsidRDefault="00132AE5" w:rsidP="0045709C">
      <w:pPr>
        <w:pStyle w:val="ListParagraph"/>
        <w:numPr>
          <w:ilvl w:val="1"/>
          <w:numId w:val="21"/>
        </w:numPr>
        <w:tabs>
          <w:tab w:val="left" w:pos="0"/>
        </w:tabs>
        <w:spacing w:after="120"/>
        <w:ind w:left="0" w:firstLine="0"/>
        <w:jc w:val="both"/>
        <w:rPr>
          <w:rFonts w:ascii="Arial" w:eastAsia="Calibri" w:hAnsi="Arial" w:cs="Arial"/>
          <w:noProof/>
          <w:color w:val="000000"/>
          <w:sz w:val="22"/>
          <w:szCs w:val="22"/>
          <w:lang w:val="sr-Cyrl-CS"/>
        </w:rPr>
      </w:pPr>
      <w:r w:rsidRPr="00DC6616">
        <w:rPr>
          <w:rFonts w:ascii="Arial" w:eastAsia="Calibri" w:hAnsi="Arial" w:cs="Arial"/>
          <w:noProof/>
          <w:color w:val="000000"/>
          <w:sz w:val="22"/>
          <w:szCs w:val="22"/>
          <w:lang w:val="sr-Cyrl-CS"/>
        </w:rPr>
        <w:t xml:space="preserve">Уз изјашњење, </w:t>
      </w:r>
      <w:r w:rsidR="008A58AE">
        <w:rPr>
          <w:rFonts w:ascii="Arial" w:eastAsia="Calibri" w:hAnsi="Arial" w:cs="Arial"/>
          <w:noProof/>
          <w:color w:val="000000"/>
          <w:sz w:val="22"/>
          <w:szCs w:val="22"/>
          <w:lang w:val="sr-Cyrl-CS"/>
        </w:rPr>
        <w:t xml:space="preserve">Б. Б. </w:t>
      </w:r>
      <w:r w:rsidRPr="00DC6616">
        <w:rPr>
          <w:rFonts w:ascii="Arial" w:eastAsia="Calibri" w:hAnsi="Arial" w:cs="Arial"/>
          <w:noProof/>
          <w:color w:val="000000"/>
          <w:sz w:val="22"/>
          <w:szCs w:val="22"/>
          <w:lang w:val="sr-Cyrl-CS"/>
        </w:rPr>
        <w:t>је доставио фотокопију изјаве гинеколошке сестре која је била присутна у ординацији приликом спорног догађаја, као и фотокопију извештаја о обављеном лекарском прегледу подноситељке притужбе</w:t>
      </w:r>
      <w:r w:rsidR="00D74248" w:rsidRPr="00DC6616">
        <w:rPr>
          <w:rFonts w:ascii="Arial" w:eastAsia="Calibri" w:hAnsi="Arial" w:cs="Arial"/>
          <w:noProof/>
          <w:color w:val="000000"/>
          <w:sz w:val="22"/>
          <w:szCs w:val="22"/>
          <w:lang w:val="sr-Cyrl-CS"/>
        </w:rPr>
        <w:t>.</w:t>
      </w:r>
    </w:p>
    <w:p w:rsidR="00DC6616" w:rsidRDefault="00DC6616" w:rsidP="0045709C">
      <w:pPr>
        <w:pStyle w:val="ListParagraph"/>
        <w:tabs>
          <w:tab w:val="left" w:pos="0"/>
        </w:tabs>
        <w:spacing w:after="120"/>
        <w:ind w:left="0"/>
        <w:jc w:val="both"/>
        <w:rPr>
          <w:rFonts w:ascii="Arial" w:eastAsia="Calibri" w:hAnsi="Arial" w:cs="Arial"/>
          <w:noProof/>
          <w:color w:val="000000"/>
          <w:sz w:val="22"/>
          <w:szCs w:val="22"/>
          <w:lang w:val="sr-Cyrl-CS"/>
        </w:rPr>
      </w:pPr>
    </w:p>
    <w:p w:rsidR="00DC6616" w:rsidRDefault="00DC6616" w:rsidP="0045709C">
      <w:pPr>
        <w:pStyle w:val="ListParagraph"/>
        <w:numPr>
          <w:ilvl w:val="1"/>
          <w:numId w:val="21"/>
        </w:numPr>
        <w:tabs>
          <w:tab w:val="left" w:pos="0"/>
        </w:tabs>
        <w:spacing w:after="120"/>
        <w:ind w:left="0" w:firstLine="0"/>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 xml:space="preserve">Повереник је у складу са чланом 37. став 2. Закона о забрани дискриминације затражио изјашњење од сведокиње </w:t>
      </w:r>
      <w:r w:rsidR="008A58AE">
        <w:rPr>
          <w:rFonts w:ascii="Arial" w:eastAsia="Calibri" w:hAnsi="Arial" w:cs="Arial"/>
          <w:noProof/>
          <w:color w:val="000000"/>
          <w:sz w:val="22"/>
          <w:szCs w:val="22"/>
          <w:lang w:val="sr-Cyrl-CS"/>
        </w:rPr>
        <w:t>Г. Г.</w:t>
      </w:r>
      <w:r>
        <w:rPr>
          <w:rFonts w:ascii="Arial" w:eastAsia="Calibri" w:hAnsi="Arial" w:cs="Arial"/>
          <w:noProof/>
          <w:color w:val="000000"/>
          <w:sz w:val="22"/>
          <w:szCs w:val="22"/>
          <w:lang w:val="sr-Cyrl-CS"/>
        </w:rPr>
        <w:t>, гинеколошке сестре.</w:t>
      </w:r>
    </w:p>
    <w:p w:rsidR="00DC6616" w:rsidRPr="00DC6616" w:rsidRDefault="00DC6616" w:rsidP="0045709C">
      <w:pPr>
        <w:pStyle w:val="ListParagraph"/>
        <w:rPr>
          <w:rFonts w:ascii="Arial" w:eastAsia="Calibri" w:hAnsi="Arial" w:cs="Arial"/>
          <w:noProof/>
          <w:color w:val="000000"/>
          <w:sz w:val="22"/>
          <w:szCs w:val="22"/>
          <w:lang w:val="sr-Cyrl-CS"/>
        </w:rPr>
      </w:pPr>
    </w:p>
    <w:p w:rsidR="00DC6616" w:rsidRPr="00AE74AE" w:rsidRDefault="00DC6616" w:rsidP="0045709C">
      <w:pPr>
        <w:pStyle w:val="ListParagraph"/>
        <w:numPr>
          <w:ilvl w:val="1"/>
          <w:numId w:val="21"/>
        </w:numPr>
        <w:ind w:left="0" w:firstLine="0"/>
        <w:jc w:val="both"/>
        <w:rPr>
          <w:rFonts w:ascii="Arial" w:eastAsia="Calibri" w:hAnsi="Arial" w:cs="Arial"/>
          <w:noProof/>
          <w:color w:val="000000"/>
          <w:sz w:val="22"/>
          <w:szCs w:val="22"/>
          <w:lang w:val="sr-Cyrl-CS"/>
        </w:rPr>
      </w:pPr>
      <w:r w:rsidRPr="00DC6616">
        <w:rPr>
          <w:rFonts w:ascii="Arial" w:eastAsia="Calibri" w:hAnsi="Arial" w:cs="Arial"/>
          <w:noProof/>
          <w:color w:val="000000"/>
          <w:sz w:val="22"/>
          <w:szCs w:val="22"/>
          <w:lang w:val="sr-Cyrl-CS"/>
        </w:rPr>
        <w:t xml:space="preserve">Гинеколошка сестра </w:t>
      </w:r>
      <w:r w:rsidR="008A58AE">
        <w:rPr>
          <w:rFonts w:ascii="Arial" w:eastAsia="Calibri" w:hAnsi="Arial" w:cs="Arial"/>
          <w:noProof/>
          <w:color w:val="000000"/>
          <w:sz w:val="22"/>
          <w:szCs w:val="22"/>
          <w:lang w:val="sr-Cyrl-CS"/>
        </w:rPr>
        <w:t>Г. Г.</w:t>
      </w:r>
      <w:r w:rsidRPr="00DC6616">
        <w:rPr>
          <w:rFonts w:ascii="Arial" w:eastAsia="Calibri" w:hAnsi="Arial" w:cs="Arial"/>
          <w:noProof/>
          <w:color w:val="000000"/>
          <w:sz w:val="22"/>
          <w:szCs w:val="22"/>
          <w:lang w:val="sr-Cyrl-CS"/>
        </w:rPr>
        <w:t xml:space="preserve"> је доставила тражену изјаву Поверенику</w:t>
      </w:r>
      <w:r>
        <w:rPr>
          <w:rFonts w:ascii="Arial" w:eastAsia="Calibri" w:hAnsi="Arial" w:cs="Arial"/>
          <w:noProof/>
          <w:color w:val="000000"/>
          <w:sz w:val="22"/>
          <w:szCs w:val="22"/>
          <w:lang w:val="sr-Cyrl-CS"/>
        </w:rPr>
        <w:t xml:space="preserve">, која је идентична изјави коју је приложио </w:t>
      </w:r>
      <w:r w:rsidR="008A58AE">
        <w:rPr>
          <w:rFonts w:ascii="Arial" w:eastAsia="Calibri" w:hAnsi="Arial" w:cs="Arial"/>
          <w:noProof/>
          <w:color w:val="000000"/>
          <w:sz w:val="22"/>
          <w:szCs w:val="22"/>
          <w:lang w:val="sr-Cyrl-CS"/>
        </w:rPr>
        <w:t xml:space="preserve">Б. Б. </w:t>
      </w:r>
      <w:r>
        <w:rPr>
          <w:rFonts w:ascii="Arial" w:eastAsia="Calibri" w:hAnsi="Arial" w:cs="Arial"/>
          <w:noProof/>
          <w:color w:val="000000"/>
          <w:sz w:val="22"/>
          <w:szCs w:val="22"/>
          <w:lang w:val="sr-Cyrl-CS"/>
        </w:rPr>
        <w:t>у</w:t>
      </w:r>
      <w:r w:rsidR="004205A2">
        <w:rPr>
          <w:rFonts w:ascii="Arial" w:eastAsia="Calibri" w:hAnsi="Arial" w:cs="Arial"/>
          <w:noProof/>
          <w:color w:val="000000"/>
          <w:sz w:val="22"/>
          <w:szCs w:val="22"/>
          <w:lang w:val="sr-Cyrl-CS"/>
        </w:rPr>
        <w:t>з</w:t>
      </w:r>
      <w:r>
        <w:rPr>
          <w:rFonts w:ascii="Arial" w:eastAsia="Calibri" w:hAnsi="Arial" w:cs="Arial"/>
          <w:noProof/>
          <w:color w:val="000000"/>
          <w:sz w:val="22"/>
          <w:szCs w:val="22"/>
          <w:lang w:val="sr-Cyrl-CS"/>
        </w:rPr>
        <w:t xml:space="preserve"> изјашњењ</w:t>
      </w:r>
      <w:r w:rsidR="004205A2">
        <w:rPr>
          <w:rFonts w:ascii="Arial" w:eastAsia="Calibri" w:hAnsi="Arial" w:cs="Arial"/>
          <w:noProof/>
          <w:color w:val="000000"/>
          <w:sz w:val="22"/>
          <w:szCs w:val="22"/>
          <w:lang w:val="sr-Cyrl-CS"/>
        </w:rPr>
        <w:t>е</w:t>
      </w:r>
      <w:r>
        <w:rPr>
          <w:rFonts w:ascii="Arial" w:eastAsia="Calibri" w:hAnsi="Arial" w:cs="Arial"/>
          <w:noProof/>
          <w:color w:val="000000"/>
          <w:sz w:val="22"/>
          <w:szCs w:val="22"/>
          <w:lang w:val="sr-Cyrl-CS"/>
        </w:rPr>
        <w:t xml:space="preserve"> на притужбу. У</w:t>
      </w:r>
      <w:r w:rsidRPr="00DC6616">
        <w:rPr>
          <w:rFonts w:ascii="Arial" w:eastAsia="Calibri" w:hAnsi="Arial" w:cs="Arial"/>
          <w:noProof/>
          <w:color w:val="000000"/>
          <w:sz w:val="22"/>
          <w:szCs w:val="22"/>
          <w:lang w:val="sr-Cyrl-CS"/>
        </w:rPr>
        <w:t xml:space="preserve"> </w:t>
      </w:r>
      <w:r w:rsidR="004205A2">
        <w:rPr>
          <w:rFonts w:ascii="Arial" w:eastAsia="Calibri" w:hAnsi="Arial" w:cs="Arial"/>
          <w:noProof/>
          <w:color w:val="000000"/>
          <w:sz w:val="22"/>
          <w:szCs w:val="22"/>
          <w:lang w:val="sr-Cyrl-CS"/>
        </w:rPr>
        <w:t>изјави је</w:t>
      </w:r>
      <w:r w:rsidRPr="00DC6616">
        <w:rPr>
          <w:rFonts w:ascii="Arial" w:eastAsia="Calibri" w:hAnsi="Arial" w:cs="Arial"/>
          <w:noProof/>
          <w:color w:val="000000"/>
          <w:sz w:val="22"/>
          <w:szCs w:val="22"/>
          <w:lang w:val="sr-Cyrl-CS"/>
        </w:rPr>
        <w:t xml:space="preserve"> између осталог, навела да је дана 21.3.2023. године, подноситељка притужбе имала зак</w:t>
      </w:r>
      <w:r w:rsidR="008A58AE">
        <w:rPr>
          <w:rFonts w:ascii="Arial" w:eastAsia="Calibri" w:hAnsi="Arial" w:cs="Arial"/>
          <w:noProof/>
          <w:color w:val="000000"/>
          <w:sz w:val="22"/>
          <w:szCs w:val="22"/>
          <w:lang w:val="sr-Cyrl-CS"/>
        </w:rPr>
        <w:t xml:space="preserve">азан гинеколошки преглед код Б. Б. </w:t>
      </w:r>
      <w:r w:rsidRPr="00DC6616">
        <w:rPr>
          <w:rFonts w:ascii="Arial" w:eastAsia="Calibri" w:hAnsi="Arial" w:cs="Arial"/>
          <w:noProof/>
          <w:color w:val="000000"/>
          <w:sz w:val="22"/>
          <w:szCs w:val="22"/>
          <w:lang w:val="sr-Cyrl-CS"/>
        </w:rPr>
        <w:t>у склопу систематског прегледа ком је и сама присуствовала као гинеколошка сестра. Даље, навела је да је подноситељка притужбе примљена у ордина</w:t>
      </w:r>
      <w:r w:rsidR="008A58AE">
        <w:rPr>
          <w:rFonts w:ascii="Arial" w:eastAsia="Calibri" w:hAnsi="Arial" w:cs="Arial"/>
          <w:noProof/>
          <w:color w:val="000000"/>
          <w:sz w:val="22"/>
          <w:szCs w:val="22"/>
          <w:lang w:val="sr-Cyrl-CS"/>
        </w:rPr>
        <w:t xml:space="preserve">цију у заказано време, да је доктор </w:t>
      </w:r>
      <w:r w:rsidRPr="00DC6616">
        <w:rPr>
          <w:rFonts w:ascii="Arial" w:eastAsia="Calibri" w:hAnsi="Arial" w:cs="Arial"/>
          <w:noProof/>
          <w:color w:val="000000"/>
          <w:sz w:val="22"/>
          <w:szCs w:val="22"/>
          <w:lang w:val="sr-Cyrl-CS"/>
        </w:rPr>
        <w:t xml:space="preserve">започео преглед узимањем анамнезе као што налаже протокол, где је подноситељка притужбе навела да има напомену пре почетка прегледа да се користи спекулум мање величине да би преглед </w:t>
      </w:r>
      <w:r w:rsidRPr="00DC6616">
        <w:rPr>
          <w:rFonts w:ascii="Arial" w:eastAsia="Calibri" w:hAnsi="Arial" w:cs="Arial"/>
          <w:noProof/>
          <w:color w:val="000000"/>
          <w:sz w:val="22"/>
          <w:szCs w:val="22"/>
          <w:lang w:val="sr-Cyrl-CS"/>
        </w:rPr>
        <w:lastRenderedPageBreak/>
        <w:t xml:space="preserve">био пријатнији, пошто до сада није имала сексуалне односе са супротним полом. Наведено је и да је </w:t>
      </w:r>
      <w:r w:rsidR="008A58AE">
        <w:rPr>
          <w:rFonts w:ascii="Arial" w:eastAsia="Calibri" w:hAnsi="Arial" w:cs="Arial"/>
          <w:noProof/>
          <w:color w:val="000000"/>
          <w:sz w:val="22"/>
          <w:szCs w:val="22"/>
          <w:lang w:val="sr-Cyrl-CS"/>
        </w:rPr>
        <w:t>Б. Б.</w:t>
      </w:r>
      <w:r w:rsidRPr="00DC6616">
        <w:rPr>
          <w:rFonts w:ascii="Arial" w:eastAsia="Calibri" w:hAnsi="Arial" w:cs="Arial"/>
          <w:noProof/>
          <w:color w:val="000000"/>
          <w:sz w:val="22"/>
          <w:szCs w:val="22"/>
          <w:lang w:val="sr-Cyrl-CS"/>
        </w:rPr>
        <w:t xml:space="preserve"> потом поставио питање подноситељки притужбе да ли је имала односе до сада и како је још једном поменула да није, рекао је да у том случају преглед не може да буде бимануелни и да не може да уведе спекулум већ може да обави преглед абдоминалном сондом и да узме вагинални брис. Даље, навела је да је подноситељка притужбе рекла да је до сада имала редовне гинеколошке прегледе на шта је </w:t>
      </w:r>
      <w:r w:rsidR="008A58AE">
        <w:rPr>
          <w:rFonts w:ascii="Arial" w:eastAsia="Calibri" w:hAnsi="Arial" w:cs="Arial"/>
          <w:noProof/>
          <w:color w:val="000000"/>
          <w:sz w:val="22"/>
          <w:szCs w:val="22"/>
          <w:lang w:val="sr-Cyrl-CS"/>
        </w:rPr>
        <w:t>Б. Б.</w:t>
      </w:r>
      <w:r w:rsidRPr="00DC6616">
        <w:rPr>
          <w:rFonts w:ascii="Arial" w:eastAsia="Calibri" w:hAnsi="Arial" w:cs="Arial"/>
          <w:noProof/>
          <w:color w:val="000000"/>
          <w:sz w:val="22"/>
          <w:szCs w:val="22"/>
          <w:lang w:val="sr-Cyrl-CS"/>
        </w:rPr>
        <w:t xml:space="preserve"> поново објаснио из којих разлога не може да обави преглед на начин на који подноситељка притужбе то тражи, већ је понудио преглед који тренутна ситуација дозвољава пошто није имала односе са супротним полом, где се подноситељка притужбе изјаснила да је имала односе али са особама истог пола, као и да је питала доктора шта сматра под називом „невина особа“. У изјави, гинеколошка сестра даље наводи да јој је доктор објаснио шта сматра под појмом „невина“ особа, при чему је подноситељка притужбе изјавила да доктор има „измењену перцепцију о томе“ и да подноситељка притужбе сада не жели преглед код њега, већ да жели женског гинеколога, што је било омогућено још приликом заказивања прегледа. Сведокиња је навела и да је доктор потом рекао да нема никаквих проблема да се преглед презакаже и упутио је подноситељку притужбе на презаказивање, након чега је подноситељка притужбе изашла из ординације. На крају изјаве, сведокиња је навела да сматра да доктор ни у једном тренутку није одбио да прегледа подноситељку притужбе, нити да пружи информацију коју је подноситељка притужбе тражила, већ јој је љубазно објаснио због чега мора на други начин да је прегледа како налаже медицинска етика, што је подноситељка притужбе упорно одбијала, иако је ниједног тренутка није увредио нити довео у непр</w:t>
      </w:r>
      <w:r w:rsidR="004205A2">
        <w:rPr>
          <w:rFonts w:ascii="Arial" w:eastAsia="Calibri" w:hAnsi="Arial" w:cs="Arial"/>
          <w:noProof/>
          <w:color w:val="000000"/>
          <w:sz w:val="22"/>
          <w:szCs w:val="22"/>
          <w:lang w:val="sr-Cyrl-CS"/>
        </w:rPr>
        <w:t>ијатну ситуацију у вези са њеном</w:t>
      </w:r>
      <w:r w:rsidRPr="00DC6616">
        <w:rPr>
          <w:rFonts w:ascii="Arial" w:eastAsia="Calibri" w:hAnsi="Arial" w:cs="Arial"/>
          <w:noProof/>
          <w:color w:val="000000"/>
          <w:sz w:val="22"/>
          <w:szCs w:val="22"/>
          <w:lang w:val="sr-Cyrl-CS"/>
        </w:rPr>
        <w:t xml:space="preserve"> сексуалном оријентацијом.</w:t>
      </w:r>
    </w:p>
    <w:p w:rsidR="00A01217" w:rsidRPr="00132AE5" w:rsidRDefault="00A01217" w:rsidP="0045709C">
      <w:pPr>
        <w:tabs>
          <w:tab w:val="left" w:pos="709"/>
        </w:tabs>
        <w:spacing w:after="120" w:line="240" w:lineRule="auto"/>
        <w:jc w:val="both"/>
        <w:rPr>
          <w:rFonts w:ascii="Arial" w:eastAsia="Calibri" w:hAnsi="Arial" w:cs="Arial"/>
          <w:noProof/>
          <w:color w:val="000000"/>
          <w:lang w:val="sr-Cyrl-CS"/>
        </w:rPr>
      </w:pPr>
    </w:p>
    <w:p w:rsidR="00AA7DD4" w:rsidRPr="0048092D" w:rsidRDefault="00AA7DD4" w:rsidP="0045709C">
      <w:pPr>
        <w:numPr>
          <w:ilvl w:val="0"/>
          <w:numId w:val="21"/>
        </w:numPr>
        <w:tabs>
          <w:tab w:val="left" w:pos="450"/>
        </w:tabs>
        <w:spacing w:after="120" w:line="240" w:lineRule="auto"/>
        <w:contextualSpacing/>
        <w:jc w:val="both"/>
        <w:rPr>
          <w:rFonts w:ascii="Arial" w:eastAsia="Times New Roman" w:hAnsi="Arial" w:cs="Arial"/>
          <w:b/>
          <w:noProof/>
          <w:lang w:val="sr-Cyrl-CS"/>
        </w:rPr>
      </w:pPr>
      <w:r w:rsidRPr="0048092D">
        <w:rPr>
          <w:rFonts w:ascii="Arial" w:eastAsia="Times New Roman" w:hAnsi="Arial" w:cs="Arial"/>
          <w:b/>
          <w:noProof/>
          <w:lang w:val="sr-Cyrl-CS"/>
        </w:rPr>
        <w:t>ЧИЊЕНИЧНО СТАЊЕ</w:t>
      </w:r>
    </w:p>
    <w:p w:rsidR="00DD33BA" w:rsidRPr="0048092D" w:rsidRDefault="00DD33BA" w:rsidP="0045709C">
      <w:pPr>
        <w:tabs>
          <w:tab w:val="left" w:pos="450"/>
        </w:tabs>
        <w:spacing w:after="120" w:line="240" w:lineRule="auto"/>
        <w:contextualSpacing/>
        <w:jc w:val="both"/>
        <w:rPr>
          <w:rFonts w:ascii="Arial" w:eastAsia="Times New Roman" w:hAnsi="Arial" w:cs="Arial"/>
          <w:noProof/>
          <w:color w:val="000000"/>
          <w:lang w:val="sr-Cyrl-CS"/>
        </w:rPr>
      </w:pPr>
    </w:p>
    <w:p w:rsidR="005E6AE4" w:rsidRPr="004B1A43" w:rsidRDefault="004B1A43" w:rsidP="0045709C">
      <w:pPr>
        <w:tabs>
          <w:tab w:val="left" w:pos="450"/>
        </w:tabs>
        <w:spacing w:after="120" w:line="240" w:lineRule="auto"/>
        <w:jc w:val="both"/>
        <w:rPr>
          <w:rFonts w:ascii="Arial" w:hAnsi="Arial" w:cs="Arial"/>
          <w:noProof/>
          <w:color w:val="000000"/>
        </w:rPr>
      </w:pPr>
      <w:r w:rsidRPr="004B1A43">
        <w:rPr>
          <w:rFonts w:ascii="Arial" w:hAnsi="Arial" w:cs="Arial"/>
          <w:b/>
          <w:noProof/>
          <w:color w:val="000000"/>
          <w:lang w:val="sr-Cyrl-CS"/>
        </w:rPr>
        <w:t>2.1.</w:t>
      </w:r>
      <w:r>
        <w:rPr>
          <w:rFonts w:ascii="Arial" w:hAnsi="Arial" w:cs="Arial"/>
          <w:noProof/>
          <w:color w:val="000000"/>
          <w:lang w:val="sr-Cyrl-CS"/>
        </w:rPr>
        <w:t xml:space="preserve"> </w:t>
      </w:r>
      <w:r w:rsidR="00D74248" w:rsidRPr="004B1A43">
        <w:rPr>
          <w:rFonts w:ascii="Arial" w:hAnsi="Arial" w:cs="Arial"/>
          <w:noProof/>
          <w:color w:val="000000"/>
          <w:lang w:val="sr-Cyrl-CS"/>
        </w:rPr>
        <w:t>Увидом у</w:t>
      </w:r>
      <w:r w:rsidR="00A01217" w:rsidRPr="004B1A43">
        <w:rPr>
          <w:rFonts w:ascii="Arial" w:hAnsi="Arial" w:cs="Arial"/>
          <w:noProof/>
          <w:color w:val="000000"/>
          <w:lang w:val="sr-Cyrl-CS"/>
        </w:rPr>
        <w:t xml:space="preserve"> фотокопију извештаја о обављеном лекарском прегледу подноситељке притужбе утврђено је да је преглед заказан у склопу систематског прегледа, да су узети одређени анамнестични подаци, као и да је да је на крају извештаја </w:t>
      </w:r>
      <w:r w:rsidR="008A58AE">
        <w:rPr>
          <w:rFonts w:ascii="Arial" w:hAnsi="Arial" w:cs="Arial"/>
          <w:noProof/>
          <w:color w:val="000000"/>
          <w:lang w:val="sr-Cyrl-CS"/>
        </w:rPr>
        <w:t>Б. Б.</w:t>
      </w:r>
      <w:r w:rsidR="00A01217" w:rsidRPr="004B1A43">
        <w:rPr>
          <w:rFonts w:ascii="Arial" w:hAnsi="Arial" w:cs="Arial"/>
          <w:noProof/>
          <w:color w:val="000000"/>
          <w:lang w:val="sr-Cyrl-CS"/>
        </w:rPr>
        <w:t xml:space="preserve"> навео да „пацијенткиња не жели гинеколошки преглед“</w:t>
      </w:r>
      <w:r w:rsidR="004205A2">
        <w:rPr>
          <w:rFonts w:ascii="Arial" w:hAnsi="Arial" w:cs="Arial"/>
          <w:noProof/>
          <w:color w:val="000000"/>
          <w:lang w:val="sr-Cyrl-CS"/>
        </w:rPr>
        <w:t>.</w:t>
      </w:r>
    </w:p>
    <w:p w:rsidR="0020319D" w:rsidRDefault="0020319D" w:rsidP="0045709C">
      <w:pPr>
        <w:spacing w:after="120" w:line="240" w:lineRule="auto"/>
        <w:ind w:left="360"/>
        <w:contextualSpacing/>
        <w:jc w:val="both"/>
        <w:rPr>
          <w:rFonts w:ascii="Arial" w:eastAsia="Times New Roman" w:hAnsi="Arial" w:cs="Arial"/>
          <w:b/>
          <w:noProof/>
          <w:color w:val="000000"/>
        </w:rPr>
      </w:pPr>
    </w:p>
    <w:p w:rsidR="0045709C" w:rsidRPr="0020319D" w:rsidRDefault="0045709C" w:rsidP="0045709C">
      <w:pPr>
        <w:spacing w:after="120" w:line="240" w:lineRule="auto"/>
        <w:ind w:left="360"/>
        <w:contextualSpacing/>
        <w:jc w:val="both"/>
        <w:rPr>
          <w:rFonts w:ascii="Arial" w:eastAsia="Times New Roman" w:hAnsi="Arial" w:cs="Arial"/>
          <w:b/>
          <w:noProof/>
          <w:color w:val="000000"/>
        </w:rPr>
      </w:pPr>
    </w:p>
    <w:p w:rsidR="00EB6433" w:rsidRPr="0048092D" w:rsidRDefault="00EB6433" w:rsidP="0045709C">
      <w:pPr>
        <w:numPr>
          <w:ilvl w:val="0"/>
          <w:numId w:val="21"/>
        </w:numPr>
        <w:spacing w:after="120" w:line="240" w:lineRule="auto"/>
        <w:contextualSpacing/>
        <w:jc w:val="both"/>
        <w:rPr>
          <w:rFonts w:ascii="Arial" w:eastAsia="Times New Roman" w:hAnsi="Arial" w:cs="Arial"/>
          <w:b/>
          <w:noProof/>
          <w:color w:val="000000"/>
        </w:rPr>
      </w:pPr>
      <w:r w:rsidRPr="0048092D">
        <w:rPr>
          <w:rFonts w:ascii="Arial" w:eastAsia="Times New Roman" w:hAnsi="Arial" w:cs="Arial"/>
          <w:b/>
          <w:noProof/>
          <w:color w:val="000000"/>
        </w:rPr>
        <w:t>МОТИВИ И РАЗЛОЗИ ЗА ДОНОШЕЊЕ МИШЉЕЊА</w:t>
      </w:r>
    </w:p>
    <w:p w:rsidR="00EB6433" w:rsidRPr="0048092D" w:rsidRDefault="00EB6433" w:rsidP="0045709C">
      <w:pPr>
        <w:spacing w:after="120" w:line="240" w:lineRule="auto"/>
        <w:contextualSpacing/>
        <w:jc w:val="both"/>
        <w:rPr>
          <w:rFonts w:ascii="Arial" w:eastAsia="Times New Roman" w:hAnsi="Arial" w:cs="Arial"/>
          <w:b/>
          <w:noProof/>
          <w:color w:val="000000"/>
        </w:rPr>
      </w:pPr>
    </w:p>
    <w:p w:rsidR="00D46633" w:rsidRPr="004B1A43" w:rsidRDefault="00F272C6" w:rsidP="0045709C">
      <w:pPr>
        <w:pStyle w:val="ListParagraph"/>
        <w:numPr>
          <w:ilvl w:val="0"/>
          <w:numId w:val="34"/>
        </w:numPr>
        <w:spacing w:after="120"/>
        <w:ind w:left="0" w:firstLine="0"/>
        <w:jc w:val="both"/>
        <w:rPr>
          <w:rFonts w:ascii="Arial" w:hAnsi="Arial" w:cs="Arial"/>
          <w:sz w:val="22"/>
          <w:szCs w:val="22"/>
        </w:rPr>
      </w:pPr>
      <w:r w:rsidRPr="004B1A43">
        <w:rPr>
          <w:rFonts w:ascii="Arial" w:eastAsia="Calibri" w:hAnsi="Arial" w:cs="Arial"/>
          <w:noProof/>
          <w:sz w:val="22"/>
          <w:szCs w:val="22"/>
          <w:lang w:val="sr-Cyrl-CS"/>
        </w:rPr>
        <w:t>Повереник</w:t>
      </w:r>
      <w:r w:rsidR="00EB6433" w:rsidRPr="004B1A43">
        <w:rPr>
          <w:rFonts w:ascii="Arial" w:eastAsia="Calibri" w:hAnsi="Arial" w:cs="Arial"/>
          <w:noProof/>
          <w:sz w:val="22"/>
          <w:szCs w:val="22"/>
        </w:rPr>
        <w:t xml:space="preserve"> за заштиту равноправности, приликом од</w:t>
      </w:r>
      <w:r w:rsidR="00DA76FF" w:rsidRPr="004B1A43">
        <w:rPr>
          <w:rFonts w:ascii="Arial" w:eastAsia="Calibri" w:hAnsi="Arial" w:cs="Arial"/>
          <w:noProof/>
          <w:sz w:val="22"/>
          <w:szCs w:val="22"/>
        </w:rPr>
        <w:t xml:space="preserve">лучивања у овом предмету, имао </w:t>
      </w:r>
      <w:r w:rsidR="00EB6433" w:rsidRPr="004B1A43">
        <w:rPr>
          <w:rFonts w:ascii="Arial" w:eastAsia="Calibri" w:hAnsi="Arial" w:cs="Arial"/>
          <w:noProof/>
          <w:sz w:val="22"/>
          <w:szCs w:val="22"/>
        </w:rPr>
        <w:t>је у виду наводе из притужбе</w:t>
      </w:r>
      <w:r w:rsidR="00B71E6C" w:rsidRPr="004B1A43">
        <w:rPr>
          <w:rFonts w:ascii="Arial" w:eastAsia="Calibri" w:hAnsi="Arial" w:cs="Arial"/>
          <w:noProof/>
          <w:sz w:val="22"/>
          <w:szCs w:val="22"/>
          <w:lang w:val="sr-Cyrl-CS"/>
        </w:rPr>
        <w:t xml:space="preserve"> и изјашњења,</w:t>
      </w:r>
      <w:r w:rsidR="00A61F11" w:rsidRPr="004B1A43">
        <w:rPr>
          <w:rFonts w:ascii="Arial" w:eastAsia="Calibri" w:hAnsi="Arial" w:cs="Arial"/>
          <w:noProof/>
          <w:sz w:val="22"/>
          <w:szCs w:val="22"/>
        </w:rPr>
        <w:t xml:space="preserve"> </w:t>
      </w:r>
      <w:r w:rsidR="00B71E6C" w:rsidRPr="004B1A43">
        <w:rPr>
          <w:rFonts w:ascii="Arial" w:hAnsi="Arial" w:cs="Arial"/>
          <w:sz w:val="22"/>
          <w:szCs w:val="22"/>
        </w:rPr>
        <w:t>доказе који су достављени, као и релевантне међународне и домаће правне прописе у области заштите од дискриминације.</w:t>
      </w:r>
    </w:p>
    <w:p w:rsidR="004B1A43" w:rsidRDefault="004B1A43" w:rsidP="0045709C">
      <w:pPr>
        <w:pStyle w:val="ListParagraph"/>
        <w:spacing w:after="120"/>
        <w:jc w:val="both"/>
        <w:rPr>
          <w:rFonts w:ascii="Arial" w:eastAsia="Calibri" w:hAnsi="Arial" w:cs="Arial"/>
          <w:noProof/>
          <w:u w:val="single"/>
          <w:lang w:val="sr-Cyrl-CS"/>
        </w:rPr>
      </w:pPr>
    </w:p>
    <w:p w:rsidR="004B1A43" w:rsidRPr="004205A2" w:rsidRDefault="004B1A43" w:rsidP="0045709C">
      <w:pPr>
        <w:spacing w:after="120" w:line="240" w:lineRule="auto"/>
        <w:jc w:val="both"/>
        <w:rPr>
          <w:rFonts w:ascii="Arial" w:eastAsia="Calibri" w:hAnsi="Arial" w:cs="Arial"/>
          <w:noProof/>
          <w:u w:val="single"/>
          <w:lang w:val="sr-Cyrl-CS"/>
        </w:rPr>
      </w:pPr>
      <w:r w:rsidRPr="004205A2">
        <w:rPr>
          <w:rFonts w:ascii="Arial" w:eastAsia="Calibri" w:hAnsi="Arial" w:cs="Arial"/>
          <w:noProof/>
          <w:u w:val="single"/>
          <w:lang w:val="sr-Cyrl-CS"/>
        </w:rPr>
        <w:t>Правни оквир</w:t>
      </w:r>
    </w:p>
    <w:p w:rsidR="004B1A43" w:rsidRPr="004B1A43" w:rsidRDefault="004B1A43" w:rsidP="0045709C">
      <w:pPr>
        <w:pStyle w:val="ListParagraph"/>
        <w:spacing w:after="120"/>
        <w:jc w:val="both"/>
        <w:rPr>
          <w:rFonts w:ascii="Arial" w:hAnsi="Arial" w:cs="Arial"/>
        </w:rPr>
      </w:pPr>
    </w:p>
    <w:p w:rsidR="004B1A43" w:rsidRDefault="00B71E6C" w:rsidP="0045709C">
      <w:pPr>
        <w:pStyle w:val="ListParagraph"/>
        <w:numPr>
          <w:ilvl w:val="0"/>
          <w:numId w:val="34"/>
        </w:numPr>
        <w:spacing w:after="120"/>
        <w:ind w:left="0" w:firstLine="0"/>
        <w:jc w:val="both"/>
        <w:rPr>
          <w:rFonts w:ascii="Arial" w:hAnsi="Arial" w:cs="Arial"/>
          <w:sz w:val="22"/>
          <w:szCs w:val="22"/>
        </w:rPr>
      </w:pPr>
      <w:r w:rsidRPr="00A14218">
        <w:rPr>
          <w:rFonts w:ascii="Arial" w:hAnsi="Arial" w:cs="Arial"/>
          <w:noProof/>
          <w:sz w:val="22"/>
          <w:szCs w:val="22"/>
        </w:rPr>
        <w:t>По</w:t>
      </w:r>
      <w:r w:rsidR="00880D11" w:rsidRPr="00A14218">
        <w:rPr>
          <w:rFonts w:ascii="Arial" w:hAnsi="Arial" w:cs="Arial"/>
          <w:noProof/>
          <w:sz w:val="22"/>
          <w:szCs w:val="22"/>
        </w:rPr>
        <w:t>вереник за заштиту равноправности је установљен Законом о забрани дискриминације као самосталан државни орган, независан у обављању послова утврђених законом</w:t>
      </w:r>
      <w:r w:rsidR="00880D11" w:rsidRPr="004B1A43">
        <w:rPr>
          <w:rStyle w:val="FootnoteReference"/>
          <w:rFonts w:ascii="Arial" w:hAnsi="Arial" w:cs="Arial"/>
          <w:noProof/>
          <w:sz w:val="22"/>
          <w:szCs w:val="22"/>
        </w:rPr>
        <w:footnoteReference w:id="1"/>
      </w:r>
      <w:r w:rsidR="00880D11" w:rsidRPr="00A14218">
        <w:rPr>
          <w:rFonts w:ascii="Arial" w:hAnsi="Arial" w:cs="Arial"/>
          <w:noProof/>
          <w:sz w:val="22"/>
          <w:szCs w:val="22"/>
        </w:rPr>
        <w:t xml:space="preserve">.  </w:t>
      </w:r>
      <w:r w:rsidR="00A14218" w:rsidRPr="00A14218">
        <w:rPr>
          <w:rFonts w:ascii="Arial" w:hAnsi="Arial" w:cs="Arial"/>
          <w:noProof/>
          <w:sz w:val="22"/>
          <w:szCs w:val="22"/>
        </w:rPr>
        <w:t>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покреће судске поступке за заштиту од дискриминације и подноси захтев за покретање прекршајног поступка због повреда одредаба којима се забрањује дискриминација.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w:t>
      </w:r>
    </w:p>
    <w:p w:rsidR="00A14218" w:rsidRPr="00A14218" w:rsidRDefault="00A14218" w:rsidP="0045709C">
      <w:pPr>
        <w:pStyle w:val="ListParagraph"/>
        <w:spacing w:after="120"/>
        <w:ind w:left="0"/>
        <w:jc w:val="both"/>
        <w:rPr>
          <w:rFonts w:ascii="Arial" w:hAnsi="Arial" w:cs="Arial"/>
          <w:sz w:val="22"/>
          <w:szCs w:val="22"/>
        </w:rPr>
      </w:pPr>
    </w:p>
    <w:p w:rsidR="004B1A43" w:rsidRPr="002C49F6" w:rsidRDefault="001E6B63" w:rsidP="0045709C">
      <w:pPr>
        <w:pStyle w:val="ListParagraph"/>
        <w:numPr>
          <w:ilvl w:val="0"/>
          <w:numId w:val="34"/>
        </w:numPr>
        <w:spacing w:after="120"/>
        <w:ind w:left="0" w:firstLine="0"/>
        <w:jc w:val="both"/>
        <w:rPr>
          <w:rFonts w:ascii="Arial" w:hAnsi="Arial" w:cs="Arial"/>
          <w:sz w:val="22"/>
          <w:szCs w:val="22"/>
        </w:rPr>
      </w:pPr>
      <w:r w:rsidRPr="002C49F6">
        <w:rPr>
          <w:rFonts w:ascii="Arial" w:eastAsia="Georgia" w:hAnsi="Arial" w:cs="Arial"/>
          <w:sz w:val="22"/>
          <w:szCs w:val="22"/>
          <w:lang w:val="sr-Cyrl-CS"/>
        </w:rPr>
        <w:t>Устав Републике Србије</w:t>
      </w:r>
      <w:r w:rsidRPr="002C49F6">
        <w:rPr>
          <w:rFonts w:ascii="Arial" w:eastAsia="Georgia" w:hAnsi="Arial" w:cs="Arial"/>
          <w:sz w:val="22"/>
          <w:szCs w:val="22"/>
          <w:vertAlign w:val="superscript"/>
        </w:rPr>
        <w:footnoteReference w:id="2"/>
      </w:r>
      <w:r w:rsidRPr="002C49F6">
        <w:rPr>
          <w:rFonts w:ascii="Arial" w:eastAsia="Georgia" w:hAnsi="Arial" w:cs="Arial"/>
          <w:sz w:val="22"/>
          <w:szCs w:val="22"/>
          <w:lang w:val="sr-Cyrl-CS"/>
        </w:rPr>
        <w:t xml:space="preserve"> у чл</w:t>
      </w:r>
      <w:r w:rsidRPr="002C49F6">
        <w:rPr>
          <w:rFonts w:ascii="Arial" w:eastAsia="Georgia" w:hAnsi="Arial" w:cs="Arial"/>
          <w:sz w:val="22"/>
          <w:szCs w:val="22"/>
        </w:rPr>
        <w:t>ану</w:t>
      </w:r>
      <w:r w:rsidRPr="002C49F6">
        <w:rPr>
          <w:rFonts w:ascii="Arial" w:eastAsia="Georgia" w:hAnsi="Arial" w:cs="Arial"/>
          <w:sz w:val="22"/>
          <w:szCs w:val="22"/>
          <w:lang w:val="sr-Cyrl-CS"/>
        </w:rPr>
        <w:t xml:space="preserve">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p>
    <w:p w:rsidR="004B1A43" w:rsidRPr="004B1A43" w:rsidRDefault="004B1A43" w:rsidP="0045709C">
      <w:pPr>
        <w:pStyle w:val="ListParagraph"/>
        <w:rPr>
          <w:rFonts w:ascii="Arial" w:eastAsia="Calibri" w:hAnsi="Arial" w:cs="Arial"/>
          <w:lang w:val="sr-Cyrl-CS"/>
        </w:rPr>
      </w:pPr>
    </w:p>
    <w:p w:rsidR="004B1A43" w:rsidRPr="002C49F6" w:rsidRDefault="001E6B63" w:rsidP="0045709C">
      <w:pPr>
        <w:pStyle w:val="ListParagraph"/>
        <w:numPr>
          <w:ilvl w:val="0"/>
          <w:numId w:val="34"/>
        </w:numPr>
        <w:spacing w:after="120"/>
        <w:ind w:left="0" w:firstLine="0"/>
        <w:jc w:val="both"/>
        <w:rPr>
          <w:rFonts w:ascii="Arial" w:hAnsi="Arial" w:cs="Arial"/>
          <w:sz w:val="22"/>
          <w:szCs w:val="22"/>
        </w:rPr>
      </w:pPr>
      <w:r w:rsidRPr="002C49F6">
        <w:rPr>
          <w:rFonts w:ascii="Arial" w:eastAsia="Calibri" w:hAnsi="Arial" w:cs="Arial"/>
          <w:sz w:val="22"/>
          <w:szCs w:val="22"/>
          <w:lang w:val="sr-Cyrl-CS"/>
        </w:rPr>
        <w:t>Европска конвенција за заштиту људских права и основних слобода из 1950. године</w:t>
      </w:r>
      <w:r w:rsidRPr="002C49F6">
        <w:rPr>
          <w:rFonts w:ascii="Arial" w:eastAsia="Calibri" w:hAnsi="Arial" w:cs="Arial"/>
          <w:sz w:val="22"/>
          <w:szCs w:val="22"/>
          <w:vertAlign w:val="superscript"/>
        </w:rPr>
        <w:footnoteReference w:id="3"/>
      </w:r>
      <w:r w:rsidRPr="002C49F6">
        <w:rPr>
          <w:rFonts w:ascii="Arial" w:eastAsia="Calibri" w:hAnsi="Arial" w:cs="Arial"/>
          <w:sz w:val="22"/>
          <w:szCs w:val="22"/>
          <w:lang w:val="sr-Cyrl-CS"/>
        </w:rPr>
        <w:t xml:space="preserve">, у члану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 </w:t>
      </w:r>
    </w:p>
    <w:p w:rsidR="004B1A43" w:rsidRPr="002C49F6" w:rsidRDefault="004B1A43" w:rsidP="0045709C">
      <w:pPr>
        <w:pStyle w:val="ListParagraph"/>
        <w:rPr>
          <w:rFonts w:ascii="Arial" w:eastAsia="Calibri" w:hAnsi="Arial" w:cs="Arial"/>
          <w:sz w:val="22"/>
          <w:szCs w:val="22"/>
          <w:lang w:val="sr-Cyrl-CS"/>
        </w:rPr>
      </w:pPr>
    </w:p>
    <w:p w:rsidR="00E26E11" w:rsidRPr="002C49F6" w:rsidRDefault="00EB6433" w:rsidP="0045709C">
      <w:pPr>
        <w:pStyle w:val="ListParagraph"/>
        <w:numPr>
          <w:ilvl w:val="0"/>
          <w:numId w:val="34"/>
        </w:numPr>
        <w:spacing w:after="120"/>
        <w:ind w:left="0" w:firstLine="0"/>
        <w:jc w:val="both"/>
        <w:rPr>
          <w:rFonts w:ascii="Arial" w:hAnsi="Arial" w:cs="Arial"/>
          <w:sz w:val="22"/>
          <w:szCs w:val="22"/>
        </w:rPr>
      </w:pPr>
      <w:r w:rsidRPr="002C49F6">
        <w:rPr>
          <w:rFonts w:ascii="Arial" w:eastAsia="Calibri" w:hAnsi="Arial" w:cs="Arial"/>
          <w:sz w:val="22"/>
          <w:szCs w:val="22"/>
          <w:lang w:val="sr-Cyrl-CS"/>
        </w:rPr>
        <w:t xml:space="preserve">Уставна забрана дискриминације ближе је разрађена Законом о забрани дискриминације, који у члану 2. став 1. тачка 1. прописује да дискриминација и дискриминаторно поступање </w:t>
      </w:r>
      <w:r w:rsidR="00E26E11" w:rsidRPr="002C49F6">
        <w:rPr>
          <w:rFonts w:ascii="Arial" w:eastAsia="Calibri" w:hAnsi="Arial" w:cs="Arial"/>
          <w:sz w:val="22"/>
          <w:szCs w:val="22"/>
          <w:lang w:val="sr-Cyrl-CS"/>
        </w:rPr>
        <w:t xml:space="preserve">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w:t>
      </w:r>
      <w:r w:rsidRPr="002C49F6">
        <w:rPr>
          <w:rFonts w:ascii="Arial" w:eastAsia="Calibri" w:hAnsi="Arial" w:cs="Arial"/>
          <w:sz w:val="22"/>
          <w:szCs w:val="22"/>
          <w:lang w:val="sr-Cyrl-CS"/>
        </w:rPr>
        <w:t xml:space="preserve">С обзиром на околности конкретног случаја, за његово разматрање релевантне су и одредбе </w:t>
      </w:r>
      <w:r w:rsidR="008A1C54" w:rsidRPr="002C49F6">
        <w:rPr>
          <w:rFonts w:ascii="Arial" w:eastAsia="Calibri" w:hAnsi="Arial" w:cs="Arial"/>
          <w:sz w:val="22"/>
          <w:szCs w:val="22"/>
          <w:lang w:val="sr-Cyrl-CS"/>
        </w:rPr>
        <w:t>члана</w:t>
      </w:r>
      <w:r w:rsidRPr="002C49F6">
        <w:rPr>
          <w:rFonts w:ascii="Arial" w:eastAsia="Calibri" w:hAnsi="Arial" w:cs="Arial"/>
          <w:sz w:val="22"/>
          <w:szCs w:val="22"/>
          <w:lang w:val="sr-Cyrl-CS"/>
        </w:rPr>
        <w:t xml:space="preserve"> 12.</w:t>
      </w:r>
      <w:r w:rsidR="00E26E11" w:rsidRPr="002C49F6">
        <w:rPr>
          <w:rFonts w:ascii="Arial" w:eastAsia="Calibri" w:hAnsi="Arial" w:cs="Arial"/>
          <w:sz w:val="22"/>
          <w:szCs w:val="22"/>
          <w:lang w:val="sr-Cyrl-CS"/>
        </w:rPr>
        <w:t xml:space="preserve"> став 1.</w:t>
      </w:r>
      <w:r w:rsidRPr="002C49F6">
        <w:rPr>
          <w:rFonts w:ascii="Arial" w:eastAsia="Calibri" w:hAnsi="Arial" w:cs="Arial"/>
          <w:sz w:val="22"/>
          <w:szCs w:val="22"/>
          <w:lang w:val="sr-Cyrl-CS"/>
        </w:rPr>
        <w:t xml:space="preserve"> Закона о забрани дискриминације којим је </w:t>
      </w:r>
      <w:r w:rsidR="00B80BF3" w:rsidRPr="002C49F6">
        <w:rPr>
          <w:rFonts w:ascii="Arial" w:eastAsia="Calibri" w:hAnsi="Arial" w:cs="Arial"/>
          <w:sz w:val="22"/>
          <w:szCs w:val="22"/>
          <w:lang w:val="sr-Cyrl-CS"/>
        </w:rPr>
        <w:t>дефинисано да</w:t>
      </w:r>
      <w:r w:rsidR="0031751F" w:rsidRPr="002C49F6">
        <w:rPr>
          <w:rFonts w:ascii="Arial" w:eastAsia="Calibri" w:hAnsi="Arial" w:cs="Arial"/>
          <w:sz w:val="22"/>
          <w:szCs w:val="22"/>
          <w:lang w:val="sr-Cyrl-CS"/>
        </w:rPr>
        <w:t xml:space="preserve"> </w:t>
      </w:r>
      <w:r w:rsidR="00E26E11" w:rsidRPr="002C49F6">
        <w:rPr>
          <w:rFonts w:ascii="Arial" w:eastAsia="Calibri" w:hAnsi="Arial" w:cs="Arial"/>
          <w:sz w:val="22"/>
          <w:szCs w:val="22"/>
          <w:lang w:val="sr-Cyrl-CS"/>
        </w:rPr>
        <w:t>узнемиравање, понижавајуће поступање и полно и родно узнемиравање, као облик дискриминације има за циљ или представља повреду достојанства лица или групе лица на основу њиховог личног својства, а нарочито ако се тиме ствара застрашујуће, непријатељско, деградирајуће, понижавајуће и увредљиво окружење.</w:t>
      </w:r>
      <w:r w:rsidR="008A1C54" w:rsidRPr="002C49F6">
        <w:rPr>
          <w:rFonts w:ascii="Arial" w:eastAsia="Calibri" w:hAnsi="Arial" w:cs="Arial"/>
          <w:sz w:val="22"/>
          <w:szCs w:val="22"/>
          <w:lang w:val="sr-Cyrl-CS"/>
        </w:rPr>
        <w:t xml:space="preserve"> </w:t>
      </w:r>
    </w:p>
    <w:p w:rsidR="002C49F6" w:rsidRDefault="002C49F6" w:rsidP="0045709C">
      <w:pPr>
        <w:pStyle w:val="ListParagraph"/>
        <w:spacing w:after="120"/>
        <w:ind w:left="0"/>
        <w:jc w:val="both"/>
        <w:rPr>
          <w:rFonts w:ascii="Arial" w:eastAsia="Calibri" w:hAnsi="Arial" w:cs="Arial"/>
          <w:sz w:val="22"/>
          <w:szCs w:val="22"/>
          <w:lang w:val="sr-Cyrl-CS"/>
        </w:rPr>
      </w:pPr>
    </w:p>
    <w:p w:rsidR="002C49F6" w:rsidRPr="002C49F6" w:rsidRDefault="002C49F6" w:rsidP="0045709C">
      <w:pPr>
        <w:tabs>
          <w:tab w:val="left" w:pos="450"/>
        </w:tabs>
        <w:autoSpaceDE w:val="0"/>
        <w:autoSpaceDN w:val="0"/>
        <w:adjustRightInd w:val="0"/>
        <w:spacing w:after="120" w:line="240" w:lineRule="auto"/>
        <w:jc w:val="both"/>
        <w:rPr>
          <w:rFonts w:ascii="Arial" w:eastAsia="Calibri" w:hAnsi="Arial" w:cs="Arial"/>
          <w:noProof/>
          <w:u w:val="single"/>
        </w:rPr>
      </w:pPr>
      <w:r w:rsidRPr="00AE74AE">
        <w:rPr>
          <w:rFonts w:ascii="Arial" w:eastAsia="Calibri" w:hAnsi="Arial" w:cs="Arial"/>
          <w:noProof/>
          <w:u w:val="single"/>
        </w:rPr>
        <w:t xml:space="preserve">Анализа </w:t>
      </w:r>
      <w:r w:rsidRPr="00AE74AE">
        <w:rPr>
          <w:rFonts w:ascii="Arial" w:eastAsia="Calibri" w:hAnsi="Arial" w:cs="Arial"/>
          <w:noProof/>
          <w:u w:val="single"/>
          <w:lang w:val="sr-Cyrl-CS"/>
        </w:rPr>
        <w:t>навода из притужбе, доказа и изјашњења</w:t>
      </w:r>
      <w:r w:rsidRPr="00AE74AE">
        <w:rPr>
          <w:rFonts w:ascii="Arial" w:eastAsia="Calibri" w:hAnsi="Arial" w:cs="Arial"/>
          <w:noProof/>
          <w:u w:val="single"/>
        </w:rPr>
        <w:t xml:space="preserve"> са аспекта антидискриминационих прописа</w:t>
      </w:r>
    </w:p>
    <w:p w:rsidR="002C49F6" w:rsidRPr="002C49F6" w:rsidRDefault="002C49F6" w:rsidP="0045709C">
      <w:pPr>
        <w:pStyle w:val="ListParagraph"/>
        <w:spacing w:after="120"/>
        <w:ind w:left="0"/>
        <w:jc w:val="both"/>
        <w:rPr>
          <w:rFonts w:ascii="Arial" w:hAnsi="Arial" w:cs="Arial"/>
          <w:sz w:val="22"/>
          <w:szCs w:val="22"/>
        </w:rPr>
      </w:pPr>
    </w:p>
    <w:p w:rsidR="002C49F6" w:rsidRDefault="002C49F6" w:rsidP="0045709C">
      <w:pPr>
        <w:pStyle w:val="ListParagraph"/>
        <w:numPr>
          <w:ilvl w:val="0"/>
          <w:numId w:val="34"/>
        </w:numPr>
        <w:spacing w:after="120"/>
        <w:ind w:left="0" w:firstLine="0"/>
        <w:jc w:val="both"/>
        <w:rPr>
          <w:rFonts w:ascii="Arial" w:hAnsi="Arial" w:cs="Arial"/>
          <w:sz w:val="22"/>
          <w:szCs w:val="22"/>
        </w:rPr>
      </w:pPr>
      <w:r>
        <w:rPr>
          <w:rFonts w:ascii="Arial" w:hAnsi="Arial" w:cs="Arial"/>
          <w:sz w:val="22"/>
          <w:szCs w:val="22"/>
        </w:rPr>
        <w:t xml:space="preserve">Имајући у виду предмет притужбе, потребно је размотрити да ли </w:t>
      </w:r>
      <w:r w:rsidR="00E86363">
        <w:rPr>
          <w:rFonts w:ascii="Arial" w:hAnsi="Arial" w:cs="Arial"/>
          <w:sz w:val="22"/>
          <w:szCs w:val="22"/>
        </w:rPr>
        <w:t xml:space="preserve">је </w:t>
      </w:r>
      <w:r w:rsidR="008A58AE">
        <w:rPr>
          <w:rFonts w:ascii="Arial" w:hAnsi="Arial" w:cs="Arial"/>
          <w:sz w:val="22"/>
          <w:szCs w:val="22"/>
        </w:rPr>
        <w:t xml:space="preserve">А. А. током </w:t>
      </w:r>
      <w:r w:rsidR="00E86363">
        <w:rPr>
          <w:rFonts w:ascii="Arial" w:hAnsi="Arial" w:cs="Arial"/>
          <w:sz w:val="22"/>
          <w:szCs w:val="22"/>
        </w:rPr>
        <w:t xml:space="preserve">пружања медицинске услуге стављена у неповољнији положај било којом радњом или пропуштањем </w:t>
      </w:r>
      <w:r w:rsidR="008A58AE">
        <w:rPr>
          <w:rFonts w:ascii="Arial" w:hAnsi="Arial" w:cs="Arial"/>
          <w:sz w:val="22"/>
          <w:szCs w:val="22"/>
        </w:rPr>
        <w:t>Б. Б.</w:t>
      </w:r>
      <w:r w:rsidR="00E86363">
        <w:rPr>
          <w:rFonts w:ascii="Arial" w:hAnsi="Arial" w:cs="Arial"/>
          <w:sz w:val="22"/>
          <w:szCs w:val="22"/>
        </w:rPr>
        <w:t>, као и да ли је била изложена понижавајућем поступању због свог личног својства</w:t>
      </w:r>
      <w:r w:rsidR="000344D9">
        <w:rPr>
          <w:rFonts w:ascii="Arial" w:hAnsi="Arial" w:cs="Arial"/>
          <w:sz w:val="22"/>
          <w:szCs w:val="22"/>
        </w:rPr>
        <w:t>, сексуалне оријентације</w:t>
      </w:r>
      <w:r w:rsidR="00E86363">
        <w:rPr>
          <w:rFonts w:ascii="Arial" w:hAnsi="Arial" w:cs="Arial"/>
          <w:sz w:val="22"/>
          <w:szCs w:val="22"/>
        </w:rPr>
        <w:t>.</w:t>
      </w:r>
    </w:p>
    <w:p w:rsidR="00E86363" w:rsidRDefault="00E86363" w:rsidP="0045709C">
      <w:pPr>
        <w:pStyle w:val="ListParagraph"/>
        <w:spacing w:after="120"/>
        <w:ind w:left="0"/>
        <w:jc w:val="both"/>
        <w:rPr>
          <w:rFonts w:ascii="Arial" w:hAnsi="Arial" w:cs="Arial"/>
          <w:sz w:val="22"/>
          <w:szCs w:val="22"/>
        </w:rPr>
      </w:pPr>
    </w:p>
    <w:p w:rsidR="00E86363" w:rsidRDefault="00E86363" w:rsidP="0045709C">
      <w:pPr>
        <w:pStyle w:val="ListParagraph"/>
        <w:numPr>
          <w:ilvl w:val="0"/>
          <w:numId w:val="34"/>
        </w:numPr>
        <w:ind w:left="0" w:firstLine="0"/>
        <w:jc w:val="both"/>
        <w:rPr>
          <w:rFonts w:ascii="Arial" w:hAnsi="Arial" w:cs="Arial"/>
          <w:sz w:val="22"/>
          <w:szCs w:val="22"/>
        </w:rPr>
      </w:pPr>
      <w:r w:rsidRPr="00E86363">
        <w:rPr>
          <w:rFonts w:ascii="Arial" w:hAnsi="Arial" w:cs="Arial"/>
          <w:sz w:val="22"/>
          <w:szCs w:val="22"/>
        </w:rPr>
        <w:t>Повереник најпре указује да Закон о забрани дискриминације у члану 45. став 2. прописује посебно правило о прерасподели терета доказивања, према којем, за случај да је акт дискриминације учињен вероватним, терет доказивања да услед тог акта није дошло до повреде начела једнакости, односно начела једнаких права и обавеза, сноси онај за кога се тврди да је извршио дискриминацију. Ставом 4. овог члана прописано је да се наведено правило о терету доказивања примењује и на поступак пред Повереником.</w:t>
      </w:r>
    </w:p>
    <w:p w:rsidR="00E86363" w:rsidRPr="00E86363" w:rsidRDefault="00E86363" w:rsidP="0045709C">
      <w:pPr>
        <w:pStyle w:val="ListParagraph"/>
        <w:ind w:left="0"/>
        <w:jc w:val="both"/>
        <w:rPr>
          <w:rFonts w:ascii="Arial" w:hAnsi="Arial" w:cs="Arial"/>
          <w:sz w:val="22"/>
          <w:szCs w:val="22"/>
        </w:rPr>
      </w:pPr>
    </w:p>
    <w:p w:rsidR="002C49F6" w:rsidRDefault="00E86363" w:rsidP="0045709C">
      <w:pPr>
        <w:pStyle w:val="ListParagraph"/>
        <w:numPr>
          <w:ilvl w:val="0"/>
          <w:numId w:val="34"/>
        </w:numPr>
        <w:spacing w:after="120"/>
        <w:ind w:left="0" w:firstLine="0"/>
        <w:jc w:val="both"/>
        <w:rPr>
          <w:rFonts w:ascii="Arial" w:hAnsi="Arial" w:cs="Arial"/>
          <w:sz w:val="22"/>
          <w:szCs w:val="22"/>
        </w:rPr>
      </w:pPr>
      <w:r>
        <w:rPr>
          <w:rFonts w:ascii="Arial" w:hAnsi="Arial" w:cs="Arial"/>
          <w:sz w:val="22"/>
          <w:szCs w:val="22"/>
        </w:rPr>
        <w:t xml:space="preserve">Међу странама у поступку </w:t>
      </w:r>
      <w:r w:rsidR="00A14218">
        <w:rPr>
          <w:rFonts w:ascii="Arial" w:hAnsi="Arial" w:cs="Arial"/>
          <w:sz w:val="22"/>
          <w:szCs w:val="22"/>
        </w:rPr>
        <w:t xml:space="preserve">je </w:t>
      </w:r>
      <w:r>
        <w:rPr>
          <w:rFonts w:ascii="Arial" w:hAnsi="Arial" w:cs="Arial"/>
          <w:sz w:val="22"/>
          <w:szCs w:val="22"/>
        </w:rPr>
        <w:t xml:space="preserve">неспорно да се подноситељка притужбе појавила дана 21. марта 2023. године у намери да обави гинеколошки преглед, као и да тај преглед није обављен. </w:t>
      </w:r>
      <w:r w:rsidR="00A612F3">
        <w:rPr>
          <w:rFonts w:ascii="Arial" w:hAnsi="Arial" w:cs="Arial"/>
          <w:sz w:val="22"/>
          <w:szCs w:val="22"/>
        </w:rPr>
        <w:t xml:space="preserve">Према наводима подноситељке притужбе, гинеколог је одбио да изврши уобичајен гинеколошки преглед, какав је обављала раније, из разлога што </w:t>
      </w:r>
      <w:r w:rsidR="000344D9">
        <w:rPr>
          <w:rFonts w:ascii="Arial" w:hAnsi="Arial" w:cs="Arial"/>
          <w:sz w:val="22"/>
          <w:szCs w:val="22"/>
        </w:rPr>
        <w:t xml:space="preserve">је, на његово </w:t>
      </w:r>
      <w:r w:rsidR="000344D9">
        <w:rPr>
          <w:rFonts w:ascii="Arial" w:hAnsi="Arial" w:cs="Arial"/>
          <w:sz w:val="22"/>
          <w:szCs w:val="22"/>
        </w:rPr>
        <w:lastRenderedPageBreak/>
        <w:t>питање, одговорила да не упражњава односе са мушкарцима.</w:t>
      </w:r>
      <w:r w:rsidR="00A612F3">
        <w:rPr>
          <w:rFonts w:ascii="Arial" w:hAnsi="Arial" w:cs="Arial"/>
          <w:sz w:val="22"/>
          <w:szCs w:val="22"/>
        </w:rPr>
        <w:t xml:space="preserve"> </w:t>
      </w:r>
      <w:r w:rsidR="000344D9">
        <w:rPr>
          <w:rFonts w:ascii="Arial" w:hAnsi="Arial" w:cs="Arial"/>
          <w:sz w:val="22"/>
          <w:szCs w:val="22"/>
        </w:rPr>
        <w:t>Због тога,</w:t>
      </w:r>
      <w:r w:rsidR="00A612F3">
        <w:rPr>
          <w:rFonts w:ascii="Arial" w:hAnsi="Arial" w:cs="Arial"/>
          <w:sz w:val="22"/>
          <w:szCs w:val="22"/>
        </w:rPr>
        <w:t xml:space="preserve"> </w:t>
      </w:r>
      <w:r w:rsidR="000344D9">
        <w:rPr>
          <w:rFonts w:ascii="Arial" w:hAnsi="Arial" w:cs="Arial"/>
          <w:sz w:val="22"/>
          <w:szCs w:val="22"/>
        </w:rPr>
        <w:t>он је њу сматрао невином иако је</w:t>
      </w:r>
      <w:r w:rsidR="0030358E">
        <w:rPr>
          <w:rFonts w:ascii="Arial" w:hAnsi="Arial" w:cs="Arial"/>
          <w:sz w:val="22"/>
          <w:szCs w:val="22"/>
        </w:rPr>
        <w:t xml:space="preserve"> </w:t>
      </w:r>
      <w:r w:rsidR="000344D9">
        <w:rPr>
          <w:rFonts w:ascii="Arial" w:hAnsi="Arial" w:cs="Arial"/>
          <w:sz w:val="22"/>
          <w:szCs w:val="22"/>
        </w:rPr>
        <w:t>и</w:t>
      </w:r>
      <w:r w:rsidR="0030358E">
        <w:rPr>
          <w:rFonts w:ascii="Arial" w:hAnsi="Arial" w:cs="Arial"/>
          <w:sz w:val="22"/>
          <w:szCs w:val="22"/>
        </w:rPr>
        <w:t>стакла да је је имала односе али</w:t>
      </w:r>
      <w:r w:rsidR="00997988">
        <w:rPr>
          <w:rFonts w:ascii="Arial" w:hAnsi="Arial" w:cs="Arial"/>
          <w:sz w:val="22"/>
          <w:szCs w:val="22"/>
        </w:rPr>
        <w:t xml:space="preserve"> не и</w:t>
      </w:r>
      <w:r w:rsidR="009A22C6">
        <w:rPr>
          <w:rFonts w:ascii="Arial" w:hAnsi="Arial" w:cs="Arial"/>
          <w:sz w:val="22"/>
          <w:szCs w:val="22"/>
        </w:rPr>
        <w:t xml:space="preserve"> </w:t>
      </w:r>
      <w:r w:rsidR="0030358E">
        <w:rPr>
          <w:rFonts w:ascii="Arial" w:hAnsi="Arial" w:cs="Arial"/>
          <w:sz w:val="22"/>
          <w:szCs w:val="22"/>
        </w:rPr>
        <w:t xml:space="preserve">са супротним полом, да није невина и да је до сада имала уобичајене гинеколошке прегледе. </w:t>
      </w:r>
      <w:r w:rsidR="00147F77">
        <w:rPr>
          <w:rFonts w:ascii="Arial" w:hAnsi="Arial" w:cs="Arial"/>
          <w:sz w:val="22"/>
          <w:szCs w:val="22"/>
        </w:rPr>
        <w:t xml:space="preserve">Додала је </w:t>
      </w:r>
      <w:r w:rsidR="000344D9">
        <w:rPr>
          <w:rFonts w:ascii="Arial" w:hAnsi="Arial" w:cs="Arial"/>
          <w:sz w:val="22"/>
          <w:szCs w:val="22"/>
        </w:rPr>
        <w:t xml:space="preserve">да је </w:t>
      </w:r>
      <w:r w:rsidR="00A612F3">
        <w:rPr>
          <w:rFonts w:ascii="Arial" w:hAnsi="Arial" w:cs="Arial"/>
          <w:sz w:val="22"/>
          <w:szCs w:val="22"/>
        </w:rPr>
        <w:t>одбила алтернативне гинеколошке прегледе. Када се ови наводи упореде са писаним доказом у виду</w:t>
      </w:r>
      <w:r w:rsidR="00206926">
        <w:rPr>
          <w:rFonts w:ascii="Arial" w:hAnsi="Arial" w:cs="Arial"/>
          <w:sz w:val="22"/>
          <w:szCs w:val="22"/>
        </w:rPr>
        <w:t xml:space="preserve"> извештајa</w:t>
      </w:r>
      <w:r w:rsidRPr="00A612F3">
        <w:rPr>
          <w:rFonts w:ascii="Arial" w:hAnsi="Arial" w:cs="Arial"/>
          <w:sz w:val="22"/>
          <w:szCs w:val="22"/>
        </w:rPr>
        <w:t xml:space="preserve"> лекара специјалисте гинекологије и акушерства од 21. марта 2023. године, </w:t>
      </w:r>
      <w:r w:rsidR="00A612F3">
        <w:rPr>
          <w:rFonts w:ascii="Arial" w:hAnsi="Arial" w:cs="Arial"/>
          <w:sz w:val="22"/>
          <w:szCs w:val="22"/>
        </w:rPr>
        <w:t xml:space="preserve">у коме је </w:t>
      </w:r>
      <w:r w:rsidRPr="00A612F3">
        <w:rPr>
          <w:rFonts w:ascii="Arial" w:hAnsi="Arial" w:cs="Arial"/>
          <w:sz w:val="22"/>
          <w:szCs w:val="22"/>
        </w:rPr>
        <w:t>наведено је да „пацијенткиња не жели гинеколошки преглед“, а такође је у анамнези наведено „пацијенткиња наводи да никада није имала односе са супротним полом“</w:t>
      </w:r>
      <w:r w:rsidR="00A612F3">
        <w:rPr>
          <w:rFonts w:ascii="Arial" w:hAnsi="Arial" w:cs="Arial"/>
          <w:sz w:val="22"/>
          <w:szCs w:val="22"/>
        </w:rPr>
        <w:t>, може се констатовати да</w:t>
      </w:r>
      <w:r w:rsidR="00206926">
        <w:rPr>
          <w:rFonts w:ascii="Arial" w:hAnsi="Arial" w:cs="Arial"/>
          <w:sz w:val="22"/>
          <w:szCs w:val="22"/>
        </w:rPr>
        <w:t xml:space="preserve"> постоје јасне индиције да је гинеколошки преглед прекинут и</w:t>
      </w:r>
      <w:r w:rsidR="00A612F3">
        <w:rPr>
          <w:rFonts w:ascii="Arial" w:hAnsi="Arial" w:cs="Arial"/>
          <w:sz w:val="22"/>
          <w:szCs w:val="22"/>
        </w:rPr>
        <w:t xml:space="preserve"> подноситељка притужбе</w:t>
      </w:r>
      <w:r w:rsidR="00206926">
        <w:rPr>
          <w:rFonts w:ascii="Arial" w:hAnsi="Arial" w:cs="Arial"/>
          <w:sz w:val="22"/>
          <w:szCs w:val="22"/>
        </w:rPr>
        <w:t xml:space="preserve"> је</w:t>
      </w:r>
      <w:r w:rsidR="00A612F3">
        <w:rPr>
          <w:rFonts w:ascii="Arial" w:hAnsi="Arial" w:cs="Arial"/>
          <w:sz w:val="22"/>
          <w:szCs w:val="22"/>
        </w:rPr>
        <w:t xml:space="preserve"> учинила вероватним </w:t>
      </w:r>
      <w:r w:rsidR="00206926">
        <w:rPr>
          <w:rFonts w:ascii="Arial" w:hAnsi="Arial" w:cs="Arial"/>
          <w:sz w:val="22"/>
          <w:szCs w:val="22"/>
        </w:rPr>
        <w:t>да разлог томе лежи у чињеници да није имала односе са мушкарцима, односно у њеној сексуалној оријентацији</w:t>
      </w:r>
      <w:r w:rsidR="00A612F3">
        <w:rPr>
          <w:rFonts w:ascii="Arial" w:hAnsi="Arial" w:cs="Arial"/>
          <w:sz w:val="22"/>
          <w:szCs w:val="22"/>
        </w:rPr>
        <w:t xml:space="preserve">. С тим у вези терет доказивања да у конкретном случају није дошло до повреде начела једнакости сноси </w:t>
      </w:r>
      <w:r w:rsidR="008A58AE">
        <w:rPr>
          <w:rFonts w:ascii="Arial" w:hAnsi="Arial" w:cs="Arial"/>
          <w:sz w:val="22"/>
          <w:szCs w:val="22"/>
        </w:rPr>
        <w:t>Б. Б.</w:t>
      </w:r>
    </w:p>
    <w:p w:rsidR="00A612F3" w:rsidRPr="00A612F3" w:rsidRDefault="00A612F3" w:rsidP="0045709C">
      <w:pPr>
        <w:pStyle w:val="ListParagraph"/>
        <w:rPr>
          <w:rFonts w:ascii="Arial" w:hAnsi="Arial" w:cs="Arial"/>
          <w:sz w:val="22"/>
          <w:szCs w:val="22"/>
        </w:rPr>
      </w:pPr>
    </w:p>
    <w:p w:rsidR="00A612F3" w:rsidRDefault="00206926" w:rsidP="0045709C">
      <w:pPr>
        <w:pStyle w:val="ListParagraph"/>
        <w:numPr>
          <w:ilvl w:val="0"/>
          <w:numId w:val="34"/>
        </w:numPr>
        <w:spacing w:after="120"/>
        <w:ind w:left="0" w:firstLine="0"/>
        <w:jc w:val="both"/>
        <w:rPr>
          <w:rFonts w:ascii="Arial" w:hAnsi="Arial" w:cs="Arial"/>
          <w:sz w:val="22"/>
          <w:szCs w:val="22"/>
        </w:rPr>
      </w:pPr>
      <w:r>
        <w:rPr>
          <w:rFonts w:ascii="Arial" w:hAnsi="Arial" w:cs="Arial"/>
          <w:sz w:val="22"/>
          <w:szCs w:val="22"/>
        </w:rPr>
        <w:t xml:space="preserve">Имајући у виду да су обе стране у поступку сагласне да је </w:t>
      </w:r>
      <w:r w:rsidR="008A58AE">
        <w:rPr>
          <w:rFonts w:ascii="Arial" w:hAnsi="Arial" w:cs="Arial"/>
          <w:sz w:val="22"/>
          <w:szCs w:val="22"/>
        </w:rPr>
        <w:t>Б. Б.</w:t>
      </w:r>
      <w:r>
        <w:rPr>
          <w:rFonts w:ascii="Arial" w:hAnsi="Arial" w:cs="Arial"/>
          <w:sz w:val="22"/>
          <w:szCs w:val="22"/>
        </w:rPr>
        <w:t xml:space="preserve"> одбио да изврши</w:t>
      </w:r>
      <w:r w:rsidR="00502DC2">
        <w:rPr>
          <w:rFonts w:ascii="Arial" w:hAnsi="Arial" w:cs="Arial"/>
          <w:sz w:val="22"/>
          <w:szCs w:val="22"/>
        </w:rPr>
        <w:t xml:space="preserve"> вагинални гинеколошки преглед пацијенткиње</w:t>
      </w:r>
      <w:r w:rsidR="00147F77">
        <w:rPr>
          <w:rFonts w:ascii="Arial" w:hAnsi="Arial" w:cs="Arial"/>
          <w:sz w:val="22"/>
          <w:szCs w:val="22"/>
        </w:rPr>
        <w:t>,</w:t>
      </w:r>
      <w:r w:rsidR="00502DC2">
        <w:rPr>
          <w:rFonts w:ascii="Arial" w:hAnsi="Arial" w:cs="Arial"/>
          <w:sz w:val="22"/>
          <w:szCs w:val="22"/>
        </w:rPr>
        <w:t xml:space="preserve"> што она сматра дискриминаторним,</w:t>
      </w:r>
      <w:r w:rsidR="00147F77">
        <w:rPr>
          <w:rFonts w:ascii="Arial" w:hAnsi="Arial" w:cs="Arial"/>
          <w:sz w:val="22"/>
          <w:szCs w:val="22"/>
        </w:rPr>
        <w:t xml:space="preserve"> потребно је </w:t>
      </w:r>
      <w:r w:rsidR="00502DC2">
        <w:rPr>
          <w:rFonts w:ascii="Arial" w:hAnsi="Arial" w:cs="Arial"/>
          <w:sz w:val="22"/>
          <w:szCs w:val="22"/>
        </w:rPr>
        <w:t>утврдити</w:t>
      </w:r>
      <w:r w:rsidR="00147F77">
        <w:rPr>
          <w:rFonts w:ascii="Arial" w:hAnsi="Arial" w:cs="Arial"/>
          <w:sz w:val="22"/>
          <w:szCs w:val="22"/>
        </w:rPr>
        <w:t xml:space="preserve"> ли су разлози</w:t>
      </w:r>
      <w:r w:rsidR="00502DC2">
        <w:rPr>
          <w:rFonts w:ascii="Arial" w:hAnsi="Arial" w:cs="Arial"/>
          <w:sz w:val="22"/>
          <w:szCs w:val="22"/>
        </w:rPr>
        <w:t xml:space="preserve"> за такав третман</w:t>
      </w:r>
      <w:r w:rsidR="009A22C6">
        <w:rPr>
          <w:rFonts w:ascii="Arial" w:hAnsi="Arial" w:cs="Arial"/>
          <w:sz w:val="22"/>
          <w:szCs w:val="22"/>
        </w:rPr>
        <w:t xml:space="preserve"> објективни</w:t>
      </w:r>
      <w:r w:rsidR="00FA37BB">
        <w:rPr>
          <w:rFonts w:ascii="Arial" w:hAnsi="Arial" w:cs="Arial"/>
          <w:sz w:val="22"/>
          <w:szCs w:val="22"/>
        </w:rPr>
        <w:t xml:space="preserve"> и</w:t>
      </w:r>
      <w:r w:rsidR="00147F77">
        <w:rPr>
          <w:rFonts w:ascii="Arial" w:hAnsi="Arial" w:cs="Arial"/>
          <w:sz w:val="22"/>
          <w:szCs w:val="22"/>
        </w:rPr>
        <w:t xml:space="preserve"> у узрочној вези са здравственим стањем пацијенткиње или су </w:t>
      </w:r>
      <w:r w:rsidR="004022E4">
        <w:rPr>
          <w:rFonts w:ascii="Arial" w:hAnsi="Arial" w:cs="Arial"/>
          <w:sz w:val="22"/>
          <w:szCs w:val="22"/>
        </w:rPr>
        <w:t>у вези</w:t>
      </w:r>
      <w:r w:rsidR="00147F77">
        <w:rPr>
          <w:rFonts w:ascii="Arial" w:hAnsi="Arial" w:cs="Arial"/>
          <w:sz w:val="22"/>
          <w:szCs w:val="22"/>
        </w:rPr>
        <w:t xml:space="preserve"> са предрасудама о женама другачије сексуалне оријентације. Такође, потребно је утврдити и да ли је подноситељка притужбе, начином узимања анамнезе и односом према њој због чињенице да нема сексуалне односе са мушкарцима, била изложена узнемиравању и понижавајућем поступању.</w:t>
      </w:r>
    </w:p>
    <w:p w:rsidR="00147F77" w:rsidRPr="00147F77" w:rsidRDefault="00147F77" w:rsidP="0045709C">
      <w:pPr>
        <w:pStyle w:val="ListParagraph"/>
        <w:rPr>
          <w:rFonts w:ascii="Arial" w:hAnsi="Arial" w:cs="Arial"/>
          <w:sz w:val="22"/>
          <w:szCs w:val="22"/>
        </w:rPr>
      </w:pPr>
    </w:p>
    <w:p w:rsidR="00147F77" w:rsidRDefault="00502DC2" w:rsidP="0045709C">
      <w:pPr>
        <w:pStyle w:val="ListParagraph"/>
        <w:numPr>
          <w:ilvl w:val="0"/>
          <w:numId w:val="34"/>
        </w:numPr>
        <w:spacing w:after="120"/>
        <w:ind w:left="0" w:firstLine="0"/>
        <w:jc w:val="both"/>
        <w:rPr>
          <w:rFonts w:ascii="Arial" w:hAnsi="Arial" w:cs="Arial"/>
          <w:sz w:val="22"/>
          <w:szCs w:val="22"/>
        </w:rPr>
      </w:pPr>
      <w:r>
        <w:rPr>
          <w:rFonts w:ascii="Arial" w:hAnsi="Arial" w:cs="Arial"/>
          <w:sz w:val="22"/>
          <w:szCs w:val="22"/>
        </w:rPr>
        <w:t>Анализом изјашњења и оценом његове садржине</w:t>
      </w:r>
      <w:r w:rsidR="00FA37BB">
        <w:rPr>
          <w:rFonts w:ascii="Arial" w:hAnsi="Arial" w:cs="Arial"/>
          <w:sz w:val="22"/>
          <w:szCs w:val="22"/>
        </w:rPr>
        <w:t xml:space="preserve"> појединачно и</w:t>
      </w:r>
      <w:r>
        <w:rPr>
          <w:rFonts w:ascii="Arial" w:hAnsi="Arial" w:cs="Arial"/>
          <w:sz w:val="22"/>
          <w:szCs w:val="22"/>
        </w:rPr>
        <w:t xml:space="preserve"> у вези са осталим исказима</w:t>
      </w:r>
      <w:r w:rsidR="0053570D">
        <w:rPr>
          <w:rFonts w:ascii="Arial" w:hAnsi="Arial" w:cs="Arial"/>
          <w:sz w:val="22"/>
          <w:szCs w:val="22"/>
        </w:rPr>
        <w:t>,</w:t>
      </w:r>
      <w:r>
        <w:rPr>
          <w:rFonts w:ascii="Arial" w:hAnsi="Arial" w:cs="Arial"/>
          <w:sz w:val="22"/>
          <w:szCs w:val="22"/>
        </w:rPr>
        <w:t xml:space="preserve"> утврђује се да</w:t>
      </w:r>
      <w:r w:rsidR="0053570D">
        <w:rPr>
          <w:rFonts w:ascii="Arial" w:hAnsi="Arial" w:cs="Arial"/>
          <w:sz w:val="22"/>
          <w:szCs w:val="22"/>
        </w:rPr>
        <w:t xml:space="preserve"> </w:t>
      </w:r>
      <w:r w:rsidR="008A58AE">
        <w:rPr>
          <w:rFonts w:ascii="Arial" w:hAnsi="Arial" w:cs="Arial"/>
          <w:sz w:val="22"/>
          <w:szCs w:val="22"/>
        </w:rPr>
        <w:t>Б. Б.</w:t>
      </w:r>
      <w:r w:rsidR="0053570D">
        <w:rPr>
          <w:rFonts w:ascii="Arial" w:hAnsi="Arial" w:cs="Arial"/>
          <w:sz w:val="22"/>
          <w:szCs w:val="22"/>
        </w:rPr>
        <w:t xml:space="preserve"> није оспорио да је пацијенткињу питао да л</w:t>
      </w:r>
      <w:r>
        <w:rPr>
          <w:rFonts w:ascii="Arial" w:hAnsi="Arial" w:cs="Arial"/>
          <w:sz w:val="22"/>
          <w:szCs w:val="22"/>
        </w:rPr>
        <w:t>и је имала односе са мушкарцима и да је одбио да изврши вагинални преглед након што му је негативно одговорила. П</w:t>
      </w:r>
      <w:r w:rsidR="0053570D">
        <w:rPr>
          <w:rFonts w:ascii="Arial" w:hAnsi="Arial" w:cs="Arial"/>
          <w:sz w:val="22"/>
          <w:szCs w:val="22"/>
        </w:rPr>
        <w:t>ојаснио</w:t>
      </w:r>
      <w:r>
        <w:rPr>
          <w:rFonts w:ascii="Arial" w:hAnsi="Arial" w:cs="Arial"/>
          <w:sz w:val="22"/>
          <w:szCs w:val="22"/>
        </w:rPr>
        <w:t xml:space="preserve"> је</w:t>
      </w:r>
      <w:r w:rsidR="0053570D">
        <w:rPr>
          <w:rFonts w:ascii="Arial" w:hAnsi="Arial" w:cs="Arial"/>
          <w:sz w:val="22"/>
          <w:szCs w:val="22"/>
        </w:rPr>
        <w:t xml:space="preserve"> да такав одговор за њега значи да нема права да је прегледа вагинално јер је „пацијенткиња медицински virgo intacta“. С тим у вези предложио је алтернативни преглед у виду абдоминалног ултразвука, вагиналног бриса и ректалног прегледа. </w:t>
      </w:r>
      <w:r w:rsidR="00FA37BB">
        <w:rPr>
          <w:rFonts w:ascii="Arial" w:hAnsi="Arial" w:cs="Arial"/>
          <w:sz w:val="22"/>
          <w:szCs w:val="22"/>
        </w:rPr>
        <w:t>Истакао</w:t>
      </w:r>
      <w:r w:rsidR="0053570D">
        <w:rPr>
          <w:rFonts w:ascii="Arial" w:hAnsi="Arial" w:cs="Arial"/>
          <w:sz w:val="22"/>
          <w:szCs w:val="22"/>
        </w:rPr>
        <w:t xml:space="preserve"> је да није одбио да изврши преглед, да му закон и етика не омогућавају вагинални преглед и да је пацијенткиња сама одбила преглед. </w:t>
      </w:r>
      <w:r>
        <w:rPr>
          <w:rFonts w:ascii="Arial" w:hAnsi="Arial" w:cs="Arial"/>
          <w:sz w:val="22"/>
          <w:szCs w:val="22"/>
        </w:rPr>
        <w:t xml:space="preserve">Такође, </w:t>
      </w:r>
      <w:r w:rsidR="008A58AE">
        <w:rPr>
          <w:rFonts w:ascii="Arial" w:hAnsi="Arial" w:cs="Arial"/>
          <w:sz w:val="22"/>
          <w:szCs w:val="22"/>
        </w:rPr>
        <w:t>Б. Б.</w:t>
      </w:r>
      <w:r w:rsidR="0053570D">
        <w:rPr>
          <w:rFonts w:ascii="Arial" w:hAnsi="Arial" w:cs="Arial"/>
          <w:sz w:val="22"/>
          <w:szCs w:val="22"/>
        </w:rPr>
        <w:t xml:space="preserve"> је у свом изјашњењу потврдио да је на пацијенткињино питање „шта је за њега природно полно полно општење“ одговорио да је „природно полно општење када мушки полни орган пенетрира у женски полни орган“. </w:t>
      </w:r>
    </w:p>
    <w:p w:rsidR="004C7329" w:rsidRPr="004C7329" w:rsidRDefault="004C7329" w:rsidP="0045709C">
      <w:pPr>
        <w:pStyle w:val="ListParagraph"/>
        <w:rPr>
          <w:rFonts w:ascii="Arial" w:hAnsi="Arial" w:cs="Arial"/>
          <w:sz w:val="22"/>
          <w:szCs w:val="22"/>
        </w:rPr>
      </w:pPr>
    </w:p>
    <w:p w:rsidR="004C7329" w:rsidRDefault="004C7329" w:rsidP="0045709C">
      <w:pPr>
        <w:pStyle w:val="ListParagraph"/>
        <w:numPr>
          <w:ilvl w:val="0"/>
          <w:numId w:val="34"/>
        </w:numPr>
        <w:spacing w:after="120"/>
        <w:ind w:left="0" w:firstLine="0"/>
        <w:jc w:val="both"/>
        <w:rPr>
          <w:rFonts w:ascii="Arial" w:hAnsi="Arial" w:cs="Arial"/>
          <w:sz w:val="22"/>
          <w:szCs w:val="22"/>
        </w:rPr>
      </w:pPr>
      <w:r w:rsidRPr="004C7329">
        <w:rPr>
          <w:rFonts w:ascii="Arial" w:hAnsi="Arial" w:cs="Arial"/>
          <w:sz w:val="22"/>
          <w:szCs w:val="22"/>
        </w:rPr>
        <w:t xml:space="preserve">Повереник је </w:t>
      </w:r>
      <w:r w:rsidR="008A58AE">
        <w:rPr>
          <w:rFonts w:ascii="Arial" w:hAnsi="Arial" w:cs="Arial"/>
          <w:sz w:val="22"/>
          <w:szCs w:val="22"/>
        </w:rPr>
        <w:t>Б. Б.</w:t>
      </w:r>
      <w:r w:rsidRPr="004C7329">
        <w:rPr>
          <w:rFonts w:ascii="Arial" w:hAnsi="Arial" w:cs="Arial"/>
          <w:sz w:val="22"/>
          <w:szCs w:val="22"/>
        </w:rPr>
        <w:t xml:space="preserve"> упутио захтев за додатно изјашњење, постављајући између осталог следећа питања: који га протокол обавезује да не спроводи вагинални преглед у случају да пацијенткиња није имала односе са супротним полом, на који начин утврђује да ли је пацијенткиња </w:t>
      </w:r>
      <w:r w:rsidRPr="004C7329">
        <w:rPr>
          <w:rFonts w:ascii="Arial" w:hAnsi="Arial" w:cs="Arial"/>
          <w:i/>
          <w:sz w:val="22"/>
          <w:szCs w:val="22"/>
        </w:rPr>
        <w:t>virgo intacta</w:t>
      </w:r>
      <w:r>
        <w:rPr>
          <w:rFonts w:ascii="Arial" w:hAnsi="Arial" w:cs="Arial"/>
          <w:sz w:val="22"/>
          <w:szCs w:val="22"/>
        </w:rPr>
        <w:t xml:space="preserve"> </w:t>
      </w:r>
      <w:r w:rsidRPr="004C7329">
        <w:rPr>
          <w:rFonts w:ascii="Arial" w:hAnsi="Arial" w:cs="Arial"/>
          <w:sz w:val="22"/>
          <w:szCs w:val="22"/>
        </w:rPr>
        <w:t>и да ли је његов лични став да се „невиност“ губи само у хетеросексуалном односу или ј</w:t>
      </w:r>
      <w:r w:rsidR="008A58AE">
        <w:rPr>
          <w:rFonts w:ascii="Arial" w:hAnsi="Arial" w:cs="Arial"/>
          <w:sz w:val="22"/>
          <w:szCs w:val="22"/>
        </w:rPr>
        <w:t xml:space="preserve">е то став медицине. Међутим, Б. Б. </w:t>
      </w:r>
      <w:r w:rsidRPr="004C7329">
        <w:rPr>
          <w:rFonts w:ascii="Arial" w:hAnsi="Arial" w:cs="Arial"/>
          <w:sz w:val="22"/>
          <w:szCs w:val="22"/>
        </w:rPr>
        <w:t>се није изјаснио на наведена питања</w:t>
      </w:r>
      <w:r>
        <w:rPr>
          <w:rFonts w:ascii="Arial" w:hAnsi="Arial" w:cs="Arial"/>
          <w:sz w:val="22"/>
          <w:szCs w:val="22"/>
        </w:rPr>
        <w:t>.</w:t>
      </w:r>
    </w:p>
    <w:p w:rsidR="0053570D" w:rsidRPr="0053570D" w:rsidRDefault="0053570D" w:rsidP="0045709C">
      <w:pPr>
        <w:pStyle w:val="ListParagraph"/>
        <w:rPr>
          <w:rFonts w:ascii="Arial" w:hAnsi="Arial" w:cs="Arial"/>
          <w:sz w:val="22"/>
          <w:szCs w:val="22"/>
        </w:rPr>
      </w:pPr>
    </w:p>
    <w:p w:rsidR="00A9223E" w:rsidRPr="004C7329" w:rsidRDefault="0053570D" w:rsidP="0045709C">
      <w:pPr>
        <w:pStyle w:val="ListParagraph"/>
        <w:numPr>
          <w:ilvl w:val="0"/>
          <w:numId w:val="34"/>
        </w:numPr>
        <w:spacing w:after="120"/>
        <w:ind w:left="0" w:firstLine="0"/>
        <w:jc w:val="both"/>
        <w:rPr>
          <w:rFonts w:ascii="Arial" w:hAnsi="Arial" w:cs="Arial"/>
          <w:sz w:val="22"/>
          <w:szCs w:val="22"/>
        </w:rPr>
      </w:pPr>
      <w:r>
        <w:rPr>
          <w:rFonts w:ascii="Arial" w:hAnsi="Arial" w:cs="Arial"/>
          <w:sz w:val="22"/>
          <w:szCs w:val="22"/>
        </w:rPr>
        <w:t>У и</w:t>
      </w:r>
      <w:r w:rsidR="008A58AE">
        <w:rPr>
          <w:rFonts w:ascii="Arial" w:hAnsi="Arial" w:cs="Arial"/>
          <w:sz w:val="22"/>
          <w:szCs w:val="22"/>
        </w:rPr>
        <w:t>сказу сведокиње Г. Г.</w:t>
      </w:r>
      <w:r>
        <w:rPr>
          <w:rFonts w:ascii="Arial" w:hAnsi="Arial" w:cs="Arial"/>
          <w:sz w:val="22"/>
          <w:szCs w:val="22"/>
        </w:rPr>
        <w:t xml:space="preserve">, гинеколошке сестре, потврђен је навод из притужбе да </w:t>
      </w:r>
      <w:r w:rsidR="004022E4">
        <w:rPr>
          <w:rFonts w:ascii="Arial" w:hAnsi="Arial" w:cs="Arial"/>
          <w:sz w:val="22"/>
          <w:szCs w:val="22"/>
        </w:rPr>
        <w:t xml:space="preserve">је пацијенткиња затражила спекулум мање величине да би јој преглед био пријатнији и да није имала односе са супротним полом. Потврдила је и да је гинеколог рекао да у том случају не може да је прегледа бимануелно, већ абдоминалном сондом. </w:t>
      </w:r>
      <w:r w:rsidR="004C7329">
        <w:rPr>
          <w:rFonts w:ascii="Arial" w:hAnsi="Arial" w:cs="Arial"/>
          <w:sz w:val="22"/>
          <w:szCs w:val="22"/>
        </w:rPr>
        <w:t>Потврдила је исказ подноситељке притужбе</w:t>
      </w:r>
      <w:r w:rsidR="004022E4">
        <w:rPr>
          <w:rFonts w:ascii="Arial" w:hAnsi="Arial" w:cs="Arial"/>
          <w:sz w:val="22"/>
          <w:szCs w:val="22"/>
        </w:rPr>
        <w:t xml:space="preserve"> да је пацијенткиња рекла да је до сада имала редовне гинеколошке прегледе и да јесте имала односе али са истим полом. Даље, сведокиња је рекла да је пацијенткиња упитала гинеколога шта подразумева под појмом невина особа, да је гинеколог дао образложење и да му је она на то рекла да има погрешну перцепцију и да је тражила да преглед изврши докторка женског пола.</w:t>
      </w:r>
    </w:p>
    <w:p w:rsidR="00A9223E" w:rsidRPr="00A9223E" w:rsidRDefault="00A9223E" w:rsidP="0045709C">
      <w:pPr>
        <w:pStyle w:val="ListParagraph"/>
        <w:rPr>
          <w:rFonts w:ascii="Arial" w:hAnsi="Arial" w:cs="Arial"/>
          <w:sz w:val="22"/>
          <w:szCs w:val="22"/>
        </w:rPr>
      </w:pPr>
    </w:p>
    <w:p w:rsidR="004022E4" w:rsidRDefault="004022E4" w:rsidP="0045709C">
      <w:pPr>
        <w:pStyle w:val="ListParagraph"/>
        <w:numPr>
          <w:ilvl w:val="0"/>
          <w:numId w:val="34"/>
        </w:numPr>
        <w:spacing w:after="120"/>
        <w:ind w:left="0" w:firstLine="0"/>
        <w:jc w:val="both"/>
        <w:rPr>
          <w:rFonts w:ascii="Arial" w:hAnsi="Arial" w:cs="Arial"/>
          <w:sz w:val="22"/>
          <w:szCs w:val="22"/>
        </w:rPr>
      </w:pPr>
      <w:r>
        <w:rPr>
          <w:rFonts w:ascii="Arial" w:hAnsi="Arial" w:cs="Arial"/>
          <w:sz w:val="22"/>
          <w:szCs w:val="22"/>
        </w:rPr>
        <w:t xml:space="preserve"> </w:t>
      </w:r>
      <w:r w:rsidR="00A9223E">
        <w:rPr>
          <w:rFonts w:ascii="Arial" w:hAnsi="Arial" w:cs="Arial"/>
          <w:sz w:val="22"/>
          <w:szCs w:val="22"/>
        </w:rPr>
        <w:t xml:space="preserve">Из исказа подноситељке притужбе, изјашњења </w:t>
      </w:r>
      <w:r w:rsidR="008A58AE">
        <w:rPr>
          <w:rFonts w:ascii="Arial" w:hAnsi="Arial" w:cs="Arial"/>
          <w:sz w:val="22"/>
          <w:szCs w:val="22"/>
        </w:rPr>
        <w:t>Б. Б.</w:t>
      </w:r>
      <w:r w:rsidR="00A9223E">
        <w:rPr>
          <w:rFonts w:ascii="Arial" w:hAnsi="Arial" w:cs="Arial"/>
          <w:sz w:val="22"/>
          <w:szCs w:val="22"/>
        </w:rPr>
        <w:t>, исказа сведоки</w:t>
      </w:r>
      <w:r w:rsidR="008A58AE">
        <w:rPr>
          <w:rFonts w:ascii="Arial" w:hAnsi="Arial" w:cs="Arial"/>
          <w:sz w:val="22"/>
          <w:szCs w:val="22"/>
        </w:rPr>
        <w:t>ње гинеколошке сестре Г. Г.</w:t>
      </w:r>
      <w:r w:rsidR="00A9223E">
        <w:rPr>
          <w:rFonts w:ascii="Arial" w:hAnsi="Arial" w:cs="Arial"/>
          <w:sz w:val="22"/>
          <w:szCs w:val="22"/>
        </w:rPr>
        <w:t xml:space="preserve"> и писаног доказа, може се </w:t>
      </w:r>
      <w:r w:rsidR="004C7329">
        <w:rPr>
          <w:rFonts w:ascii="Arial" w:hAnsi="Arial" w:cs="Arial"/>
          <w:sz w:val="22"/>
          <w:szCs w:val="22"/>
        </w:rPr>
        <w:t>констатовати</w:t>
      </w:r>
      <w:r w:rsidR="00A9223E">
        <w:rPr>
          <w:rFonts w:ascii="Arial" w:hAnsi="Arial" w:cs="Arial"/>
          <w:sz w:val="22"/>
          <w:szCs w:val="22"/>
        </w:rPr>
        <w:t xml:space="preserve"> да се </w:t>
      </w:r>
      <w:r w:rsidR="008A58AE">
        <w:rPr>
          <w:rFonts w:ascii="Arial" w:hAnsi="Arial" w:cs="Arial"/>
          <w:sz w:val="22"/>
          <w:szCs w:val="22"/>
        </w:rPr>
        <w:t>А. А.</w:t>
      </w:r>
      <w:r w:rsidR="00A9223E">
        <w:rPr>
          <w:rFonts w:ascii="Arial" w:hAnsi="Arial" w:cs="Arial"/>
          <w:sz w:val="22"/>
          <w:szCs w:val="22"/>
        </w:rPr>
        <w:t xml:space="preserve"> појавила на гинеколошком </w:t>
      </w:r>
      <w:r w:rsidR="004C7329">
        <w:rPr>
          <w:rFonts w:ascii="Arial" w:hAnsi="Arial" w:cs="Arial"/>
          <w:sz w:val="22"/>
          <w:szCs w:val="22"/>
        </w:rPr>
        <w:t>прегледу 21. марта 2023. године, са намером да обави уобичајен гинеколошки преглед,</w:t>
      </w:r>
      <w:r w:rsidR="00A9223E">
        <w:rPr>
          <w:rFonts w:ascii="Arial" w:hAnsi="Arial" w:cs="Arial"/>
          <w:sz w:val="22"/>
          <w:szCs w:val="22"/>
        </w:rPr>
        <w:t xml:space="preserve"> да је замолила за спекулум мањих димензија, да је рекла да није имала односе са мушкарцима, као и да је гинеколог у том тренутку рекао да не може да обави вагинални гинеколошки преглед због тога што је пацијенткиња невина. Такође, из исказа се може се закључити да је пацијенткиња рекла да није невина и да је раније </w:t>
      </w:r>
      <w:r w:rsidR="00A9223E">
        <w:rPr>
          <w:rFonts w:ascii="Arial" w:hAnsi="Arial" w:cs="Arial"/>
          <w:sz w:val="22"/>
          <w:szCs w:val="22"/>
        </w:rPr>
        <w:lastRenderedPageBreak/>
        <w:t xml:space="preserve">имала вагиналне гинеколошке прегледе. </w:t>
      </w:r>
      <w:r w:rsidR="00FB77B2">
        <w:rPr>
          <w:rFonts w:ascii="Arial" w:hAnsi="Arial" w:cs="Arial"/>
          <w:sz w:val="22"/>
          <w:szCs w:val="22"/>
        </w:rPr>
        <w:t>С обзиром да је лекар инсистирао да је невина, и понудио јој алтернативне начине прегледа, пацијенткиња је одбила преглед. Такође</w:t>
      </w:r>
      <w:r w:rsidR="00D115CF">
        <w:rPr>
          <w:rFonts w:ascii="Arial" w:hAnsi="Arial" w:cs="Arial"/>
          <w:sz w:val="22"/>
          <w:szCs w:val="22"/>
        </w:rPr>
        <w:t xml:space="preserve"> Б. Б.</w:t>
      </w:r>
      <w:r w:rsidR="00FB77B2">
        <w:rPr>
          <w:rFonts w:ascii="Arial" w:hAnsi="Arial" w:cs="Arial"/>
          <w:sz w:val="22"/>
          <w:szCs w:val="22"/>
        </w:rPr>
        <w:t xml:space="preserve"> у свом изјашњењу није оспорио шта сматра губљењем невиности и природним полним општењем, односно да је то пенетрација мушког у женски полни орган.</w:t>
      </w:r>
    </w:p>
    <w:p w:rsidR="004C7329" w:rsidRPr="004C7329" w:rsidRDefault="004C7329" w:rsidP="0045709C">
      <w:pPr>
        <w:pStyle w:val="ListParagraph"/>
        <w:rPr>
          <w:rFonts w:ascii="Arial" w:hAnsi="Arial" w:cs="Arial"/>
          <w:sz w:val="22"/>
          <w:szCs w:val="22"/>
        </w:rPr>
      </w:pPr>
    </w:p>
    <w:p w:rsidR="00D60463" w:rsidRDefault="00FA37BB" w:rsidP="0045709C">
      <w:pPr>
        <w:pStyle w:val="ListParagraph"/>
        <w:numPr>
          <w:ilvl w:val="0"/>
          <w:numId w:val="34"/>
        </w:numPr>
        <w:spacing w:after="120"/>
        <w:ind w:left="0" w:firstLine="0"/>
        <w:jc w:val="both"/>
        <w:rPr>
          <w:rFonts w:ascii="Arial" w:hAnsi="Arial" w:cs="Arial"/>
          <w:sz w:val="22"/>
          <w:szCs w:val="22"/>
        </w:rPr>
      </w:pPr>
      <w:r>
        <w:rPr>
          <w:rFonts w:ascii="Arial" w:hAnsi="Arial" w:cs="Arial"/>
          <w:sz w:val="22"/>
          <w:szCs w:val="22"/>
        </w:rPr>
        <w:t xml:space="preserve">На основу утврђеног чињеничног стања, евидентно је да </w:t>
      </w:r>
      <w:r w:rsidR="00D115CF">
        <w:rPr>
          <w:rFonts w:ascii="Arial" w:hAnsi="Arial" w:cs="Arial"/>
          <w:sz w:val="22"/>
          <w:szCs w:val="22"/>
        </w:rPr>
        <w:t>Б. Б.</w:t>
      </w:r>
      <w:r>
        <w:rPr>
          <w:rFonts w:ascii="Arial" w:hAnsi="Arial" w:cs="Arial"/>
          <w:sz w:val="22"/>
          <w:szCs w:val="22"/>
        </w:rPr>
        <w:t>, приликом пријема пацијенткиње и узимања анамнезе, није узео у обзир чињеницу да је пацијенткиња н</w:t>
      </w:r>
      <w:r w:rsidR="00D60463">
        <w:rPr>
          <w:rFonts w:ascii="Arial" w:hAnsi="Arial" w:cs="Arial"/>
          <w:sz w:val="22"/>
          <w:szCs w:val="22"/>
        </w:rPr>
        <w:t>едвосмислено указала да је до с</w:t>
      </w:r>
      <w:r>
        <w:rPr>
          <w:rFonts w:ascii="Arial" w:hAnsi="Arial" w:cs="Arial"/>
          <w:sz w:val="22"/>
          <w:szCs w:val="22"/>
        </w:rPr>
        <w:t xml:space="preserve">ада имала уобичајене гинеколошке прегледе, да је имала сексуалне односе и да није невина. Упркос томе, инсистирао је да је невина зато што није имала односе са </w:t>
      </w:r>
      <w:r w:rsidR="00D60463">
        <w:rPr>
          <w:rFonts w:ascii="Arial" w:hAnsi="Arial" w:cs="Arial"/>
          <w:sz w:val="22"/>
          <w:szCs w:val="22"/>
        </w:rPr>
        <w:t>мушкарцима</w:t>
      </w:r>
      <w:r>
        <w:rPr>
          <w:rFonts w:ascii="Arial" w:hAnsi="Arial" w:cs="Arial"/>
          <w:sz w:val="22"/>
          <w:szCs w:val="22"/>
        </w:rPr>
        <w:t>, а на њено питање појаснио да се невиност губи пенетрацијом мушког полног органа у женски. Инсистирајући и даље да је пацијенткиња невина, понудио јој је алтернативни</w:t>
      </w:r>
      <w:r w:rsidR="00D60463">
        <w:rPr>
          <w:rFonts w:ascii="Arial" w:hAnsi="Arial" w:cs="Arial"/>
          <w:sz w:val="22"/>
          <w:szCs w:val="22"/>
        </w:rPr>
        <w:t>,</w:t>
      </w:r>
      <w:r>
        <w:rPr>
          <w:rFonts w:ascii="Arial" w:hAnsi="Arial" w:cs="Arial"/>
          <w:sz w:val="22"/>
          <w:szCs w:val="22"/>
        </w:rPr>
        <w:t xml:space="preserve"> ректални начин прегледа. Очигледно је да је такво поступање код пацијенткиње створило осећај </w:t>
      </w:r>
      <w:r w:rsidR="00D60463">
        <w:rPr>
          <w:rFonts w:ascii="Arial" w:hAnsi="Arial" w:cs="Arial"/>
          <w:sz w:val="22"/>
          <w:szCs w:val="22"/>
        </w:rPr>
        <w:t>понижења</w:t>
      </w:r>
      <w:r>
        <w:rPr>
          <w:rFonts w:ascii="Arial" w:hAnsi="Arial" w:cs="Arial"/>
          <w:sz w:val="22"/>
          <w:szCs w:val="22"/>
        </w:rPr>
        <w:t xml:space="preserve">, негирања </w:t>
      </w:r>
      <w:r w:rsidR="00D60463">
        <w:rPr>
          <w:rFonts w:ascii="Arial" w:hAnsi="Arial" w:cs="Arial"/>
          <w:sz w:val="22"/>
          <w:szCs w:val="22"/>
        </w:rPr>
        <w:t>њене сексуалности и неприхватање сопствене спознаје тела.</w:t>
      </w:r>
    </w:p>
    <w:p w:rsidR="00D60463" w:rsidRPr="00D60463" w:rsidRDefault="00D60463" w:rsidP="0045709C">
      <w:pPr>
        <w:pStyle w:val="ListParagraph"/>
        <w:rPr>
          <w:rFonts w:ascii="Arial" w:hAnsi="Arial" w:cs="Arial"/>
          <w:sz w:val="22"/>
          <w:szCs w:val="22"/>
        </w:rPr>
      </w:pPr>
    </w:p>
    <w:p w:rsidR="00951BD5" w:rsidRPr="00951BD5" w:rsidRDefault="00D60463" w:rsidP="00951BD5">
      <w:pPr>
        <w:pStyle w:val="ListParagraph"/>
        <w:numPr>
          <w:ilvl w:val="0"/>
          <w:numId w:val="34"/>
        </w:numPr>
        <w:spacing w:after="120"/>
        <w:ind w:left="0" w:firstLine="0"/>
        <w:jc w:val="both"/>
        <w:rPr>
          <w:rFonts w:ascii="Arial" w:hAnsi="Arial" w:cs="Arial"/>
          <w:sz w:val="22"/>
          <w:szCs w:val="22"/>
        </w:rPr>
      </w:pPr>
      <w:r>
        <w:rPr>
          <w:rFonts w:ascii="Arial" w:hAnsi="Arial" w:cs="Arial"/>
          <w:sz w:val="22"/>
          <w:szCs w:val="22"/>
        </w:rPr>
        <w:t xml:space="preserve">Током поступка, </w:t>
      </w:r>
      <w:r w:rsidR="00D115CF">
        <w:rPr>
          <w:rFonts w:ascii="Arial" w:hAnsi="Arial" w:cs="Arial"/>
          <w:sz w:val="22"/>
          <w:szCs w:val="22"/>
        </w:rPr>
        <w:t>Б. Б.</w:t>
      </w:r>
      <w:r>
        <w:rPr>
          <w:rFonts w:ascii="Arial" w:hAnsi="Arial" w:cs="Arial"/>
          <w:sz w:val="22"/>
          <w:szCs w:val="22"/>
        </w:rPr>
        <w:t xml:space="preserve"> није пружио доказе да се у конкретном случају руководио објективним критеријумима заснованим на медицинској науци и пракси, већ је </w:t>
      </w:r>
      <w:r w:rsidR="00D2598E">
        <w:rPr>
          <w:rFonts w:ascii="Arial" w:hAnsi="Arial" w:cs="Arial"/>
          <w:sz w:val="22"/>
          <w:szCs w:val="22"/>
        </w:rPr>
        <w:t xml:space="preserve">се </w:t>
      </w:r>
      <w:r>
        <w:rPr>
          <w:rFonts w:ascii="Arial" w:hAnsi="Arial" w:cs="Arial"/>
          <w:sz w:val="22"/>
          <w:szCs w:val="22"/>
        </w:rPr>
        <w:t xml:space="preserve">у поступању према пацијенткињи </w:t>
      </w:r>
      <w:r w:rsidR="00D115CF">
        <w:rPr>
          <w:rFonts w:ascii="Arial" w:hAnsi="Arial" w:cs="Arial"/>
          <w:sz w:val="22"/>
          <w:szCs w:val="22"/>
        </w:rPr>
        <w:t>А. А.</w:t>
      </w:r>
      <w:r w:rsidR="00A37CE7">
        <w:rPr>
          <w:rFonts w:ascii="Arial" w:hAnsi="Arial" w:cs="Arial"/>
          <w:sz w:val="22"/>
          <w:szCs w:val="22"/>
        </w:rPr>
        <w:t xml:space="preserve"> </w:t>
      </w:r>
      <w:r w:rsidR="00D2598E">
        <w:rPr>
          <w:rFonts w:ascii="Arial" w:hAnsi="Arial" w:cs="Arial"/>
          <w:sz w:val="22"/>
          <w:szCs w:val="22"/>
        </w:rPr>
        <w:t>руководио предрасудама о особама другачије сексуалне оријентације, које је износио чак и у изјашњењу на притужбу. Нејасан је и неутемељен став лекара да је „нормалан“ однос</w:t>
      </w:r>
      <w:r w:rsidR="00E46BCF">
        <w:rPr>
          <w:rFonts w:ascii="Arial" w:hAnsi="Arial" w:cs="Arial"/>
          <w:sz w:val="22"/>
          <w:szCs w:val="22"/>
        </w:rPr>
        <w:t>, однос</w:t>
      </w:r>
      <w:r w:rsidR="00D2598E">
        <w:rPr>
          <w:rFonts w:ascii="Arial" w:hAnsi="Arial" w:cs="Arial"/>
          <w:sz w:val="22"/>
          <w:szCs w:val="22"/>
        </w:rPr>
        <w:t xml:space="preserve"> између мушкарца и жене као и да се „невиност“ губи искључиво пенетрацијом мушког полног органа у женски. </w:t>
      </w:r>
      <w:r w:rsidR="00E46BCF">
        <w:rPr>
          <w:rFonts w:ascii="Arial" w:hAnsi="Arial" w:cs="Arial"/>
          <w:sz w:val="22"/>
          <w:szCs w:val="22"/>
        </w:rPr>
        <w:t xml:space="preserve">Наиме, јасно је да постоји и другачији однос од хетеросексуалног који се сматра такође нормалним, нарочито имајући у виду да је Светска здравствена организација </w:t>
      </w:r>
      <w:r w:rsidR="00ED5FC8">
        <w:rPr>
          <w:rFonts w:ascii="Arial" w:hAnsi="Arial" w:cs="Arial"/>
          <w:sz w:val="22"/>
          <w:szCs w:val="22"/>
        </w:rPr>
        <w:t>1990. године</w:t>
      </w:r>
      <w:r w:rsidR="00E46BCF">
        <w:rPr>
          <w:rFonts w:ascii="Arial" w:hAnsi="Arial" w:cs="Arial"/>
          <w:sz w:val="22"/>
          <w:szCs w:val="22"/>
        </w:rPr>
        <w:t xml:space="preserve"> уклонила хомосексуалност са листе болести из Међународне класификације болести (МКБ-10). </w:t>
      </w:r>
      <w:r w:rsidR="00261FCD">
        <w:rPr>
          <w:rFonts w:ascii="Arial" w:hAnsi="Arial" w:cs="Arial"/>
          <w:sz w:val="22"/>
          <w:szCs w:val="22"/>
        </w:rPr>
        <w:t>Т</w:t>
      </w:r>
      <w:r w:rsidR="00D2598E">
        <w:rPr>
          <w:rFonts w:ascii="Arial" w:hAnsi="Arial" w:cs="Arial"/>
          <w:sz w:val="22"/>
          <w:szCs w:val="22"/>
        </w:rPr>
        <w:t xml:space="preserve">акав став лекара приликом прегледа пацијенткиње и упорно негирање њене способности да адекватно изрази своју сексуалност и здравствено стање, </w:t>
      </w:r>
      <w:r w:rsidR="00261FCD">
        <w:rPr>
          <w:rFonts w:ascii="Arial" w:hAnsi="Arial" w:cs="Arial"/>
          <w:sz w:val="22"/>
          <w:szCs w:val="22"/>
        </w:rPr>
        <w:t xml:space="preserve">те предлагање алтернативних начина прегледа за невине жене, </w:t>
      </w:r>
      <w:r w:rsidR="00E46BCF">
        <w:rPr>
          <w:rFonts w:ascii="Arial" w:hAnsi="Arial" w:cs="Arial"/>
          <w:sz w:val="22"/>
          <w:szCs w:val="22"/>
        </w:rPr>
        <w:t>очигледно</w:t>
      </w:r>
      <w:r w:rsidR="00261FCD">
        <w:rPr>
          <w:rFonts w:ascii="Arial" w:hAnsi="Arial" w:cs="Arial"/>
          <w:sz w:val="22"/>
          <w:szCs w:val="22"/>
        </w:rPr>
        <w:t xml:space="preserve"> је код пацијенткиње створило осећај понижења и неповерење према лекару и третману због чега је одбила такав преглед. Лекари, а посебно оних специјалности у којима су пацијенти изложени како физички тако и у погледу својих интимних односа, морају показати појачан сензибилитет како не би нарушили </w:t>
      </w:r>
      <w:r w:rsidR="00E46BCF">
        <w:rPr>
          <w:rFonts w:ascii="Arial" w:hAnsi="Arial" w:cs="Arial"/>
          <w:sz w:val="22"/>
          <w:szCs w:val="22"/>
        </w:rPr>
        <w:t>достојанство својих пацијената, већ створили однос поверења и</w:t>
      </w:r>
      <w:r w:rsidR="00261FCD">
        <w:rPr>
          <w:rFonts w:ascii="Arial" w:hAnsi="Arial" w:cs="Arial"/>
          <w:sz w:val="22"/>
          <w:szCs w:val="22"/>
        </w:rPr>
        <w:t xml:space="preserve"> пружили им адекватну медицинску заштиту.</w:t>
      </w:r>
    </w:p>
    <w:p w:rsidR="00951BD5" w:rsidRPr="00951BD5" w:rsidRDefault="00951BD5" w:rsidP="00951BD5">
      <w:pPr>
        <w:pStyle w:val="ListParagraph"/>
        <w:spacing w:after="120"/>
        <w:ind w:left="0"/>
        <w:jc w:val="both"/>
        <w:rPr>
          <w:rFonts w:ascii="Arial" w:hAnsi="Arial" w:cs="Arial"/>
          <w:sz w:val="22"/>
          <w:szCs w:val="22"/>
        </w:rPr>
      </w:pPr>
    </w:p>
    <w:p w:rsidR="00951BD5" w:rsidRPr="00103C29" w:rsidRDefault="00951BD5" w:rsidP="00103C29">
      <w:pPr>
        <w:pStyle w:val="ListParagraph"/>
        <w:numPr>
          <w:ilvl w:val="0"/>
          <w:numId w:val="34"/>
        </w:numPr>
        <w:spacing w:after="120"/>
        <w:ind w:left="0" w:firstLine="0"/>
        <w:jc w:val="both"/>
        <w:rPr>
          <w:rFonts w:ascii="Arial" w:hAnsi="Arial" w:cs="Arial"/>
          <w:sz w:val="22"/>
          <w:szCs w:val="22"/>
        </w:rPr>
      </w:pPr>
      <w:r>
        <w:rPr>
          <w:rFonts w:ascii="Arial" w:hAnsi="Arial" w:cs="Arial"/>
          <w:sz w:val="22"/>
          <w:szCs w:val="22"/>
        </w:rPr>
        <w:t>Истраживање потреба ЛБТ</w:t>
      </w:r>
      <w:r w:rsidRPr="00951BD5">
        <w:rPr>
          <w:rFonts w:ascii="Arial" w:hAnsi="Arial" w:cs="Arial"/>
          <w:sz w:val="22"/>
          <w:szCs w:val="22"/>
        </w:rPr>
        <w:t xml:space="preserve"> заједнице, које је Лабрис спровео</w:t>
      </w:r>
      <w:r>
        <w:rPr>
          <w:rStyle w:val="FootnoteReference"/>
          <w:rFonts w:ascii="Arial" w:hAnsi="Arial" w:cs="Arial"/>
          <w:sz w:val="22"/>
          <w:szCs w:val="22"/>
        </w:rPr>
        <w:footnoteReference w:id="4"/>
      </w:r>
      <w:r w:rsidRPr="00951BD5">
        <w:rPr>
          <w:rFonts w:ascii="Arial" w:hAnsi="Arial" w:cs="Arial"/>
          <w:sz w:val="22"/>
          <w:szCs w:val="22"/>
        </w:rPr>
        <w:t xml:space="preserve">, показало је да је 8,7% испитаница доживело дискриминацију током гинеколошких прегледа. Испитанице су се пожалиле и на то да су их лекари одбили прегледати након што су се </w:t>
      </w:r>
      <w:r w:rsidR="00103C29">
        <w:rPr>
          <w:rFonts w:ascii="Arial" w:hAnsi="Arial" w:cs="Arial"/>
          <w:sz w:val="22"/>
          <w:szCs w:val="22"/>
        </w:rPr>
        <w:t>изјасниле</w:t>
      </w:r>
      <w:r w:rsidRPr="00951BD5">
        <w:rPr>
          <w:rFonts w:ascii="Arial" w:hAnsi="Arial" w:cs="Arial"/>
          <w:sz w:val="22"/>
          <w:szCs w:val="22"/>
        </w:rPr>
        <w:t xml:space="preserve"> као лезбејке, као и да лекари уопште нису упознати са здравственим проблемима и лечењем полно преносивих болести лезбејки и жена другачије сексуалне оријентације од хетеросескаулне.</w:t>
      </w:r>
      <w:r w:rsidRPr="00951BD5">
        <w:t xml:space="preserve"> </w:t>
      </w:r>
      <w:r w:rsidR="00103C29">
        <w:rPr>
          <w:rFonts w:ascii="Arial" w:hAnsi="Arial" w:cs="Arial"/>
          <w:sz w:val="22"/>
          <w:szCs w:val="22"/>
        </w:rPr>
        <w:t>И</w:t>
      </w:r>
      <w:r w:rsidRPr="00103C29">
        <w:rPr>
          <w:rFonts w:ascii="Arial" w:hAnsi="Arial" w:cs="Arial"/>
          <w:sz w:val="22"/>
          <w:szCs w:val="22"/>
        </w:rPr>
        <w:t xml:space="preserve">страживање спроведено у многим деловима света показује да се лезбејке и бисексуалне жене осећају непријатно да разговарају о својој сексуалности са здравственим радницима, чак и када је то у вези са њиховим здрављем. Оне се плаше непријатељске и хомофобичне реакције  јер се то у пракси и дешава. Искуство дискримнације, лезбофобије или осећања да сте невидљиви може довести до тога да жене другачије оријентације </w:t>
      </w:r>
      <w:r w:rsidR="00103C29">
        <w:rPr>
          <w:rFonts w:ascii="Arial" w:hAnsi="Arial" w:cs="Arial"/>
          <w:sz w:val="22"/>
          <w:szCs w:val="22"/>
        </w:rPr>
        <w:t>неће</w:t>
      </w:r>
      <w:r w:rsidRPr="00103C29">
        <w:rPr>
          <w:rFonts w:ascii="Arial" w:hAnsi="Arial" w:cs="Arial"/>
          <w:sz w:val="22"/>
          <w:szCs w:val="22"/>
        </w:rPr>
        <w:t xml:space="preserve"> потражити лечење када </w:t>
      </w:r>
      <w:r w:rsidR="00103C29">
        <w:rPr>
          <w:rFonts w:ascii="Arial" w:hAnsi="Arial" w:cs="Arial"/>
          <w:sz w:val="22"/>
          <w:szCs w:val="22"/>
        </w:rPr>
        <w:t>им</w:t>
      </w:r>
      <w:r w:rsidRPr="00103C29">
        <w:rPr>
          <w:rFonts w:ascii="Arial" w:hAnsi="Arial" w:cs="Arial"/>
          <w:sz w:val="22"/>
          <w:szCs w:val="22"/>
        </w:rPr>
        <w:t xml:space="preserve"> је то потребно. Здравствени радници нису имуни на предрасуде и често немају довољно знања и сензибилисаности за специфичне потребе ЛБT жена. Нарочито су забрињавајући неки резултати у вези са интеракцијом лезбејки и бисексуалн</w:t>
      </w:r>
      <w:r w:rsidR="002D0A6B">
        <w:rPr>
          <w:rFonts w:ascii="Arial" w:hAnsi="Arial" w:cs="Arial"/>
          <w:sz w:val="22"/>
          <w:szCs w:val="22"/>
        </w:rPr>
        <w:t>их жена са гинеколозима</w:t>
      </w:r>
      <w:r w:rsidRPr="00103C29">
        <w:rPr>
          <w:rFonts w:ascii="Arial" w:hAnsi="Arial" w:cs="Arial"/>
          <w:sz w:val="22"/>
          <w:szCs w:val="22"/>
        </w:rPr>
        <w:t>: у оним случајевима где сексуална оријентација има јасан утицај на здравље, пацијенткиње не откривају своју сексуалну</w:t>
      </w:r>
      <w:r w:rsidR="002D0A6B">
        <w:rPr>
          <w:rFonts w:ascii="Arial" w:hAnsi="Arial" w:cs="Arial"/>
          <w:sz w:val="22"/>
          <w:szCs w:val="22"/>
        </w:rPr>
        <w:t xml:space="preserve"> </w:t>
      </w:r>
      <w:r w:rsidRPr="00103C29">
        <w:rPr>
          <w:rFonts w:ascii="Arial" w:hAnsi="Arial" w:cs="Arial"/>
          <w:sz w:val="22"/>
          <w:szCs w:val="22"/>
        </w:rPr>
        <w:t>оријентацију, а здравствени радници аутоматски подразумевају хетеросексуалност својих пацијенткиња.</w:t>
      </w:r>
    </w:p>
    <w:p w:rsidR="00951BD5" w:rsidRPr="00951BD5" w:rsidRDefault="00951BD5" w:rsidP="00103C29">
      <w:pPr>
        <w:pStyle w:val="ListParagraph"/>
        <w:spacing w:after="120"/>
        <w:ind w:left="0"/>
        <w:jc w:val="both"/>
        <w:rPr>
          <w:rFonts w:ascii="Arial" w:hAnsi="Arial" w:cs="Arial"/>
          <w:sz w:val="22"/>
          <w:szCs w:val="22"/>
        </w:rPr>
      </w:pPr>
    </w:p>
    <w:p w:rsidR="006A7F04" w:rsidRPr="006A7F04" w:rsidRDefault="006A7F04" w:rsidP="0045709C">
      <w:pPr>
        <w:pStyle w:val="ListParagraph"/>
        <w:rPr>
          <w:rFonts w:ascii="Arial" w:hAnsi="Arial" w:cs="Arial"/>
          <w:sz w:val="22"/>
          <w:szCs w:val="22"/>
        </w:rPr>
      </w:pPr>
    </w:p>
    <w:p w:rsidR="002C49F6" w:rsidRDefault="00186FDD" w:rsidP="0045709C">
      <w:pPr>
        <w:pStyle w:val="ListParagraph"/>
        <w:numPr>
          <w:ilvl w:val="0"/>
          <w:numId w:val="34"/>
        </w:numPr>
        <w:spacing w:after="120"/>
        <w:ind w:left="0" w:firstLine="0"/>
        <w:jc w:val="both"/>
        <w:rPr>
          <w:rFonts w:ascii="Arial" w:hAnsi="Arial" w:cs="Arial"/>
          <w:sz w:val="22"/>
          <w:szCs w:val="22"/>
        </w:rPr>
      </w:pPr>
      <w:r>
        <w:rPr>
          <w:rFonts w:ascii="Arial" w:hAnsi="Arial" w:cs="Arial"/>
          <w:sz w:val="22"/>
          <w:szCs w:val="22"/>
        </w:rPr>
        <w:t xml:space="preserve">Повереник указује да поред Закона о забрани дискриминације и Закон о здравственој заштити прописује начело правичности здравствене заштите које подразумева забрану дискриминације у пружању здравствене заштите по основу расе, </w:t>
      </w:r>
      <w:r>
        <w:rPr>
          <w:rFonts w:ascii="Arial" w:hAnsi="Arial" w:cs="Arial"/>
          <w:sz w:val="22"/>
          <w:szCs w:val="22"/>
        </w:rPr>
        <w:lastRenderedPageBreak/>
        <w:t>пола, рода, сексуалне оријентације и родног идентитета, старости националне припадности и других набројаних личних својстава.</w:t>
      </w:r>
      <w:r w:rsidR="000344D9">
        <w:rPr>
          <w:rFonts w:ascii="Arial" w:hAnsi="Arial" w:cs="Arial"/>
          <w:sz w:val="22"/>
          <w:szCs w:val="22"/>
        </w:rPr>
        <w:t xml:space="preserve"> Такође, Закон о забрани дискриминације</w:t>
      </w:r>
      <w:r w:rsidR="00E46BCF">
        <w:rPr>
          <w:rFonts w:ascii="Arial" w:hAnsi="Arial" w:cs="Arial"/>
          <w:sz w:val="22"/>
          <w:szCs w:val="22"/>
        </w:rPr>
        <w:t xml:space="preserve"> изричито</w:t>
      </w:r>
      <w:r w:rsidR="000344D9">
        <w:rPr>
          <w:rFonts w:ascii="Arial" w:hAnsi="Arial" w:cs="Arial"/>
          <w:sz w:val="22"/>
          <w:szCs w:val="22"/>
        </w:rPr>
        <w:t xml:space="preserve"> забрањује узнемиравање и понижавајуће поступање које има за циљ или представља повреду достојанств</w:t>
      </w:r>
      <w:r w:rsidR="00FA3329">
        <w:rPr>
          <w:rFonts w:ascii="Arial" w:hAnsi="Arial" w:cs="Arial"/>
          <w:sz w:val="22"/>
          <w:szCs w:val="22"/>
        </w:rPr>
        <w:t>а лица а на основу личног својства.</w:t>
      </w:r>
    </w:p>
    <w:p w:rsidR="00022D8A" w:rsidRDefault="00022D8A" w:rsidP="0045709C">
      <w:pPr>
        <w:pStyle w:val="ListParagraph"/>
        <w:spacing w:after="120"/>
        <w:ind w:left="0"/>
        <w:jc w:val="both"/>
        <w:rPr>
          <w:rFonts w:ascii="Arial" w:eastAsia="Calibri" w:hAnsi="Arial" w:cs="Arial"/>
          <w:noProof/>
          <w:sz w:val="22"/>
          <w:szCs w:val="22"/>
        </w:rPr>
      </w:pPr>
    </w:p>
    <w:p w:rsidR="00EB6433" w:rsidRPr="00186FDD" w:rsidRDefault="00746953" w:rsidP="0045709C">
      <w:pPr>
        <w:tabs>
          <w:tab w:val="left" w:pos="450"/>
        </w:tabs>
        <w:autoSpaceDE w:val="0"/>
        <w:autoSpaceDN w:val="0"/>
        <w:adjustRightInd w:val="0"/>
        <w:spacing w:after="120" w:line="240" w:lineRule="auto"/>
        <w:jc w:val="both"/>
        <w:rPr>
          <w:rFonts w:ascii="Arial" w:eastAsia="Calibri" w:hAnsi="Arial" w:cs="Arial"/>
          <w:b/>
          <w:lang w:val="sr-Cyrl-CS"/>
        </w:rPr>
      </w:pPr>
      <w:r w:rsidRPr="00186FDD">
        <w:rPr>
          <w:rFonts w:ascii="Arial" w:eastAsia="Calibri" w:hAnsi="Arial" w:cs="Arial"/>
          <w:b/>
          <w:lang w:val="sr-Cyrl-CS"/>
        </w:rPr>
        <w:t xml:space="preserve">4. </w:t>
      </w:r>
      <w:r w:rsidR="00EB6433" w:rsidRPr="00186FDD">
        <w:rPr>
          <w:rFonts w:ascii="Arial" w:eastAsia="Calibri" w:hAnsi="Arial" w:cs="Arial"/>
          <w:b/>
          <w:lang w:val="sr-Cyrl-CS"/>
        </w:rPr>
        <w:t>МИШЉЕЊЕ</w:t>
      </w:r>
    </w:p>
    <w:p w:rsidR="00EB6433" w:rsidRPr="00186FDD" w:rsidRDefault="00186FDD" w:rsidP="0045709C">
      <w:pPr>
        <w:autoSpaceDE w:val="0"/>
        <w:autoSpaceDN w:val="0"/>
        <w:adjustRightInd w:val="0"/>
        <w:spacing w:after="120" w:line="240" w:lineRule="auto"/>
        <w:jc w:val="both"/>
        <w:rPr>
          <w:rFonts w:ascii="Arial" w:eastAsia="Calibri" w:hAnsi="Arial" w:cs="Arial"/>
          <w:noProof/>
        </w:rPr>
      </w:pPr>
      <w:r>
        <w:rPr>
          <w:rFonts w:ascii="Arial" w:eastAsia="Calibri" w:hAnsi="Arial" w:cs="Arial"/>
          <w:noProof/>
        </w:rPr>
        <w:t xml:space="preserve">У поступку по притужби </w:t>
      </w:r>
      <w:r w:rsidR="00201E1E">
        <w:rPr>
          <w:rFonts w:ascii="Arial" w:eastAsia="Calibri" w:hAnsi="Arial" w:cs="Arial"/>
          <w:noProof/>
        </w:rPr>
        <w:t xml:space="preserve">А. А. </w:t>
      </w:r>
      <w:r>
        <w:rPr>
          <w:rFonts w:ascii="Arial" w:eastAsia="Calibri" w:hAnsi="Arial" w:cs="Arial"/>
          <w:noProof/>
        </w:rPr>
        <w:t xml:space="preserve"> утврђено је да је </w:t>
      </w:r>
      <w:r w:rsidR="00201E1E">
        <w:rPr>
          <w:rFonts w:ascii="Arial" w:eastAsia="Calibri" w:hAnsi="Arial" w:cs="Arial"/>
          <w:noProof/>
        </w:rPr>
        <w:t>Б. Б.</w:t>
      </w:r>
      <w:r w:rsidR="00F64C06">
        <w:rPr>
          <w:rFonts w:ascii="Arial" w:eastAsia="Calibri" w:hAnsi="Arial" w:cs="Arial"/>
          <w:noProof/>
          <w:lang w:val="sr-Cyrl-RS"/>
        </w:rPr>
        <w:t xml:space="preserve"> </w:t>
      </w:r>
      <w:r w:rsidR="00DE2817" w:rsidRPr="00186FDD">
        <w:rPr>
          <w:rFonts w:ascii="Arial" w:eastAsia="Calibri" w:hAnsi="Arial" w:cs="Arial"/>
          <w:noProof/>
          <w:lang w:val="sr-Cyrl-CS"/>
        </w:rPr>
        <w:t>повредио одредбе чл</w:t>
      </w:r>
      <w:r w:rsidR="005A78E8" w:rsidRPr="00186FDD">
        <w:rPr>
          <w:rFonts w:ascii="Arial" w:eastAsia="Calibri" w:hAnsi="Arial" w:cs="Arial"/>
          <w:noProof/>
          <w:lang w:val="sr-Cyrl-CS"/>
        </w:rPr>
        <w:t>ана</w:t>
      </w:r>
      <w:r w:rsidR="00D62EE2" w:rsidRPr="00186FDD">
        <w:rPr>
          <w:rFonts w:ascii="Arial" w:eastAsia="Calibri" w:hAnsi="Arial" w:cs="Arial"/>
          <w:noProof/>
          <w:lang w:val="sr-Cyrl-CS"/>
        </w:rPr>
        <w:t xml:space="preserve"> 12</w:t>
      </w:r>
      <w:r w:rsidR="00DB661F" w:rsidRPr="00186FDD">
        <w:rPr>
          <w:rFonts w:ascii="Arial" w:eastAsia="Calibri" w:hAnsi="Arial" w:cs="Arial"/>
          <w:noProof/>
          <w:lang w:val="sr-Cyrl-CS"/>
        </w:rPr>
        <w:t xml:space="preserve"> став 1</w:t>
      </w:r>
      <w:r w:rsidR="00907EC8" w:rsidRPr="00186FDD">
        <w:rPr>
          <w:rFonts w:ascii="Arial" w:eastAsia="Calibri" w:hAnsi="Arial" w:cs="Arial"/>
          <w:noProof/>
          <w:lang w:val="sr-Cyrl-CS"/>
        </w:rPr>
        <w:t>.</w:t>
      </w:r>
      <w:r w:rsidR="00EB7E99" w:rsidRPr="00186FDD">
        <w:rPr>
          <w:rFonts w:ascii="Arial" w:eastAsia="Calibri" w:hAnsi="Arial" w:cs="Arial"/>
          <w:noProof/>
          <w:lang w:val="sr-Cyrl-CS"/>
        </w:rPr>
        <w:t xml:space="preserve"> </w:t>
      </w:r>
      <w:r>
        <w:rPr>
          <w:rFonts w:ascii="Arial" w:eastAsia="Calibri" w:hAnsi="Arial" w:cs="Arial"/>
          <w:noProof/>
          <w:lang w:val="sr-Cyrl-CS"/>
        </w:rPr>
        <w:t xml:space="preserve">Закона о забрани дискриминације, који забрањује </w:t>
      </w:r>
      <w:r w:rsidR="000344D9">
        <w:rPr>
          <w:rFonts w:ascii="Arial" w:eastAsia="Calibri" w:hAnsi="Arial" w:cs="Arial"/>
          <w:noProof/>
          <w:lang w:val="sr-Cyrl-CS"/>
        </w:rPr>
        <w:t>узнемиравање и понижавајуће поступање.</w:t>
      </w:r>
      <w:r w:rsidR="00907EC8" w:rsidRPr="00186FDD">
        <w:rPr>
          <w:rFonts w:ascii="Arial" w:eastAsia="Calibri" w:hAnsi="Arial" w:cs="Arial"/>
          <w:noProof/>
          <w:lang w:val="sr-Cyrl-CS"/>
        </w:rPr>
        <w:t xml:space="preserve">  </w:t>
      </w:r>
      <w:r w:rsidR="004C22B0" w:rsidRPr="00186FDD">
        <w:rPr>
          <w:rFonts w:ascii="Arial" w:eastAsia="Calibri" w:hAnsi="Arial" w:cs="Arial"/>
          <w:noProof/>
        </w:rPr>
        <w:t xml:space="preserve"> </w:t>
      </w:r>
    </w:p>
    <w:p w:rsidR="00907EC8" w:rsidRPr="00186FDD" w:rsidRDefault="00907EC8" w:rsidP="0045709C">
      <w:pPr>
        <w:autoSpaceDE w:val="0"/>
        <w:autoSpaceDN w:val="0"/>
        <w:adjustRightInd w:val="0"/>
        <w:spacing w:after="120" w:line="240" w:lineRule="auto"/>
        <w:jc w:val="both"/>
        <w:rPr>
          <w:rFonts w:ascii="Arial" w:eastAsia="Calibri" w:hAnsi="Arial" w:cs="Arial"/>
        </w:rPr>
      </w:pPr>
    </w:p>
    <w:p w:rsidR="00EB6433" w:rsidRPr="00186FDD" w:rsidRDefault="00746953" w:rsidP="0045709C">
      <w:pPr>
        <w:autoSpaceDE w:val="0"/>
        <w:autoSpaceDN w:val="0"/>
        <w:adjustRightInd w:val="0"/>
        <w:spacing w:after="120" w:line="240" w:lineRule="auto"/>
        <w:jc w:val="both"/>
        <w:rPr>
          <w:rFonts w:ascii="Arial" w:eastAsia="Calibri" w:hAnsi="Arial" w:cs="Arial"/>
          <w:b/>
          <w:lang w:val="sr-Cyrl-CS"/>
        </w:rPr>
      </w:pPr>
      <w:r w:rsidRPr="00186FDD">
        <w:rPr>
          <w:rFonts w:ascii="Arial" w:eastAsia="Calibri" w:hAnsi="Arial" w:cs="Arial"/>
          <w:b/>
          <w:lang w:val="sr-Cyrl-CS"/>
        </w:rPr>
        <w:t xml:space="preserve">5. </w:t>
      </w:r>
      <w:r w:rsidR="00EB6433" w:rsidRPr="00186FDD">
        <w:rPr>
          <w:rFonts w:ascii="Arial" w:eastAsia="Calibri" w:hAnsi="Arial" w:cs="Arial"/>
          <w:b/>
          <w:lang w:val="sr-Cyrl-CS"/>
        </w:rPr>
        <w:t>ПРЕПОРУКА</w:t>
      </w:r>
    </w:p>
    <w:p w:rsidR="00DB661F" w:rsidRPr="00186FDD" w:rsidRDefault="00A05D3E" w:rsidP="0045709C">
      <w:pPr>
        <w:tabs>
          <w:tab w:val="left" w:pos="450"/>
        </w:tabs>
        <w:autoSpaceDE w:val="0"/>
        <w:autoSpaceDN w:val="0"/>
        <w:adjustRightInd w:val="0"/>
        <w:spacing w:after="120" w:line="240" w:lineRule="auto"/>
        <w:jc w:val="both"/>
        <w:rPr>
          <w:rFonts w:ascii="Arial" w:eastAsia="Calibri" w:hAnsi="Arial" w:cs="Arial"/>
          <w:lang w:val="sr-Cyrl-CS"/>
        </w:rPr>
      </w:pPr>
      <w:r w:rsidRPr="00186FDD">
        <w:rPr>
          <w:rFonts w:ascii="Arial" w:eastAsia="Calibri" w:hAnsi="Arial" w:cs="Arial"/>
          <w:lang w:val="sr-Cyrl-CS"/>
        </w:rPr>
        <w:t xml:space="preserve">Повереник за заштиту равноправности препоручује </w:t>
      </w:r>
      <w:r w:rsidR="00201E1E">
        <w:rPr>
          <w:rFonts w:ascii="Arial" w:eastAsia="Calibri" w:hAnsi="Arial" w:cs="Arial"/>
          <w:lang w:val="sr-Cyrl-CS"/>
        </w:rPr>
        <w:t>Б. Б.</w:t>
      </w:r>
      <w:r w:rsidRPr="00186FDD">
        <w:rPr>
          <w:rFonts w:ascii="Arial" w:eastAsia="Calibri" w:hAnsi="Arial" w:cs="Arial"/>
          <w:lang w:val="sr-Cyrl-CS"/>
        </w:rPr>
        <w:t>:</w:t>
      </w:r>
    </w:p>
    <w:p w:rsidR="00534D9F" w:rsidRPr="00186FDD" w:rsidRDefault="00EB6433" w:rsidP="0045709C">
      <w:pPr>
        <w:tabs>
          <w:tab w:val="left" w:pos="450"/>
        </w:tabs>
        <w:autoSpaceDE w:val="0"/>
        <w:autoSpaceDN w:val="0"/>
        <w:adjustRightInd w:val="0"/>
        <w:spacing w:after="120" w:line="240" w:lineRule="auto"/>
        <w:jc w:val="both"/>
        <w:rPr>
          <w:rFonts w:ascii="Arial" w:eastAsia="Calibri" w:hAnsi="Arial" w:cs="Arial"/>
        </w:rPr>
      </w:pPr>
      <w:r w:rsidRPr="00186FDD">
        <w:rPr>
          <w:rFonts w:ascii="Arial" w:eastAsia="Calibri" w:hAnsi="Arial" w:cs="Arial"/>
          <w:b/>
          <w:lang w:val="sr-Cyrl-CS"/>
        </w:rPr>
        <w:t>5.1.</w:t>
      </w:r>
      <w:r w:rsidRPr="00186FDD">
        <w:rPr>
          <w:rFonts w:ascii="Arial" w:eastAsia="Calibri" w:hAnsi="Arial" w:cs="Arial"/>
          <w:lang w:val="sr-Cyrl-CS"/>
        </w:rPr>
        <w:t xml:space="preserve"> </w:t>
      </w:r>
      <w:r w:rsidR="000A3426" w:rsidRPr="00186FDD">
        <w:rPr>
          <w:rFonts w:ascii="Arial" w:eastAsia="Calibri" w:hAnsi="Arial" w:cs="Arial"/>
          <w:lang w:val="sr-Cyrl-CS"/>
        </w:rPr>
        <w:t xml:space="preserve"> Да се </w:t>
      </w:r>
      <w:r w:rsidR="000344D9">
        <w:rPr>
          <w:rFonts w:ascii="Arial" w:eastAsia="Calibri" w:hAnsi="Arial" w:cs="Arial"/>
          <w:lang w:val="sr-Cyrl-CS"/>
        </w:rPr>
        <w:t xml:space="preserve">информише о положају и правима особа другачије сескуалне оријентације као и са каквим се изазовима сусрећу </w:t>
      </w:r>
      <w:r w:rsidR="00FA3329">
        <w:rPr>
          <w:rFonts w:ascii="Arial" w:eastAsia="Calibri" w:hAnsi="Arial" w:cs="Arial"/>
          <w:lang w:val="sr-Cyrl-CS"/>
        </w:rPr>
        <w:t>у области здравствене заштите</w:t>
      </w:r>
      <w:r w:rsidR="000A3426" w:rsidRPr="00186FDD">
        <w:rPr>
          <w:rFonts w:ascii="Arial" w:eastAsia="Calibri" w:hAnsi="Arial" w:cs="Arial"/>
        </w:rPr>
        <w:t>.</w:t>
      </w:r>
    </w:p>
    <w:p w:rsidR="001B5AC4" w:rsidRPr="00186FDD" w:rsidRDefault="00DB661F" w:rsidP="0045709C">
      <w:pPr>
        <w:tabs>
          <w:tab w:val="left" w:pos="450"/>
        </w:tabs>
        <w:autoSpaceDE w:val="0"/>
        <w:autoSpaceDN w:val="0"/>
        <w:adjustRightInd w:val="0"/>
        <w:spacing w:after="120" w:line="240" w:lineRule="auto"/>
        <w:jc w:val="both"/>
        <w:rPr>
          <w:rFonts w:ascii="Arial" w:eastAsia="Calibri" w:hAnsi="Arial" w:cs="Arial"/>
        </w:rPr>
      </w:pPr>
      <w:r w:rsidRPr="00186FDD">
        <w:rPr>
          <w:rFonts w:ascii="Arial" w:eastAsia="Calibri" w:hAnsi="Arial" w:cs="Arial"/>
          <w:b/>
          <w:lang w:val="sr-Cyrl-CS"/>
        </w:rPr>
        <w:t>5.</w:t>
      </w:r>
      <w:r w:rsidR="002F7D5E" w:rsidRPr="00186FDD">
        <w:rPr>
          <w:rFonts w:ascii="Arial" w:eastAsia="Calibri" w:hAnsi="Arial" w:cs="Arial"/>
          <w:b/>
          <w:lang w:val="sr-Cyrl-CS"/>
        </w:rPr>
        <w:t>2</w:t>
      </w:r>
      <w:r w:rsidR="00EB6433" w:rsidRPr="00186FDD">
        <w:rPr>
          <w:rFonts w:ascii="Arial" w:eastAsia="Calibri" w:hAnsi="Arial" w:cs="Arial"/>
          <w:b/>
          <w:lang w:val="sr-Cyrl-CS"/>
        </w:rPr>
        <w:t>.</w:t>
      </w:r>
      <w:r w:rsidR="00EB6433" w:rsidRPr="00186FDD">
        <w:rPr>
          <w:rFonts w:ascii="Arial" w:eastAsia="Calibri" w:hAnsi="Arial" w:cs="Arial"/>
          <w:lang w:val="sr-Cyrl-CS"/>
        </w:rPr>
        <w:t xml:space="preserve"> </w:t>
      </w:r>
      <w:r w:rsidR="008A1D3D" w:rsidRPr="00186FDD">
        <w:rPr>
          <w:rFonts w:ascii="Arial" w:eastAsia="Calibri" w:hAnsi="Arial" w:cs="Arial"/>
          <w:lang w:val="sr-Cyrl-CS"/>
        </w:rPr>
        <w:t xml:space="preserve">Да </w:t>
      </w:r>
      <w:r w:rsidR="002F7D5E" w:rsidRPr="00186FDD">
        <w:rPr>
          <w:rFonts w:ascii="Arial" w:eastAsia="Calibri" w:hAnsi="Arial" w:cs="Arial"/>
          <w:lang w:val="sr-Cyrl-CS"/>
        </w:rPr>
        <w:t xml:space="preserve">се </w:t>
      </w:r>
      <w:r w:rsidR="005A78E8" w:rsidRPr="00186FDD">
        <w:rPr>
          <w:rFonts w:ascii="Arial" w:eastAsia="Calibri" w:hAnsi="Arial" w:cs="Arial"/>
        </w:rPr>
        <w:t>убудуће придржава пропис</w:t>
      </w:r>
      <w:r w:rsidR="005A78E8" w:rsidRPr="00186FDD">
        <w:rPr>
          <w:rFonts w:ascii="Arial" w:eastAsia="Calibri" w:hAnsi="Arial" w:cs="Arial"/>
          <w:lang w:val="sr-Latn-CS"/>
        </w:rPr>
        <w:t>a</w:t>
      </w:r>
      <w:r w:rsidR="005A78E8" w:rsidRPr="00186FDD">
        <w:rPr>
          <w:rFonts w:ascii="Arial" w:eastAsia="Calibri" w:hAnsi="Arial" w:cs="Arial"/>
        </w:rPr>
        <w:t xml:space="preserve"> о забрани дискриминације</w:t>
      </w:r>
      <w:r w:rsidR="001B5AC4" w:rsidRPr="00186FDD">
        <w:rPr>
          <w:rFonts w:ascii="Arial" w:eastAsia="Calibri" w:hAnsi="Arial" w:cs="Arial"/>
        </w:rPr>
        <w:t>.</w:t>
      </w:r>
    </w:p>
    <w:p w:rsidR="00DB661F" w:rsidRPr="00186FDD" w:rsidRDefault="00DB661F" w:rsidP="0045709C">
      <w:pPr>
        <w:tabs>
          <w:tab w:val="left" w:pos="450"/>
        </w:tabs>
        <w:autoSpaceDE w:val="0"/>
        <w:autoSpaceDN w:val="0"/>
        <w:adjustRightInd w:val="0"/>
        <w:spacing w:after="120" w:line="240" w:lineRule="auto"/>
        <w:jc w:val="both"/>
        <w:rPr>
          <w:rFonts w:ascii="Arial" w:eastAsia="Calibri" w:hAnsi="Arial" w:cs="Arial"/>
        </w:rPr>
      </w:pPr>
    </w:p>
    <w:p w:rsidR="00EB6433" w:rsidRPr="00186FDD" w:rsidRDefault="00EB6433" w:rsidP="0045709C">
      <w:pPr>
        <w:spacing w:after="120" w:line="240" w:lineRule="auto"/>
        <w:jc w:val="both"/>
        <w:rPr>
          <w:rFonts w:ascii="Arial" w:eastAsia="Calibri" w:hAnsi="Arial" w:cs="Arial"/>
          <w:lang w:val="sr-Cyrl-CS"/>
        </w:rPr>
      </w:pPr>
      <w:r w:rsidRPr="00186FDD">
        <w:rPr>
          <w:rFonts w:ascii="Arial" w:eastAsia="Calibri" w:hAnsi="Arial" w:cs="Arial"/>
          <w:lang w:val="sr-Cyrl-CS"/>
        </w:rPr>
        <w:t xml:space="preserve">Потребно је </w:t>
      </w:r>
      <w:r w:rsidR="00444C6A" w:rsidRPr="00186FDD">
        <w:rPr>
          <w:rFonts w:ascii="Arial" w:eastAsia="Calibri" w:hAnsi="Arial" w:cs="Arial"/>
          <w:lang w:val="sr-Cyrl-CS"/>
        </w:rPr>
        <w:t xml:space="preserve">да </w:t>
      </w:r>
      <w:r w:rsidR="00201E1E">
        <w:rPr>
          <w:rFonts w:ascii="Arial" w:eastAsia="Calibri" w:hAnsi="Arial" w:cs="Arial"/>
          <w:lang w:val="sr-Cyrl-CS"/>
        </w:rPr>
        <w:t>Б. Б.</w:t>
      </w:r>
      <w:r w:rsidR="004C22B0" w:rsidRPr="00186FDD">
        <w:rPr>
          <w:rFonts w:ascii="Arial" w:eastAsia="Calibri" w:hAnsi="Arial" w:cs="Arial"/>
          <w:lang w:val="sr-Cyrl-CS"/>
        </w:rPr>
        <w:t xml:space="preserve"> </w:t>
      </w:r>
      <w:r w:rsidRPr="00186FDD">
        <w:rPr>
          <w:rFonts w:ascii="Arial" w:eastAsia="Calibri" w:hAnsi="Arial" w:cs="Arial"/>
          <w:lang w:val="sr-Cyrl-CS"/>
        </w:rPr>
        <w:t xml:space="preserve">обавести </w:t>
      </w:r>
      <w:r w:rsidR="004C22B0" w:rsidRPr="00186FDD">
        <w:rPr>
          <w:rFonts w:ascii="Arial" w:eastAsia="Calibri" w:hAnsi="Arial" w:cs="Arial"/>
          <w:lang w:val="sr-Cyrl-CS"/>
        </w:rPr>
        <w:t xml:space="preserve">Повереника </w:t>
      </w:r>
      <w:r w:rsidRPr="00186FDD">
        <w:rPr>
          <w:rFonts w:ascii="Arial" w:eastAsia="Calibri" w:hAnsi="Arial" w:cs="Arial"/>
          <w:lang w:val="sr-Cyrl-CS"/>
        </w:rPr>
        <w:t>за заштиту равноправности о спровођењу ове препоруке, у року од 30 дана од дана пријема мишљења са препоруком.</w:t>
      </w:r>
    </w:p>
    <w:p w:rsidR="00EB6433" w:rsidRPr="00186FDD" w:rsidRDefault="00EB6433" w:rsidP="0045709C">
      <w:pPr>
        <w:tabs>
          <w:tab w:val="left" w:pos="450"/>
        </w:tabs>
        <w:autoSpaceDE w:val="0"/>
        <w:autoSpaceDN w:val="0"/>
        <w:adjustRightInd w:val="0"/>
        <w:spacing w:after="120" w:line="240" w:lineRule="auto"/>
        <w:jc w:val="both"/>
        <w:rPr>
          <w:rFonts w:ascii="Arial" w:eastAsia="Calibri" w:hAnsi="Arial" w:cs="Arial"/>
          <w:lang w:val="sr-Cyrl-CS"/>
        </w:rPr>
      </w:pPr>
      <w:r w:rsidRPr="00186FDD">
        <w:rPr>
          <w:rFonts w:ascii="Arial" w:eastAsia="Calibri" w:hAnsi="Arial" w:cs="Arial"/>
          <w:lang w:val="sr-Cyrl-CS"/>
        </w:rPr>
        <w:t xml:space="preserve">Сагласно </w:t>
      </w:r>
      <w:r w:rsidRPr="00186FDD">
        <w:rPr>
          <w:rFonts w:ascii="Arial" w:eastAsia="Calibri" w:hAnsi="Arial" w:cs="Arial"/>
        </w:rPr>
        <w:t>члану</w:t>
      </w:r>
      <w:r w:rsidRPr="00186FDD">
        <w:rPr>
          <w:rFonts w:ascii="Arial" w:eastAsia="Calibri" w:hAnsi="Arial" w:cs="Arial"/>
          <w:lang w:val="sr-Cyrl-CS"/>
        </w:rPr>
        <w:t xml:space="preserve"> 40. Закона о забрани дискриминације, уколико </w:t>
      </w:r>
      <w:r w:rsidR="00201E1E">
        <w:rPr>
          <w:rFonts w:ascii="Arial" w:eastAsia="Calibri" w:hAnsi="Arial" w:cs="Arial"/>
          <w:noProof/>
          <w:lang w:val="sr-Cyrl-CS"/>
        </w:rPr>
        <w:t>Б. Б.</w:t>
      </w:r>
      <w:r w:rsidR="004C22B0" w:rsidRPr="00186FDD">
        <w:rPr>
          <w:rFonts w:ascii="Arial" w:eastAsia="Calibri" w:hAnsi="Arial" w:cs="Arial"/>
          <w:noProof/>
          <w:lang w:val="sr-Cyrl-CS"/>
        </w:rPr>
        <w:t xml:space="preserve"> </w:t>
      </w:r>
      <w:r w:rsidRPr="00186FDD">
        <w:rPr>
          <w:rFonts w:ascii="Arial" w:eastAsia="Calibri" w:hAnsi="Arial" w:cs="Arial"/>
          <w:lang w:val="sr-Cyrl-CS"/>
        </w:rPr>
        <w:t>не поступи по препоруци у року од 30 дана, биће донето решење о изрицању мере опомене, против којег није допуштена жалба, а за случај да ов</w:t>
      </w:r>
      <w:r w:rsidR="006E5A60" w:rsidRPr="00186FDD">
        <w:rPr>
          <w:rFonts w:ascii="Arial" w:eastAsia="Calibri" w:hAnsi="Arial" w:cs="Arial"/>
          <w:lang w:val="sr-Cyrl-CS"/>
        </w:rPr>
        <w:t>о решење не спроведе, Повереник</w:t>
      </w:r>
      <w:r w:rsidRPr="00186FDD">
        <w:rPr>
          <w:rFonts w:ascii="Arial" w:eastAsia="Calibri" w:hAnsi="Arial" w:cs="Arial"/>
          <w:lang w:val="sr-Cyrl-CS"/>
        </w:rPr>
        <w:t xml:space="preserve"> за заштиту равноправности може о томе обавестити јавност преко средстава јавног информисања и на други погодан начин.</w:t>
      </w:r>
    </w:p>
    <w:p w:rsidR="00EB6433" w:rsidRPr="00186FDD" w:rsidRDefault="00EB6433" w:rsidP="0045709C">
      <w:pPr>
        <w:tabs>
          <w:tab w:val="left" w:pos="450"/>
        </w:tabs>
        <w:autoSpaceDE w:val="0"/>
        <w:autoSpaceDN w:val="0"/>
        <w:adjustRightInd w:val="0"/>
        <w:spacing w:after="120" w:line="240" w:lineRule="auto"/>
        <w:jc w:val="both"/>
        <w:rPr>
          <w:rFonts w:ascii="Arial" w:eastAsia="Calibri" w:hAnsi="Arial" w:cs="Arial"/>
          <w:lang w:val="sr-Cyrl-CS"/>
        </w:rPr>
      </w:pPr>
      <w:r w:rsidRPr="00186FDD">
        <w:rPr>
          <w:rFonts w:ascii="Arial" w:eastAsia="Calibri"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EB6433" w:rsidRPr="00EB6433" w:rsidRDefault="00EB6433" w:rsidP="0045709C">
      <w:pPr>
        <w:tabs>
          <w:tab w:val="left" w:pos="450"/>
        </w:tabs>
        <w:autoSpaceDE w:val="0"/>
        <w:autoSpaceDN w:val="0"/>
        <w:adjustRightInd w:val="0"/>
        <w:spacing w:before="120" w:after="0" w:line="240" w:lineRule="auto"/>
        <w:jc w:val="both"/>
        <w:rPr>
          <w:rFonts w:ascii="Arial" w:eastAsia="Calibri" w:hAnsi="Arial" w:cs="Arial"/>
        </w:rPr>
      </w:pPr>
    </w:p>
    <w:tbl>
      <w:tblPr>
        <w:tblW w:w="0" w:type="auto"/>
        <w:tblLook w:val="04A0" w:firstRow="1" w:lastRow="0" w:firstColumn="1" w:lastColumn="0" w:noHBand="0" w:noVBand="1"/>
      </w:tblPr>
      <w:tblGrid>
        <w:gridCol w:w="3169"/>
        <w:gridCol w:w="2409"/>
        <w:gridCol w:w="3998"/>
      </w:tblGrid>
      <w:tr w:rsidR="00EB6433" w:rsidRPr="00EB6433" w:rsidTr="00534D9F">
        <w:trPr>
          <w:trHeight w:val="503"/>
        </w:trPr>
        <w:tc>
          <w:tcPr>
            <w:tcW w:w="3169" w:type="dxa"/>
          </w:tcPr>
          <w:p w:rsidR="00EB6433" w:rsidRPr="00EB6433" w:rsidRDefault="00EB6433" w:rsidP="0045709C">
            <w:pPr>
              <w:spacing w:before="120" w:after="0" w:line="240" w:lineRule="auto"/>
              <w:rPr>
                <w:rFonts w:ascii="Arial" w:eastAsia="Times New Roman" w:hAnsi="Arial" w:cs="Arial"/>
                <w:lang w:val="sr-Cyrl-CS"/>
              </w:rPr>
            </w:pPr>
          </w:p>
          <w:p w:rsidR="00EB6433" w:rsidRPr="00EB6433" w:rsidRDefault="00EB6433" w:rsidP="0045709C">
            <w:pPr>
              <w:spacing w:line="240" w:lineRule="auto"/>
              <w:rPr>
                <w:rFonts w:ascii="Arial" w:eastAsia="Times New Roman" w:hAnsi="Arial" w:cs="Arial"/>
                <w:lang w:val="sr-Cyrl-CS"/>
              </w:rPr>
            </w:pPr>
          </w:p>
          <w:p w:rsidR="00EB6433" w:rsidRPr="00EB6433" w:rsidRDefault="00EB6433" w:rsidP="0045709C">
            <w:pPr>
              <w:spacing w:line="240" w:lineRule="auto"/>
              <w:rPr>
                <w:rFonts w:ascii="Arial" w:eastAsia="Times New Roman" w:hAnsi="Arial" w:cs="Arial"/>
                <w:lang w:val="sr-Cyrl-CS"/>
              </w:rPr>
            </w:pPr>
          </w:p>
          <w:p w:rsidR="00EB6433" w:rsidRPr="00EB6433" w:rsidRDefault="00EB6433" w:rsidP="0045709C">
            <w:pPr>
              <w:spacing w:line="240" w:lineRule="auto"/>
              <w:rPr>
                <w:rFonts w:ascii="Arial" w:eastAsia="Times New Roman" w:hAnsi="Arial" w:cs="Arial"/>
                <w:lang w:val="sr-Cyrl-CS"/>
              </w:rPr>
            </w:pPr>
          </w:p>
        </w:tc>
        <w:tc>
          <w:tcPr>
            <w:tcW w:w="2409" w:type="dxa"/>
          </w:tcPr>
          <w:p w:rsidR="00EB6433" w:rsidRPr="00EB6433" w:rsidRDefault="00EB6433" w:rsidP="0045709C">
            <w:pPr>
              <w:tabs>
                <w:tab w:val="left" w:pos="1134"/>
              </w:tabs>
              <w:spacing w:before="120" w:after="0" w:line="240" w:lineRule="auto"/>
              <w:rPr>
                <w:rFonts w:ascii="Arial" w:eastAsia="Times New Roman" w:hAnsi="Arial" w:cs="Arial"/>
                <w:lang w:val="sr-Cyrl-CS" w:eastAsia="sr-Cyrl-CS"/>
              </w:rPr>
            </w:pPr>
          </w:p>
        </w:tc>
        <w:tc>
          <w:tcPr>
            <w:tcW w:w="3998" w:type="dxa"/>
          </w:tcPr>
          <w:p w:rsidR="00EB6433" w:rsidRDefault="00EB6433" w:rsidP="0045709C">
            <w:pPr>
              <w:tabs>
                <w:tab w:val="left" w:pos="1134"/>
              </w:tabs>
              <w:spacing w:before="120" w:after="0" w:line="240" w:lineRule="auto"/>
              <w:jc w:val="center"/>
              <w:rPr>
                <w:rFonts w:ascii="Arial" w:eastAsia="Times New Roman" w:hAnsi="Arial" w:cs="Arial"/>
                <w:b/>
                <w:lang w:val="sr-Cyrl-CS" w:eastAsia="sr-Cyrl-CS"/>
              </w:rPr>
            </w:pPr>
            <w:r w:rsidRPr="00EB6433">
              <w:rPr>
                <w:rFonts w:ascii="Arial" w:eastAsia="Times New Roman" w:hAnsi="Arial" w:cs="Arial"/>
                <w:b/>
                <w:lang w:val="sr-Cyrl-CS" w:eastAsia="sr-Cyrl-CS"/>
              </w:rPr>
              <w:t>ПОВЕРЕНИЦА ЗА ЗАШТИТУ РАВНОПРАВНОСТИ</w:t>
            </w:r>
          </w:p>
          <w:p w:rsidR="00BB1EE0" w:rsidRPr="00EB6433" w:rsidRDefault="00BB1EE0" w:rsidP="0045709C">
            <w:pPr>
              <w:tabs>
                <w:tab w:val="left" w:pos="1134"/>
              </w:tabs>
              <w:spacing w:before="120" w:after="0" w:line="240" w:lineRule="auto"/>
              <w:jc w:val="center"/>
              <w:rPr>
                <w:rFonts w:ascii="Arial" w:eastAsia="Times New Roman" w:hAnsi="Arial" w:cs="Arial"/>
                <w:b/>
                <w:lang w:val="sr-Cyrl-CS" w:eastAsia="sr-Cyrl-CS"/>
              </w:rPr>
            </w:pPr>
          </w:p>
          <w:p w:rsidR="00EB6433" w:rsidRPr="00EB6433" w:rsidRDefault="00EB6433" w:rsidP="0045709C">
            <w:pPr>
              <w:tabs>
                <w:tab w:val="left" w:pos="1134"/>
              </w:tabs>
              <w:spacing w:before="120" w:after="0" w:line="240" w:lineRule="auto"/>
              <w:jc w:val="center"/>
              <w:rPr>
                <w:rFonts w:ascii="Arial" w:eastAsia="Times New Roman" w:hAnsi="Arial" w:cs="Arial"/>
                <w:b/>
                <w:lang w:eastAsia="sr-Cyrl-CS"/>
              </w:rPr>
            </w:pPr>
            <w:r w:rsidRPr="00EB6433">
              <w:rPr>
                <w:rFonts w:ascii="Arial" w:eastAsia="Times New Roman" w:hAnsi="Arial" w:cs="Arial"/>
                <w:b/>
                <w:lang w:val="sr-Cyrl-CS" w:eastAsia="sr-Cyrl-CS"/>
              </w:rPr>
              <w:t xml:space="preserve"> Бранкица Јанковић</w:t>
            </w:r>
          </w:p>
          <w:p w:rsidR="00EB6433" w:rsidRPr="00EB6433" w:rsidRDefault="00EB6433" w:rsidP="0045709C">
            <w:pPr>
              <w:tabs>
                <w:tab w:val="left" w:pos="1134"/>
              </w:tabs>
              <w:spacing w:before="120" w:after="0" w:line="240" w:lineRule="auto"/>
              <w:jc w:val="center"/>
              <w:rPr>
                <w:rFonts w:ascii="Arial" w:eastAsia="Times New Roman" w:hAnsi="Arial" w:cs="Arial"/>
                <w:b/>
                <w:lang w:val="sr-Cyrl-CS" w:eastAsia="sr-Cyrl-CS"/>
              </w:rPr>
            </w:pPr>
          </w:p>
          <w:p w:rsidR="00EB6433" w:rsidRPr="00EB6433" w:rsidRDefault="00EB6433" w:rsidP="0045709C">
            <w:pPr>
              <w:tabs>
                <w:tab w:val="left" w:pos="1134"/>
              </w:tabs>
              <w:spacing w:before="120" w:after="0" w:line="240" w:lineRule="auto"/>
              <w:jc w:val="center"/>
              <w:rPr>
                <w:rFonts w:ascii="Arial" w:eastAsia="Times New Roman" w:hAnsi="Arial" w:cs="Arial"/>
                <w:lang w:val="sr-Cyrl-CS" w:eastAsia="sr-Cyrl-CS"/>
              </w:rPr>
            </w:pPr>
          </w:p>
        </w:tc>
      </w:tr>
    </w:tbl>
    <w:p w:rsidR="00534D9F" w:rsidRPr="00711017" w:rsidRDefault="00534D9F" w:rsidP="0045709C">
      <w:pPr>
        <w:spacing w:line="240" w:lineRule="auto"/>
        <w:rPr>
          <w:sz w:val="18"/>
          <w:szCs w:val="18"/>
        </w:rPr>
      </w:pPr>
    </w:p>
    <w:sectPr w:rsidR="00534D9F" w:rsidRPr="00711017" w:rsidSect="0045709C">
      <w:footerReference w:type="default" r:id="rId10"/>
      <w:footerReference w:type="first" r:id="rId11"/>
      <w:pgSz w:w="11906" w:h="16838"/>
      <w:pgMar w:top="426"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CE9" w:rsidRDefault="00D07CE9" w:rsidP="00EB6433">
      <w:pPr>
        <w:spacing w:after="0" w:line="240" w:lineRule="auto"/>
      </w:pPr>
      <w:r>
        <w:separator/>
      </w:r>
    </w:p>
  </w:endnote>
  <w:endnote w:type="continuationSeparator" w:id="0">
    <w:p w:rsidR="00D07CE9" w:rsidRDefault="00D07CE9" w:rsidP="00EB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9F" w:rsidRDefault="00D07CE9">
    <w:pPr>
      <w:pStyle w:val="Footer"/>
    </w:pPr>
    <w:r>
      <w:rPr>
        <w:noProof/>
        <w:lang w:val="en-US"/>
      </w:rPr>
      <w:pict>
        <v:rect id="Rectangle 6" o:spid="_x0000_s2050" style="position:absolute;margin-left:56pt;margin-top:776.25pt;width:485.5pt;height:45pt;z-index:251653120;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534D9F" w:rsidRDefault="00534D9F" w:rsidP="00534D9F">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534D9F" w:rsidRPr="00721C4C" w:rsidRDefault="00534D9F" w:rsidP="00534D9F">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621726"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621726" w:rsidRPr="00721C4C">
                  <w:rPr>
                    <w:rFonts w:ascii="Arial" w:hAnsi="Arial" w:cs="Arial"/>
                    <w:sz w:val="16"/>
                    <w:szCs w:val="16"/>
                  </w:rPr>
                  <w:fldChar w:fldCharType="separate"/>
                </w:r>
                <w:r w:rsidR="000832F5">
                  <w:rPr>
                    <w:rFonts w:ascii="Arial" w:hAnsi="Arial" w:cs="Arial"/>
                    <w:noProof/>
                    <w:sz w:val="16"/>
                    <w:szCs w:val="16"/>
                  </w:rPr>
                  <w:t>2</w:t>
                </w:r>
                <w:r w:rsidR="00621726" w:rsidRPr="00721C4C">
                  <w:rPr>
                    <w:rFonts w:ascii="Arial" w:hAnsi="Arial" w:cs="Arial"/>
                    <w:sz w:val="16"/>
                    <w:szCs w:val="16"/>
                  </w:rPr>
                  <w:fldChar w:fldCharType="end"/>
                </w:r>
              </w:p>
            </w:txbxContent>
          </v:textbox>
          <w10:wrap type="square" anchorx="page" anchory="page"/>
        </v:rect>
      </w:pict>
    </w:r>
    <w:r w:rsidR="00534D9F">
      <w:rPr>
        <w:noProof/>
        <w:lang w:val="en-US"/>
      </w:rPr>
      <w:drawing>
        <wp:anchor distT="0" distB="0" distL="114300" distR="114300" simplePos="0" relativeHeight="251657216"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9F" w:rsidRDefault="00534D9F">
    <w:pPr>
      <w:pStyle w:val="Footer"/>
    </w:pPr>
    <w:r>
      <w:rPr>
        <w:noProof/>
        <w:lang w:val="en-US"/>
      </w:rPr>
      <w:drawing>
        <wp:anchor distT="0" distB="0" distL="114300" distR="114300" simplePos="0" relativeHeight="251665408"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D07CE9">
      <w:rPr>
        <w:noProof/>
        <w:lang w:val="en-US"/>
      </w:rPr>
      <w:pict>
        <v:rect id="Rectangle 3" o:spid="_x0000_s2049" style="position:absolute;margin-left:56.05pt;margin-top:776.2pt;width:485.5pt;height:45pt;z-index:251660288;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534D9F" w:rsidRDefault="00534D9F" w:rsidP="00534D9F">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534D9F" w:rsidRPr="00721C4C" w:rsidRDefault="00534D9F" w:rsidP="00534D9F">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Булевар краља Александра 84, 11000 Београд, Република Србија           </w:t>
                </w:r>
                <w:hyperlink r:id="rId3" w:history="1">
                  <w:r>
                    <w:rPr>
                      <w:rFonts w:ascii="Arial" w:hAnsi="Arial"/>
                      <w:spacing w:val="-1"/>
                      <w:sz w:val="16"/>
                    </w:rPr>
                    <w:t>poverenik@ravnopravnost.gov.rs</w:t>
                  </w:r>
                </w:hyperlink>
              </w:p>
            </w:txbxContent>
          </v:textbox>
          <w10:wrap type="square"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CE9" w:rsidRDefault="00D07CE9" w:rsidP="00EB6433">
      <w:pPr>
        <w:spacing w:after="0" w:line="240" w:lineRule="auto"/>
      </w:pPr>
      <w:r>
        <w:separator/>
      </w:r>
    </w:p>
  </w:footnote>
  <w:footnote w:type="continuationSeparator" w:id="0">
    <w:p w:rsidR="00D07CE9" w:rsidRDefault="00D07CE9" w:rsidP="00EB6433">
      <w:pPr>
        <w:spacing w:after="0" w:line="240" w:lineRule="auto"/>
      </w:pPr>
      <w:r>
        <w:continuationSeparator/>
      </w:r>
    </w:p>
  </w:footnote>
  <w:footnote w:id="1">
    <w:p w:rsidR="00534D9F" w:rsidRPr="00880D11" w:rsidRDefault="00534D9F">
      <w:pPr>
        <w:pStyle w:val="FootnoteText"/>
        <w:rPr>
          <w:rFonts w:ascii="Arial" w:hAnsi="Arial" w:cs="Arial"/>
          <w:sz w:val="16"/>
          <w:szCs w:val="16"/>
        </w:rPr>
      </w:pPr>
      <w:r w:rsidRPr="00880D11">
        <w:rPr>
          <w:rStyle w:val="FootnoteReference"/>
          <w:rFonts w:ascii="Arial" w:hAnsi="Arial" w:cs="Arial"/>
          <w:sz w:val="16"/>
          <w:szCs w:val="16"/>
        </w:rPr>
        <w:footnoteRef/>
      </w:r>
      <w:r w:rsidRPr="00880D11">
        <w:rPr>
          <w:rFonts w:ascii="Arial" w:hAnsi="Arial" w:cs="Arial"/>
          <w:sz w:val="16"/>
          <w:szCs w:val="16"/>
        </w:rPr>
        <w:t xml:space="preserve"> </w:t>
      </w:r>
      <w:r w:rsidRPr="00880D11">
        <w:rPr>
          <w:rFonts w:ascii="Arial" w:hAnsi="Arial" w:cs="Arial"/>
          <w:sz w:val="16"/>
          <w:szCs w:val="16"/>
          <w:lang w:val="sr-Cyrl-CS"/>
        </w:rPr>
        <w:t>Закон о забрани дискриминације (</w:t>
      </w:r>
      <w:r w:rsidRPr="00880D11">
        <w:rPr>
          <w:rFonts w:ascii="Arial" w:hAnsi="Arial" w:cs="Arial"/>
          <w:iCs/>
          <w:sz w:val="16"/>
          <w:szCs w:val="16"/>
        </w:rPr>
        <w:t>„</w:t>
      </w:r>
      <w:r w:rsidRPr="00880D11">
        <w:rPr>
          <w:rFonts w:ascii="Arial" w:hAnsi="Arial" w:cs="Arial"/>
          <w:iCs/>
          <w:sz w:val="16"/>
          <w:szCs w:val="16"/>
          <w:lang w:val="sr-Cyrl-CS"/>
        </w:rPr>
        <w:t>Сл. гласник РС", бр. 22/09 и 52/21</w:t>
      </w:r>
      <w:r w:rsidRPr="00880D11">
        <w:rPr>
          <w:rFonts w:ascii="Arial" w:hAnsi="Arial" w:cs="Arial"/>
          <w:sz w:val="16"/>
          <w:szCs w:val="16"/>
          <w:lang w:val="sr-Cyrl-CS"/>
        </w:rPr>
        <w:t>), члан 1. став 2.</w:t>
      </w:r>
    </w:p>
  </w:footnote>
  <w:footnote w:id="2">
    <w:p w:rsidR="00534D9F" w:rsidRPr="00E26E11" w:rsidRDefault="00534D9F"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eastAsia="Georgia" w:hAnsi="Arial" w:cs="Arial"/>
          <w:bCs/>
          <w:sz w:val="16"/>
          <w:szCs w:val="16"/>
        </w:rPr>
        <w:t>„</w:t>
      </w:r>
      <w:r w:rsidRPr="00E26E11">
        <w:rPr>
          <w:rFonts w:ascii="Arial" w:eastAsia="Georgia" w:hAnsi="Arial" w:cs="Arial"/>
          <w:bCs/>
          <w:sz w:val="16"/>
          <w:szCs w:val="16"/>
        </w:rPr>
        <w:t>Сл. г</w:t>
      </w:r>
      <w:r>
        <w:rPr>
          <w:rFonts w:ascii="Arial" w:eastAsia="Georgia" w:hAnsi="Arial" w:cs="Arial"/>
          <w:bCs/>
          <w:sz w:val="16"/>
          <w:szCs w:val="16"/>
        </w:rPr>
        <w:t>ласник РС“, бр. 98/06 и 115/</w:t>
      </w:r>
      <w:r w:rsidRPr="00E26E11">
        <w:rPr>
          <w:rFonts w:ascii="Arial" w:eastAsia="Georgia" w:hAnsi="Arial" w:cs="Arial"/>
          <w:bCs/>
          <w:sz w:val="16"/>
          <w:szCs w:val="16"/>
        </w:rPr>
        <w:t>21</w:t>
      </w:r>
    </w:p>
  </w:footnote>
  <w:footnote w:id="3">
    <w:p w:rsidR="00534D9F" w:rsidRPr="00E26E11" w:rsidRDefault="00534D9F" w:rsidP="001E6B63">
      <w:pPr>
        <w:pStyle w:val="FootnoteText"/>
        <w:jc w:val="both"/>
        <w:rPr>
          <w:rFonts w:ascii="Arial" w:hAnsi="Arial" w:cs="Arial"/>
          <w:sz w:val="16"/>
          <w:szCs w:val="16"/>
        </w:rPr>
      </w:pPr>
      <w:r w:rsidRPr="00D7569B">
        <w:rPr>
          <w:rStyle w:val="FootnoteReference"/>
          <w:rFonts w:ascii="Arial" w:hAnsi="Arial" w:cs="Arial"/>
          <w:sz w:val="16"/>
          <w:szCs w:val="16"/>
        </w:rPr>
        <w:footnoteRef/>
      </w:r>
      <w:r w:rsidRPr="00D7569B">
        <w:rPr>
          <w:rFonts w:ascii="Arial" w:hAnsi="Arial" w:cs="Arial"/>
          <w:sz w:val="16"/>
          <w:szCs w:val="16"/>
        </w:rPr>
        <w:t xml:space="preserve"> </w:t>
      </w:r>
      <w:r>
        <w:rPr>
          <w:rFonts w:ascii="Arial" w:hAnsi="Arial" w:cs="Arial"/>
          <w:bCs/>
          <w:sz w:val="16"/>
          <w:szCs w:val="16"/>
        </w:rPr>
        <w:t>„</w:t>
      </w:r>
      <w:r w:rsidRPr="00E26E11">
        <w:rPr>
          <w:rFonts w:ascii="Arial" w:hAnsi="Arial" w:cs="Arial"/>
          <w:bCs/>
          <w:sz w:val="16"/>
          <w:szCs w:val="16"/>
        </w:rPr>
        <w:t>Сл.</w:t>
      </w:r>
      <w:r>
        <w:rPr>
          <w:rFonts w:ascii="Arial" w:hAnsi="Arial" w:cs="Arial"/>
          <w:bCs/>
          <w:sz w:val="16"/>
          <w:szCs w:val="16"/>
        </w:rPr>
        <w:t xml:space="preserve"> лист СЦГ - Међународни уговори“, бр. 9/03, 5/05, 7/05 - испр. и „</w:t>
      </w:r>
      <w:r w:rsidRPr="00E26E11">
        <w:rPr>
          <w:rFonts w:ascii="Arial" w:hAnsi="Arial" w:cs="Arial"/>
          <w:bCs/>
          <w:sz w:val="16"/>
          <w:szCs w:val="16"/>
        </w:rPr>
        <w:t>Сл. гласник РС -</w:t>
      </w:r>
      <w:r>
        <w:rPr>
          <w:rFonts w:ascii="Arial" w:hAnsi="Arial" w:cs="Arial"/>
          <w:bCs/>
          <w:sz w:val="16"/>
          <w:szCs w:val="16"/>
        </w:rPr>
        <w:t xml:space="preserve"> Међународни уговори“, бр. 12/10 и 10/</w:t>
      </w:r>
      <w:r w:rsidRPr="00E26E11">
        <w:rPr>
          <w:rFonts w:ascii="Arial" w:hAnsi="Arial" w:cs="Arial"/>
          <w:bCs/>
          <w:sz w:val="16"/>
          <w:szCs w:val="16"/>
        </w:rPr>
        <w:t>15</w:t>
      </w:r>
    </w:p>
  </w:footnote>
  <w:footnote w:id="4">
    <w:p w:rsidR="00951BD5" w:rsidRPr="00951BD5" w:rsidRDefault="00951BD5">
      <w:pPr>
        <w:pStyle w:val="FootnoteText"/>
      </w:pPr>
      <w:r>
        <w:rPr>
          <w:rStyle w:val="FootnoteReference"/>
        </w:rPr>
        <w:footnoteRef/>
      </w:r>
      <w:r>
        <w:t xml:space="preserve">  доступно на </w:t>
      </w:r>
      <w:hyperlink r:id="rId1" w:history="1">
        <w:r w:rsidRPr="00AD6993">
          <w:rPr>
            <w:rStyle w:val="Hyperlink"/>
          </w:rPr>
          <w:t>http://labris.org.rs/sites/default/files/istrazivanje%20potreba%20SRB.pdf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4CB3"/>
    <w:multiLevelType w:val="multilevel"/>
    <w:tmpl w:val="7914930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F10E58"/>
    <w:multiLevelType w:val="hybridMultilevel"/>
    <w:tmpl w:val="0FA4805A"/>
    <w:lvl w:ilvl="0" w:tplc="95C2CB4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07363"/>
    <w:multiLevelType w:val="multilevel"/>
    <w:tmpl w:val="B590EB9E"/>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
    <w:nsid w:val="1A086A0B"/>
    <w:multiLevelType w:val="hybridMultilevel"/>
    <w:tmpl w:val="C6A4F412"/>
    <w:lvl w:ilvl="0" w:tplc="27C4FE24">
      <w:start w:val="2"/>
      <w:numFmt w:val="bullet"/>
      <w:lvlText w:val="–"/>
      <w:lvlJc w:val="left"/>
      <w:pPr>
        <w:ind w:left="770" w:hanging="360"/>
      </w:pPr>
      <w:rPr>
        <w:rFonts w:ascii="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A833F4F"/>
    <w:multiLevelType w:val="multilevel"/>
    <w:tmpl w:val="6074DC84"/>
    <w:lvl w:ilvl="0">
      <w:start w:val="1"/>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FDD1915"/>
    <w:multiLevelType w:val="hybridMultilevel"/>
    <w:tmpl w:val="A35C92E8"/>
    <w:lvl w:ilvl="0" w:tplc="27C4FE24">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F3BAE"/>
    <w:multiLevelType w:val="hybridMultilevel"/>
    <w:tmpl w:val="4BEC0B16"/>
    <w:lvl w:ilvl="0" w:tplc="146A650E">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0AD3C14"/>
    <w:multiLevelType w:val="hybridMultilevel"/>
    <w:tmpl w:val="E29C110A"/>
    <w:lvl w:ilvl="0" w:tplc="5B400A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B0851"/>
    <w:multiLevelType w:val="hybridMultilevel"/>
    <w:tmpl w:val="9462D89A"/>
    <w:lvl w:ilvl="0" w:tplc="993AC50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93843"/>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1">
    <w:nsid w:val="30E1764E"/>
    <w:multiLevelType w:val="hybridMultilevel"/>
    <w:tmpl w:val="9D542CA6"/>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3">
    <w:nsid w:val="32785686"/>
    <w:multiLevelType w:val="hybridMultilevel"/>
    <w:tmpl w:val="153E3F68"/>
    <w:lvl w:ilvl="0" w:tplc="3524343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A28A0"/>
    <w:multiLevelType w:val="multilevel"/>
    <w:tmpl w:val="69348B4A"/>
    <w:lvl w:ilvl="0">
      <w:start w:val="1"/>
      <w:numFmt w:val="decimal"/>
      <w:lvlText w:val="%1."/>
      <w:lvlJc w:val="left"/>
      <w:pPr>
        <w:ind w:left="360" w:hanging="360"/>
      </w:pPr>
      <w:rPr>
        <w:rFonts w:hint="default"/>
        <w:color w:val="auto"/>
      </w:rPr>
    </w:lvl>
    <w:lvl w:ilvl="1">
      <w:start w:val="1"/>
      <w:numFmt w:val="decimal"/>
      <w:lvlText w:val="%1.%2."/>
      <w:lvlJc w:val="left"/>
      <w:pPr>
        <w:ind w:left="8092" w:hanging="720"/>
      </w:pPr>
      <w:rPr>
        <w:rFonts w:hint="default"/>
        <w:b/>
        <w:color w:val="auto"/>
      </w:rPr>
    </w:lvl>
    <w:lvl w:ilvl="2">
      <w:start w:val="1"/>
      <w:numFmt w:val="decimal"/>
      <w:lvlText w:val="%1.%2.%3."/>
      <w:lvlJc w:val="left"/>
      <w:pPr>
        <w:ind w:left="15464" w:hanging="720"/>
      </w:pPr>
      <w:rPr>
        <w:rFonts w:hint="default"/>
        <w:color w:val="auto"/>
      </w:rPr>
    </w:lvl>
    <w:lvl w:ilvl="3">
      <w:start w:val="1"/>
      <w:numFmt w:val="decimal"/>
      <w:lvlText w:val="%1.%2.%3.%4."/>
      <w:lvlJc w:val="left"/>
      <w:pPr>
        <w:ind w:left="23196" w:hanging="1080"/>
      </w:pPr>
      <w:rPr>
        <w:rFonts w:hint="default"/>
        <w:color w:val="auto"/>
      </w:rPr>
    </w:lvl>
    <w:lvl w:ilvl="4">
      <w:start w:val="1"/>
      <w:numFmt w:val="decimal"/>
      <w:lvlText w:val="%1.%2.%3.%4.%5."/>
      <w:lvlJc w:val="left"/>
      <w:pPr>
        <w:ind w:left="30568" w:hanging="1080"/>
      </w:pPr>
      <w:rPr>
        <w:rFonts w:hint="default"/>
        <w:color w:val="auto"/>
      </w:rPr>
    </w:lvl>
    <w:lvl w:ilvl="5">
      <w:start w:val="1"/>
      <w:numFmt w:val="decimal"/>
      <w:lvlText w:val="%1.%2.%3.%4.%5.%6."/>
      <w:lvlJc w:val="left"/>
      <w:pPr>
        <w:ind w:left="-27236" w:hanging="1440"/>
      </w:pPr>
      <w:rPr>
        <w:rFonts w:hint="default"/>
        <w:color w:val="auto"/>
      </w:rPr>
    </w:lvl>
    <w:lvl w:ilvl="6">
      <w:start w:val="1"/>
      <w:numFmt w:val="decimal"/>
      <w:lvlText w:val="%1.%2.%3.%4.%5.%6.%7."/>
      <w:lvlJc w:val="left"/>
      <w:pPr>
        <w:ind w:left="-19864" w:hanging="1440"/>
      </w:pPr>
      <w:rPr>
        <w:rFonts w:hint="default"/>
        <w:color w:val="auto"/>
      </w:rPr>
    </w:lvl>
    <w:lvl w:ilvl="7">
      <w:start w:val="1"/>
      <w:numFmt w:val="decimal"/>
      <w:lvlText w:val="%1.%2.%3.%4.%5.%6.%7.%8."/>
      <w:lvlJc w:val="left"/>
      <w:pPr>
        <w:ind w:left="-12132" w:hanging="1800"/>
      </w:pPr>
      <w:rPr>
        <w:rFonts w:hint="default"/>
        <w:color w:val="auto"/>
      </w:rPr>
    </w:lvl>
    <w:lvl w:ilvl="8">
      <w:start w:val="1"/>
      <w:numFmt w:val="decimal"/>
      <w:lvlText w:val="%1.%2.%3.%4.%5.%6.%7.%8.%9."/>
      <w:lvlJc w:val="left"/>
      <w:pPr>
        <w:ind w:left="-4760" w:hanging="1800"/>
      </w:pPr>
      <w:rPr>
        <w:rFonts w:hint="default"/>
        <w:color w:val="auto"/>
      </w:rPr>
    </w:lvl>
  </w:abstractNum>
  <w:abstractNum w:abstractNumId="15">
    <w:nsid w:val="37D7025A"/>
    <w:multiLevelType w:val="multilevel"/>
    <w:tmpl w:val="41329206"/>
    <w:lvl w:ilvl="0">
      <w:start w:val="3"/>
      <w:numFmt w:val="decimal"/>
      <w:lvlText w:val="%1."/>
      <w:lvlJc w:val="left"/>
      <w:pPr>
        <w:ind w:left="360" w:hanging="360"/>
      </w:pPr>
      <w:rPr>
        <w:rFonts w:eastAsia="Calibri" w:hint="default"/>
      </w:rPr>
    </w:lvl>
    <w:lvl w:ilvl="1">
      <w:start w:val="7"/>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6">
    <w:nsid w:val="3DB46FE3"/>
    <w:multiLevelType w:val="hybridMultilevel"/>
    <w:tmpl w:val="48149760"/>
    <w:lvl w:ilvl="0" w:tplc="207ECE7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B90D73"/>
    <w:multiLevelType w:val="hybridMultilevel"/>
    <w:tmpl w:val="2AF6885C"/>
    <w:lvl w:ilvl="0" w:tplc="D0E8D5D8">
      <w:start w:val="1"/>
      <w:numFmt w:val="decimal"/>
      <w:lvlText w:val="%1."/>
      <w:lvlJc w:val="left"/>
      <w:pPr>
        <w:ind w:left="1069" w:hanging="360"/>
      </w:pPr>
      <w:rPr>
        <w:rFonts w:hint="default"/>
        <w:b/>
        <w:i w:val="0"/>
        <w:color w:val="00000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8">
    <w:nsid w:val="43AC56F0"/>
    <w:multiLevelType w:val="multilevel"/>
    <w:tmpl w:val="79D09470"/>
    <w:lvl w:ilvl="0">
      <w:start w:val="2"/>
      <w:numFmt w:val="decimal"/>
      <w:lvlText w:val="%1."/>
      <w:lvlJc w:val="left"/>
      <w:pPr>
        <w:ind w:left="360" w:hanging="360"/>
      </w:pPr>
      <w:rPr>
        <w:rFonts w:eastAsia="Calibri"/>
        <w:i w:val="0"/>
      </w:rPr>
    </w:lvl>
    <w:lvl w:ilvl="1">
      <w:start w:val="1"/>
      <w:numFmt w:val="decimal"/>
      <w:lvlText w:val="%1.%2."/>
      <w:lvlJc w:val="left"/>
      <w:pPr>
        <w:ind w:left="0" w:firstLine="0"/>
      </w:pPr>
      <w:rPr>
        <w:rFonts w:eastAsia="Calibri"/>
        <w:b/>
        <w:i w:val="0"/>
        <w:sz w:val="22"/>
        <w:szCs w:val="22"/>
      </w:rPr>
    </w:lvl>
    <w:lvl w:ilvl="2">
      <w:start w:val="1"/>
      <w:numFmt w:val="decimal"/>
      <w:lvlText w:val="%1.%2.%3."/>
      <w:lvlJc w:val="left"/>
      <w:pPr>
        <w:ind w:left="720" w:hanging="720"/>
      </w:pPr>
      <w:rPr>
        <w:rFonts w:eastAsia="Calibri"/>
        <w:i w:val="0"/>
      </w:rPr>
    </w:lvl>
    <w:lvl w:ilvl="3">
      <w:start w:val="1"/>
      <w:numFmt w:val="decimal"/>
      <w:lvlText w:val="%1.%2.%3.%4."/>
      <w:lvlJc w:val="left"/>
      <w:pPr>
        <w:ind w:left="1080" w:hanging="1080"/>
      </w:pPr>
      <w:rPr>
        <w:rFonts w:eastAsia="Calibri"/>
        <w:i w:val="0"/>
      </w:rPr>
    </w:lvl>
    <w:lvl w:ilvl="4">
      <w:start w:val="1"/>
      <w:numFmt w:val="decimal"/>
      <w:lvlText w:val="%1.%2.%3.%4.%5."/>
      <w:lvlJc w:val="left"/>
      <w:pPr>
        <w:ind w:left="1080" w:hanging="1080"/>
      </w:pPr>
      <w:rPr>
        <w:rFonts w:eastAsia="Calibri"/>
        <w:i w:val="0"/>
      </w:rPr>
    </w:lvl>
    <w:lvl w:ilvl="5">
      <w:start w:val="1"/>
      <w:numFmt w:val="decimal"/>
      <w:lvlText w:val="%1.%2.%3.%4.%5.%6."/>
      <w:lvlJc w:val="left"/>
      <w:pPr>
        <w:ind w:left="1440" w:hanging="1440"/>
      </w:pPr>
      <w:rPr>
        <w:rFonts w:eastAsia="Calibri"/>
        <w:i w:val="0"/>
      </w:rPr>
    </w:lvl>
    <w:lvl w:ilvl="6">
      <w:start w:val="1"/>
      <w:numFmt w:val="decimal"/>
      <w:lvlText w:val="%1.%2.%3.%4.%5.%6.%7."/>
      <w:lvlJc w:val="left"/>
      <w:pPr>
        <w:ind w:left="1440" w:hanging="1440"/>
      </w:pPr>
      <w:rPr>
        <w:rFonts w:eastAsia="Calibri"/>
        <w:i w:val="0"/>
      </w:rPr>
    </w:lvl>
    <w:lvl w:ilvl="7">
      <w:start w:val="1"/>
      <w:numFmt w:val="decimal"/>
      <w:lvlText w:val="%1.%2.%3.%4.%5.%6.%7.%8."/>
      <w:lvlJc w:val="left"/>
      <w:pPr>
        <w:ind w:left="1800" w:hanging="1800"/>
      </w:pPr>
      <w:rPr>
        <w:rFonts w:eastAsia="Calibri"/>
        <w:i w:val="0"/>
      </w:rPr>
    </w:lvl>
    <w:lvl w:ilvl="8">
      <w:start w:val="1"/>
      <w:numFmt w:val="decimal"/>
      <w:lvlText w:val="%1.%2.%3.%4.%5.%6.%7.%8.%9."/>
      <w:lvlJc w:val="left"/>
      <w:pPr>
        <w:ind w:left="1800" w:hanging="1800"/>
      </w:pPr>
      <w:rPr>
        <w:rFonts w:eastAsia="Calibri"/>
        <w:i w:val="0"/>
      </w:rPr>
    </w:lvl>
  </w:abstractNum>
  <w:abstractNum w:abstractNumId="19">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0">
    <w:nsid w:val="488C77B2"/>
    <w:multiLevelType w:val="multilevel"/>
    <w:tmpl w:val="DD886D6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49C01E5F"/>
    <w:multiLevelType w:val="hybridMultilevel"/>
    <w:tmpl w:val="1048EE3A"/>
    <w:lvl w:ilvl="0" w:tplc="3362B312">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4165C"/>
    <w:multiLevelType w:val="hybridMultilevel"/>
    <w:tmpl w:val="ADA2BD72"/>
    <w:lvl w:ilvl="0" w:tplc="009A753A">
      <w:start w:val="1"/>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D27DA8"/>
    <w:multiLevelType w:val="multilevel"/>
    <w:tmpl w:val="B9F6BA64"/>
    <w:lvl w:ilvl="0">
      <w:start w:val="3"/>
      <w:numFmt w:val="decimal"/>
      <w:lvlText w:val="%1."/>
      <w:lvlJc w:val="left"/>
      <w:pPr>
        <w:ind w:left="6030" w:hanging="360"/>
      </w:pPr>
      <w:rPr>
        <w:rFonts w:hint="default"/>
      </w:rPr>
    </w:lvl>
    <w:lvl w:ilvl="1">
      <w:start w:val="6"/>
      <w:numFmt w:val="decimal"/>
      <w:lvlText w:val="%1.%2."/>
      <w:lvlJc w:val="left"/>
      <w:pPr>
        <w:ind w:left="582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84B0E19"/>
    <w:multiLevelType w:val="hybridMultilevel"/>
    <w:tmpl w:val="1F209134"/>
    <w:lvl w:ilvl="0" w:tplc="A942E9D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D4182"/>
    <w:multiLevelType w:val="multilevel"/>
    <w:tmpl w:val="D7AEA6A8"/>
    <w:lvl w:ilvl="0">
      <w:start w:val="3"/>
      <w:numFmt w:val="decimal"/>
      <w:lvlText w:val="%1."/>
      <w:lvlJc w:val="left"/>
      <w:pPr>
        <w:ind w:left="480" w:hanging="48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10926" w:hanging="720"/>
      </w:pPr>
      <w:rPr>
        <w:rFonts w:hint="default"/>
      </w:rPr>
    </w:lvl>
    <w:lvl w:ilvl="3">
      <w:start w:val="1"/>
      <w:numFmt w:val="decimal"/>
      <w:lvlText w:val="%1.%2.%3.%4."/>
      <w:lvlJc w:val="left"/>
      <w:pPr>
        <w:ind w:left="16389" w:hanging="1080"/>
      </w:pPr>
      <w:rPr>
        <w:rFonts w:hint="default"/>
      </w:rPr>
    </w:lvl>
    <w:lvl w:ilvl="4">
      <w:start w:val="1"/>
      <w:numFmt w:val="decimal"/>
      <w:lvlText w:val="%1.%2.%3.%4.%5."/>
      <w:lvlJc w:val="left"/>
      <w:pPr>
        <w:ind w:left="21492" w:hanging="1080"/>
      </w:pPr>
      <w:rPr>
        <w:rFonts w:hint="default"/>
      </w:rPr>
    </w:lvl>
    <w:lvl w:ilvl="5">
      <w:start w:val="1"/>
      <w:numFmt w:val="decimal"/>
      <w:lvlText w:val="%1.%2.%3.%4.%5.%6."/>
      <w:lvlJc w:val="left"/>
      <w:pPr>
        <w:ind w:left="26955" w:hanging="1440"/>
      </w:pPr>
      <w:rPr>
        <w:rFonts w:hint="default"/>
      </w:rPr>
    </w:lvl>
    <w:lvl w:ilvl="6">
      <w:start w:val="1"/>
      <w:numFmt w:val="decimal"/>
      <w:lvlText w:val="%1.%2.%3.%4.%5.%6.%7."/>
      <w:lvlJc w:val="left"/>
      <w:pPr>
        <w:ind w:left="32058" w:hanging="1440"/>
      </w:pPr>
      <w:rPr>
        <w:rFonts w:hint="default"/>
      </w:rPr>
    </w:lvl>
    <w:lvl w:ilvl="7">
      <w:start w:val="1"/>
      <w:numFmt w:val="decimal"/>
      <w:lvlText w:val="%1.%2.%3.%4.%5.%6.%7.%8."/>
      <w:lvlJc w:val="left"/>
      <w:pPr>
        <w:ind w:left="-28015" w:hanging="1800"/>
      </w:pPr>
      <w:rPr>
        <w:rFonts w:hint="default"/>
      </w:rPr>
    </w:lvl>
    <w:lvl w:ilvl="8">
      <w:start w:val="1"/>
      <w:numFmt w:val="decimal"/>
      <w:lvlText w:val="%1.%2.%3.%4.%5.%6.%7.%8.%9."/>
      <w:lvlJc w:val="left"/>
      <w:pPr>
        <w:ind w:left="-22912" w:hanging="1800"/>
      </w:pPr>
      <w:rPr>
        <w:rFonts w:hint="default"/>
      </w:rPr>
    </w:lvl>
  </w:abstractNum>
  <w:abstractNum w:abstractNumId="27">
    <w:nsid w:val="68B10D94"/>
    <w:multiLevelType w:val="multilevel"/>
    <w:tmpl w:val="E6C6BAA0"/>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9AE05EE"/>
    <w:multiLevelType w:val="multilevel"/>
    <w:tmpl w:val="952C58A6"/>
    <w:lvl w:ilvl="0">
      <w:start w:val="3"/>
      <w:numFmt w:val="decimal"/>
      <w:lvlText w:val="%1."/>
      <w:lvlJc w:val="left"/>
      <w:pPr>
        <w:ind w:left="480" w:hanging="480"/>
      </w:pPr>
      <w:rPr>
        <w:rFonts w:hint="default"/>
      </w:rPr>
    </w:lvl>
    <w:lvl w:ilvl="1">
      <w:start w:val="1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D1756DB"/>
    <w:multiLevelType w:val="multilevel"/>
    <w:tmpl w:val="37E22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DF06415"/>
    <w:multiLevelType w:val="multilevel"/>
    <w:tmpl w:val="7A405B44"/>
    <w:lvl w:ilvl="0">
      <w:start w:val="3"/>
      <w:numFmt w:val="decimal"/>
      <w:lvlText w:val="%1."/>
      <w:lvlJc w:val="left"/>
      <w:pPr>
        <w:ind w:left="360" w:hanging="360"/>
      </w:pPr>
      <w:rPr>
        <w:rFonts w:eastAsia="Calibri" w:hint="default"/>
      </w:rPr>
    </w:lvl>
    <w:lvl w:ilvl="1">
      <w:start w:val="6"/>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31">
    <w:nsid w:val="6F707491"/>
    <w:multiLevelType w:val="multilevel"/>
    <w:tmpl w:val="478C4BA6"/>
    <w:lvl w:ilvl="0">
      <w:start w:val="3"/>
      <w:numFmt w:val="decimal"/>
      <w:lvlText w:val="%1."/>
      <w:lvlJc w:val="left"/>
      <w:pPr>
        <w:ind w:left="360" w:hanging="360"/>
      </w:pPr>
      <w:rPr>
        <w:rFonts w:eastAsia="Georgia" w:hint="default"/>
      </w:rPr>
    </w:lvl>
    <w:lvl w:ilvl="1">
      <w:start w:val="4"/>
      <w:numFmt w:val="decimal"/>
      <w:lvlText w:val="%1.%2."/>
      <w:lvlJc w:val="left"/>
      <w:pPr>
        <w:ind w:left="8092" w:hanging="720"/>
      </w:pPr>
      <w:rPr>
        <w:rFonts w:eastAsia="Georgia" w:hint="default"/>
      </w:rPr>
    </w:lvl>
    <w:lvl w:ilvl="2">
      <w:start w:val="1"/>
      <w:numFmt w:val="decimal"/>
      <w:lvlText w:val="%1.%2.%3."/>
      <w:lvlJc w:val="left"/>
      <w:pPr>
        <w:ind w:left="15464" w:hanging="720"/>
      </w:pPr>
      <w:rPr>
        <w:rFonts w:eastAsia="Georgia" w:hint="default"/>
      </w:rPr>
    </w:lvl>
    <w:lvl w:ilvl="3">
      <w:start w:val="1"/>
      <w:numFmt w:val="decimal"/>
      <w:lvlText w:val="%1.%2.%3.%4."/>
      <w:lvlJc w:val="left"/>
      <w:pPr>
        <w:ind w:left="23196" w:hanging="1080"/>
      </w:pPr>
      <w:rPr>
        <w:rFonts w:eastAsia="Georgia" w:hint="default"/>
      </w:rPr>
    </w:lvl>
    <w:lvl w:ilvl="4">
      <w:start w:val="1"/>
      <w:numFmt w:val="decimal"/>
      <w:lvlText w:val="%1.%2.%3.%4.%5."/>
      <w:lvlJc w:val="left"/>
      <w:pPr>
        <w:ind w:left="30568" w:hanging="1080"/>
      </w:pPr>
      <w:rPr>
        <w:rFonts w:eastAsia="Georgia" w:hint="default"/>
      </w:rPr>
    </w:lvl>
    <w:lvl w:ilvl="5">
      <w:start w:val="1"/>
      <w:numFmt w:val="decimal"/>
      <w:lvlText w:val="%1.%2.%3.%4.%5.%6."/>
      <w:lvlJc w:val="left"/>
      <w:pPr>
        <w:ind w:left="-27236" w:hanging="1440"/>
      </w:pPr>
      <w:rPr>
        <w:rFonts w:eastAsia="Georgia" w:hint="default"/>
      </w:rPr>
    </w:lvl>
    <w:lvl w:ilvl="6">
      <w:start w:val="1"/>
      <w:numFmt w:val="decimal"/>
      <w:lvlText w:val="%1.%2.%3.%4.%5.%6.%7."/>
      <w:lvlJc w:val="left"/>
      <w:pPr>
        <w:ind w:left="-19864" w:hanging="1440"/>
      </w:pPr>
      <w:rPr>
        <w:rFonts w:eastAsia="Georgia" w:hint="default"/>
      </w:rPr>
    </w:lvl>
    <w:lvl w:ilvl="7">
      <w:start w:val="1"/>
      <w:numFmt w:val="decimal"/>
      <w:lvlText w:val="%1.%2.%3.%4.%5.%6.%7.%8."/>
      <w:lvlJc w:val="left"/>
      <w:pPr>
        <w:ind w:left="-12132" w:hanging="1800"/>
      </w:pPr>
      <w:rPr>
        <w:rFonts w:eastAsia="Georgia" w:hint="default"/>
      </w:rPr>
    </w:lvl>
    <w:lvl w:ilvl="8">
      <w:start w:val="1"/>
      <w:numFmt w:val="decimal"/>
      <w:lvlText w:val="%1.%2.%3.%4.%5.%6.%7.%8.%9."/>
      <w:lvlJc w:val="left"/>
      <w:pPr>
        <w:ind w:left="-4760" w:hanging="1800"/>
      </w:pPr>
      <w:rPr>
        <w:rFonts w:eastAsia="Georgia" w:hint="default"/>
      </w:rPr>
    </w:lvl>
  </w:abstractNum>
  <w:abstractNum w:abstractNumId="32">
    <w:nsid w:val="73334853"/>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33">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F948B0"/>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num w:numId="1">
    <w:abstractNumId w:val="19"/>
  </w:num>
  <w:num w:numId="2">
    <w:abstractNumId w:val="3"/>
  </w:num>
  <w:num w:numId="3">
    <w:abstractNumId w:val="12"/>
  </w:num>
  <w:num w:numId="4">
    <w:abstractNumId w:val="4"/>
  </w:num>
  <w:num w:numId="5">
    <w:abstractNumId w:val="6"/>
  </w:num>
  <w:num w:numId="6">
    <w:abstractNumId w:val="24"/>
  </w:num>
  <w:num w:numId="7">
    <w:abstractNumId w:val="11"/>
  </w:num>
  <w:num w:numId="8">
    <w:abstractNumId w:val="22"/>
  </w:num>
  <w:num w:numId="9">
    <w:abstractNumId w:val="25"/>
  </w:num>
  <w:num w:numId="10">
    <w:abstractNumId w:val="33"/>
  </w:num>
  <w:num w:numId="11">
    <w:abstractNumId w:val="17"/>
  </w:num>
  <w:num w:numId="12">
    <w:abstractNumId w:val="1"/>
  </w:num>
  <w:num w:numId="13">
    <w:abstractNumId w:val="8"/>
  </w:num>
  <w:num w:numId="14">
    <w:abstractNumId w:val="23"/>
  </w:num>
  <w:num w:numId="15">
    <w:abstractNumId w:val="31"/>
  </w:num>
  <w:num w:numId="16">
    <w:abstractNumId w:val="0"/>
  </w:num>
  <w:num w:numId="17">
    <w:abstractNumId w:val="29"/>
  </w:num>
  <w:num w:numId="18">
    <w:abstractNumId w:val="14"/>
  </w:num>
  <w:num w:numId="19">
    <w:abstractNumId w:val="20"/>
  </w:num>
  <w:num w:numId="20">
    <w:abstractNumId w:val="2"/>
  </w:num>
  <w:num w:numId="21">
    <w:abstractNumId w:val="5"/>
  </w:num>
  <w:num w:numId="22">
    <w:abstractNumId w:val="30"/>
  </w:num>
  <w:num w:numId="23">
    <w:abstractNumId w:val="26"/>
  </w:num>
  <w:num w:numId="24">
    <w:abstractNumId w:val="7"/>
  </w:num>
  <w:num w:numId="25">
    <w:abstractNumId w:val="27"/>
  </w:num>
  <w:num w:numId="26">
    <w:abstractNumId w:val="15"/>
  </w:num>
  <w:num w:numId="27">
    <w:abstractNumId w:val="28"/>
  </w:num>
  <w:num w:numId="28">
    <w:abstractNumId w:val="32"/>
  </w:num>
  <w:num w:numId="2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4"/>
  </w:num>
  <w:num w:numId="32">
    <w:abstractNumId w:val="16"/>
  </w:num>
  <w:num w:numId="33">
    <w:abstractNumId w:val="9"/>
  </w:num>
  <w:num w:numId="34">
    <w:abstractNumId w:val="2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6433"/>
    <w:rsid w:val="00002279"/>
    <w:rsid w:val="000054EE"/>
    <w:rsid w:val="00013781"/>
    <w:rsid w:val="00020B66"/>
    <w:rsid w:val="00020EA6"/>
    <w:rsid w:val="000226C2"/>
    <w:rsid w:val="00022D8A"/>
    <w:rsid w:val="000324CC"/>
    <w:rsid w:val="000344D9"/>
    <w:rsid w:val="000433C6"/>
    <w:rsid w:val="00045687"/>
    <w:rsid w:val="000469FD"/>
    <w:rsid w:val="000508FD"/>
    <w:rsid w:val="0007659C"/>
    <w:rsid w:val="000832F5"/>
    <w:rsid w:val="000846B3"/>
    <w:rsid w:val="00087478"/>
    <w:rsid w:val="00092121"/>
    <w:rsid w:val="000926EB"/>
    <w:rsid w:val="00092EA7"/>
    <w:rsid w:val="00097346"/>
    <w:rsid w:val="000A13A7"/>
    <w:rsid w:val="000A3426"/>
    <w:rsid w:val="000B5817"/>
    <w:rsid w:val="000C14D2"/>
    <w:rsid w:val="000C174D"/>
    <w:rsid w:val="000D36AE"/>
    <w:rsid w:val="000D3F11"/>
    <w:rsid w:val="000E0F35"/>
    <w:rsid w:val="000F2ADD"/>
    <w:rsid w:val="00103B1C"/>
    <w:rsid w:val="00103C29"/>
    <w:rsid w:val="00105319"/>
    <w:rsid w:val="00105A5E"/>
    <w:rsid w:val="00106D9E"/>
    <w:rsid w:val="00113FBD"/>
    <w:rsid w:val="00127BD1"/>
    <w:rsid w:val="00132AE5"/>
    <w:rsid w:val="00144E35"/>
    <w:rsid w:val="00147F77"/>
    <w:rsid w:val="001527FB"/>
    <w:rsid w:val="00153E43"/>
    <w:rsid w:val="00161884"/>
    <w:rsid w:val="00162DAE"/>
    <w:rsid w:val="00163D4E"/>
    <w:rsid w:val="001658F5"/>
    <w:rsid w:val="0016743E"/>
    <w:rsid w:val="00170A33"/>
    <w:rsid w:val="00180FEC"/>
    <w:rsid w:val="00185044"/>
    <w:rsid w:val="001852A8"/>
    <w:rsid w:val="00186FDD"/>
    <w:rsid w:val="001906FF"/>
    <w:rsid w:val="00194254"/>
    <w:rsid w:val="00194A6B"/>
    <w:rsid w:val="001A1D1D"/>
    <w:rsid w:val="001A3771"/>
    <w:rsid w:val="001A3872"/>
    <w:rsid w:val="001A73C9"/>
    <w:rsid w:val="001A7816"/>
    <w:rsid w:val="001B262C"/>
    <w:rsid w:val="001B58CB"/>
    <w:rsid w:val="001B59D2"/>
    <w:rsid w:val="001B5AC4"/>
    <w:rsid w:val="001C514E"/>
    <w:rsid w:val="001D5750"/>
    <w:rsid w:val="001D5DE0"/>
    <w:rsid w:val="001E5B31"/>
    <w:rsid w:val="001E6B63"/>
    <w:rsid w:val="001F0F20"/>
    <w:rsid w:val="001F3883"/>
    <w:rsid w:val="001F5FE4"/>
    <w:rsid w:val="001F6909"/>
    <w:rsid w:val="00201E1E"/>
    <w:rsid w:val="0020319D"/>
    <w:rsid w:val="00206926"/>
    <w:rsid w:val="00210682"/>
    <w:rsid w:val="0021291A"/>
    <w:rsid w:val="00215CA3"/>
    <w:rsid w:val="00216665"/>
    <w:rsid w:val="00224512"/>
    <w:rsid w:val="0022531E"/>
    <w:rsid w:val="00225AC1"/>
    <w:rsid w:val="00227869"/>
    <w:rsid w:val="00233BD8"/>
    <w:rsid w:val="00240611"/>
    <w:rsid w:val="00240F41"/>
    <w:rsid w:val="00242438"/>
    <w:rsid w:val="002426C4"/>
    <w:rsid w:val="002429DB"/>
    <w:rsid w:val="002434A2"/>
    <w:rsid w:val="002572A2"/>
    <w:rsid w:val="00261FCD"/>
    <w:rsid w:val="0027259D"/>
    <w:rsid w:val="0028124C"/>
    <w:rsid w:val="00282D32"/>
    <w:rsid w:val="002842ED"/>
    <w:rsid w:val="0029455B"/>
    <w:rsid w:val="00294BAD"/>
    <w:rsid w:val="00295B71"/>
    <w:rsid w:val="002A3CC1"/>
    <w:rsid w:val="002B2999"/>
    <w:rsid w:val="002B43CE"/>
    <w:rsid w:val="002C26A2"/>
    <w:rsid w:val="002C48E2"/>
    <w:rsid w:val="002C49F6"/>
    <w:rsid w:val="002C6A80"/>
    <w:rsid w:val="002C6F7B"/>
    <w:rsid w:val="002D0135"/>
    <w:rsid w:val="002D0A6B"/>
    <w:rsid w:val="002E009A"/>
    <w:rsid w:val="002E5908"/>
    <w:rsid w:val="002F130D"/>
    <w:rsid w:val="002F7D5E"/>
    <w:rsid w:val="00300062"/>
    <w:rsid w:val="0030358E"/>
    <w:rsid w:val="0030613F"/>
    <w:rsid w:val="003066AE"/>
    <w:rsid w:val="003078D6"/>
    <w:rsid w:val="0031231C"/>
    <w:rsid w:val="00312775"/>
    <w:rsid w:val="0031751F"/>
    <w:rsid w:val="003577C6"/>
    <w:rsid w:val="00360362"/>
    <w:rsid w:val="00367489"/>
    <w:rsid w:val="0038601E"/>
    <w:rsid w:val="00390BE4"/>
    <w:rsid w:val="003A0C7D"/>
    <w:rsid w:val="003C2F44"/>
    <w:rsid w:val="003C472D"/>
    <w:rsid w:val="003D1283"/>
    <w:rsid w:val="003D47BE"/>
    <w:rsid w:val="003E3B17"/>
    <w:rsid w:val="003F2262"/>
    <w:rsid w:val="003F30B0"/>
    <w:rsid w:val="003F47BF"/>
    <w:rsid w:val="003F60ED"/>
    <w:rsid w:val="003F6225"/>
    <w:rsid w:val="004022E4"/>
    <w:rsid w:val="004076B6"/>
    <w:rsid w:val="00410F02"/>
    <w:rsid w:val="004137E9"/>
    <w:rsid w:val="004205A2"/>
    <w:rsid w:val="004256D6"/>
    <w:rsid w:val="00434BA3"/>
    <w:rsid w:val="00436172"/>
    <w:rsid w:val="004439D4"/>
    <w:rsid w:val="00444C6A"/>
    <w:rsid w:val="004452E3"/>
    <w:rsid w:val="0045709C"/>
    <w:rsid w:val="0047650C"/>
    <w:rsid w:val="0048092D"/>
    <w:rsid w:val="004A1A26"/>
    <w:rsid w:val="004A7AC1"/>
    <w:rsid w:val="004A7C5A"/>
    <w:rsid w:val="004B1A43"/>
    <w:rsid w:val="004C22B0"/>
    <w:rsid w:val="004C253A"/>
    <w:rsid w:val="004C7329"/>
    <w:rsid w:val="004D31E0"/>
    <w:rsid w:val="004D6435"/>
    <w:rsid w:val="00502AC0"/>
    <w:rsid w:val="00502DC2"/>
    <w:rsid w:val="00503B26"/>
    <w:rsid w:val="005044CD"/>
    <w:rsid w:val="00512B16"/>
    <w:rsid w:val="0051505F"/>
    <w:rsid w:val="00515CA7"/>
    <w:rsid w:val="005221C5"/>
    <w:rsid w:val="00525BC7"/>
    <w:rsid w:val="00530560"/>
    <w:rsid w:val="00534D9F"/>
    <w:rsid w:val="0053570D"/>
    <w:rsid w:val="00540CCC"/>
    <w:rsid w:val="00541CFA"/>
    <w:rsid w:val="00543430"/>
    <w:rsid w:val="005507E8"/>
    <w:rsid w:val="00556D7E"/>
    <w:rsid w:val="00557618"/>
    <w:rsid w:val="005628BE"/>
    <w:rsid w:val="005843B2"/>
    <w:rsid w:val="00590FF3"/>
    <w:rsid w:val="005918EF"/>
    <w:rsid w:val="00591CB3"/>
    <w:rsid w:val="00596550"/>
    <w:rsid w:val="00596D56"/>
    <w:rsid w:val="00597B06"/>
    <w:rsid w:val="005A595C"/>
    <w:rsid w:val="005A78E8"/>
    <w:rsid w:val="005B2333"/>
    <w:rsid w:val="005B5037"/>
    <w:rsid w:val="005B5870"/>
    <w:rsid w:val="005C7E28"/>
    <w:rsid w:val="005D0F2B"/>
    <w:rsid w:val="005D7390"/>
    <w:rsid w:val="005D78EA"/>
    <w:rsid w:val="005D7955"/>
    <w:rsid w:val="005E3689"/>
    <w:rsid w:val="005E6AE4"/>
    <w:rsid w:val="005F13A0"/>
    <w:rsid w:val="005F79CA"/>
    <w:rsid w:val="00600B75"/>
    <w:rsid w:val="00611B68"/>
    <w:rsid w:val="00621726"/>
    <w:rsid w:val="0062185D"/>
    <w:rsid w:val="00621EDA"/>
    <w:rsid w:val="006243BE"/>
    <w:rsid w:val="00630835"/>
    <w:rsid w:val="00637922"/>
    <w:rsid w:val="00637DD4"/>
    <w:rsid w:val="00637DE8"/>
    <w:rsid w:val="00641305"/>
    <w:rsid w:val="00647697"/>
    <w:rsid w:val="006508A6"/>
    <w:rsid w:val="00653E90"/>
    <w:rsid w:val="00656C29"/>
    <w:rsid w:val="00660A07"/>
    <w:rsid w:val="0066347F"/>
    <w:rsid w:val="00664706"/>
    <w:rsid w:val="00677DE5"/>
    <w:rsid w:val="00682D3B"/>
    <w:rsid w:val="006845C5"/>
    <w:rsid w:val="00692B8B"/>
    <w:rsid w:val="00695DCB"/>
    <w:rsid w:val="006A7F04"/>
    <w:rsid w:val="006C227F"/>
    <w:rsid w:val="006D0C56"/>
    <w:rsid w:val="006D34F0"/>
    <w:rsid w:val="006E250F"/>
    <w:rsid w:val="006E35E0"/>
    <w:rsid w:val="006E3786"/>
    <w:rsid w:val="006E3E77"/>
    <w:rsid w:val="006E5A60"/>
    <w:rsid w:val="007015E1"/>
    <w:rsid w:val="007063CD"/>
    <w:rsid w:val="007071C0"/>
    <w:rsid w:val="00707732"/>
    <w:rsid w:val="00711017"/>
    <w:rsid w:val="00711AC4"/>
    <w:rsid w:val="00713816"/>
    <w:rsid w:val="007148BD"/>
    <w:rsid w:val="00716298"/>
    <w:rsid w:val="007251D4"/>
    <w:rsid w:val="00731EF1"/>
    <w:rsid w:val="00741FC0"/>
    <w:rsid w:val="007424FD"/>
    <w:rsid w:val="007451A5"/>
    <w:rsid w:val="00746953"/>
    <w:rsid w:val="007532CF"/>
    <w:rsid w:val="00763AEE"/>
    <w:rsid w:val="00780214"/>
    <w:rsid w:val="007843DB"/>
    <w:rsid w:val="0079361B"/>
    <w:rsid w:val="007936BA"/>
    <w:rsid w:val="007A4896"/>
    <w:rsid w:val="007A5657"/>
    <w:rsid w:val="007A6A87"/>
    <w:rsid w:val="007B0A36"/>
    <w:rsid w:val="007B37AB"/>
    <w:rsid w:val="007B616E"/>
    <w:rsid w:val="007D6E73"/>
    <w:rsid w:val="007F383E"/>
    <w:rsid w:val="007F3EC4"/>
    <w:rsid w:val="007F43FD"/>
    <w:rsid w:val="007F589C"/>
    <w:rsid w:val="007F7ADF"/>
    <w:rsid w:val="00810AD1"/>
    <w:rsid w:val="008115E0"/>
    <w:rsid w:val="008140AD"/>
    <w:rsid w:val="00833DDA"/>
    <w:rsid w:val="00847AA3"/>
    <w:rsid w:val="008526B6"/>
    <w:rsid w:val="00853FE1"/>
    <w:rsid w:val="0085705D"/>
    <w:rsid w:val="008624BF"/>
    <w:rsid w:val="00863BFE"/>
    <w:rsid w:val="008746E3"/>
    <w:rsid w:val="008758E1"/>
    <w:rsid w:val="00877999"/>
    <w:rsid w:val="0088033C"/>
    <w:rsid w:val="00880D11"/>
    <w:rsid w:val="0089114F"/>
    <w:rsid w:val="008917AC"/>
    <w:rsid w:val="00894269"/>
    <w:rsid w:val="008A0EF4"/>
    <w:rsid w:val="008A1C54"/>
    <w:rsid w:val="008A1D3D"/>
    <w:rsid w:val="008A58AE"/>
    <w:rsid w:val="008B397F"/>
    <w:rsid w:val="008B6F55"/>
    <w:rsid w:val="008C143E"/>
    <w:rsid w:val="008C52A7"/>
    <w:rsid w:val="008C722D"/>
    <w:rsid w:val="008D12EE"/>
    <w:rsid w:val="008D3258"/>
    <w:rsid w:val="008D32C5"/>
    <w:rsid w:val="008D450D"/>
    <w:rsid w:val="008E0F10"/>
    <w:rsid w:val="008E1935"/>
    <w:rsid w:val="008E690D"/>
    <w:rsid w:val="008F1D33"/>
    <w:rsid w:val="008F4CFE"/>
    <w:rsid w:val="008F4FDE"/>
    <w:rsid w:val="008F6289"/>
    <w:rsid w:val="0090173D"/>
    <w:rsid w:val="0090226B"/>
    <w:rsid w:val="00907EC8"/>
    <w:rsid w:val="00911086"/>
    <w:rsid w:val="00911CC1"/>
    <w:rsid w:val="0091224E"/>
    <w:rsid w:val="009124F7"/>
    <w:rsid w:val="00920733"/>
    <w:rsid w:val="00920F51"/>
    <w:rsid w:val="00926715"/>
    <w:rsid w:val="0093384F"/>
    <w:rsid w:val="00934D45"/>
    <w:rsid w:val="00947080"/>
    <w:rsid w:val="0095112C"/>
    <w:rsid w:val="00951BD5"/>
    <w:rsid w:val="009520B0"/>
    <w:rsid w:val="00952248"/>
    <w:rsid w:val="0096798D"/>
    <w:rsid w:val="00970EC3"/>
    <w:rsid w:val="00997988"/>
    <w:rsid w:val="009A1D7A"/>
    <w:rsid w:val="009A22C6"/>
    <w:rsid w:val="009A35EF"/>
    <w:rsid w:val="009A6AA8"/>
    <w:rsid w:val="009A705E"/>
    <w:rsid w:val="009B345D"/>
    <w:rsid w:val="009B34B3"/>
    <w:rsid w:val="009B6C2C"/>
    <w:rsid w:val="009B7D17"/>
    <w:rsid w:val="009D6F0B"/>
    <w:rsid w:val="009E2073"/>
    <w:rsid w:val="009E38CC"/>
    <w:rsid w:val="009E53E4"/>
    <w:rsid w:val="009E78E7"/>
    <w:rsid w:val="009F084A"/>
    <w:rsid w:val="009F1291"/>
    <w:rsid w:val="00A01217"/>
    <w:rsid w:val="00A01CF2"/>
    <w:rsid w:val="00A02503"/>
    <w:rsid w:val="00A03ED9"/>
    <w:rsid w:val="00A05D3E"/>
    <w:rsid w:val="00A06998"/>
    <w:rsid w:val="00A069A7"/>
    <w:rsid w:val="00A07C40"/>
    <w:rsid w:val="00A13D30"/>
    <w:rsid w:val="00A14218"/>
    <w:rsid w:val="00A16C07"/>
    <w:rsid w:val="00A33FB7"/>
    <w:rsid w:val="00A36657"/>
    <w:rsid w:val="00A37CE7"/>
    <w:rsid w:val="00A40811"/>
    <w:rsid w:val="00A41A9F"/>
    <w:rsid w:val="00A41FC4"/>
    <w:rsid w:val="00A451A4"/>
    <w:rsid w:val="00A46D35"/>
    <w:rsid w:val="00A50923"/>
    <w:rsid w:val="00A53CDE"/>
    <w:rsid w:val="00A55000"/>
    <w:rsid w:val="00A612F3"/>
    <w:rsid w:val="00A61F11"/>
    <w:rsid w:val="00A63A2A"/>
    <w:rsid w:val="00A73603"/>
    <w:rsid w:val="00A86C94"/>
    <w:rsid w:val="00A87FDF"/>
    <w:rsid w:val="00A9223E"/>
    <w:rsid w:val="00A92EFE"/>
    <w:rsid w:val="00A96438"/>
    <w:rsid w:val="00A97D10"/>
    <w:rsid w:val="00A97F40"/>
    <w:rsid w:val="00AA1382"/>
    <w:rsid w:val="00AA1432"/>
    <w:rsid w:val="00AA7DD4"/>
    <w:rsid w:val="00AB520A"/>
    <w:rsid w:val="00AB7483"/>
    <w:rsid w:val="00AC751E"/>
    <w:rsid w:val="00AD2396"/>
    <w:rsid w:val="00AD3CC9"/>
    <w:rsid w:val="00AD7865"/>
    <w:rsid w:val="00AE74AE"/>
    <w:rsid w:val="00B015CC"/>
    <w:rsid w:val="00B03742"/>
    <w:rsid w:val="00B1275A"/>
    <w:rsid w:val="00B14F3D"/>
    <w:rsid w:val="00B31F66"/>
    <w:rsid w:val="00B37271"/>
    <w:rsid w:val="00B47E3C"/>
    <w:rsid w:val="00B52D5A"/>
    <w:rsid w:val="00B54270"/>
    <w:rsid w:val="00B574F1"/>
    <w:rsid w:val="00B602E8"/>
    <w:rsid w:val="00B615DD"/>
    <w:rsid w:val="00B61AFC"/>
    <w:rsid w:val="00B71E6C"/>
    <w:rsid w:val="00B80BF3"/>
    <w:rsid w:val="00B814E9"/>
    <w:rsid w:val="00B81AF8"/>
    <w:rsid w:val="00B856BF"/>
    <w:rsid w:val="00B92F3D"/>
    <w:rsid w:val="00B96AA7"/>
    <w:rsid w:val="00BB1266"/>
    <w:rsid w:val="00BB1EE0"/>
    <w:rsid w:val="00BC18E9"/>
    <w:rsid w:val="00BD01C9"/>
    <w:rsid w:val="00BD56AC"/>
    <w:rsid w:val="00BF0E50"/>
    <w:rsid w:val="00BF597C"/>
    <w:rsid w:val="00C04DD9"/>
    <w:rsid w:val="00C07DD4"/>
    <w:rsid w:val="00C16C05"/>
    <w:rsid w:val="00C235B9"/>
    <w:rsid w:val="00C23813"/>
    <w:rsid w:val="00C23870"/>
    <w:rsid w:val="00C338F5"/>
    <w:rsid w:val="00C356A4"/>
    <w:rsid w:val="00C40430"/>
    <w:rsid w:val="00C43309"/>
    <w:rsid w:val="00C43D7C"/>
    <w:rsid w:val="00C44C01"/>
    <w:rsid w:val="00C51669"/>
    <w:rsid w:val="00C517B2"/>
    <w:rsid w:val="00C54B48"/>
    <w:rsid w:val="00C553BC"/>
    <w:rsid w:val="00C64C42"/>
    <w:rsid w:val="00C65303"/>
    <w:rsid w:val="00C8068F"/>
    <w:rsid w:val="00C8662F"/>
    <w:rsid w:val="00C92972"/>
    <w:rsid w:val="00CB0614"/>
    <w:rsid w:val="00CB2E21"/>
    <w:rsid w:val="00CB577A"/>
    <w:rsid w:val="00CB618A"/>
    <w:rsid w:val="00CC6FA6"/>
    <w:rsid w:val="00CD1EC8"/>
    <w:rsid w:val="00CE046D"/>
    <w:rsid w:val="00CE2F73"/>
    <w:rsid w:val="00CE5A87"/>
    <w:rsid w:val="00CE6E99"/>
    <w:rsid w:val="00D072F6"/>
    <w:rsid w:val="00D07A7E"/>
    <w:rsid w:val="00D07CE9"/>
    <w:rsid w:val="00D115CF"/>
    <w:rsid w:val="00D13ED7"/>
    <w:rsid w:val="00D14508"/>
    <w:rsid w:val="00D2598E"/>
    <w:rsid w:val="00D25AD5"/>
    <w:rsid w:val="00D36B45"/>
    <w:rsid w:val="00D37A2D"/>
    <w:rsid w:val="00D46633"/>
    <w:rsid w:val="00D50E03"/>
    <w:rsid w:val="00D57D90"/>
    <w:rsid w:val="00D60463"/>
    <w:rsid w:val="00D62EE2"/>
    <w:rsid w:val="00D65FBC"/>
    <w:rsid w:val="00D71FB3"/>
    <w:rsid w:val="00D74248"/>
    <w:rsid w:val="00D83432"/>
    <w:rsid w:val="00D87093"/>
    <w:rsid w:val="00D875A4"/>
    <w:rsid w:val="00DA334E"/>
    <w:rsid w:val="00DA7502"/>
    <w:rsid w:val="00DA76FF"/>
    <w:rsid w:val="00DB2821"/>
    <w:rsid w:val="00DB640D"/>
    <w:rsid w:val="00DB661F"/>
    <w:rsid w:val="00DC150A"/>
    <w:rsid w:val="00DC16AA"/>
    <w:rsid w:val="00DC6616"/>
    <w:rsid w:val="00DD074F"/>
    <w:rsid w:val="00DD1FF1"/>
    <w:rsid w:val="00DD33BA"/>
    <w:rsid w:val="00DD5EFA"/>
    <w:rsid w:val="00DE2817"/>
    <w:rsid w:val="00DE7D56"/>
    <w:rsid w:val="00DF791F"/>
    <w:rsid w:val="00E05181"/>
    <w:rsid w:val="00E124AC"/>
    <w:rsid w:val="00E137D3"/>
    <w:rsid w:val="00E169AC"/>
    <w:rsid w:val="00E20580"/>
    <w:rsid w:val="00E26E11"/>
    <w:rsid w:val="00E30D2D"/>
    <w:rsid w:val="00E31EFB"/>
    <w:rsid w:val="00E37759"/>
    <w:rsid w:val="00E46BCF"/>
    <w:rsid w:val="00E50387"/>
    <w:rsid w:val="00E61DF3"/>
    <w:rsid w:val="00E677E9"/>
    <w:rsid w:val="00E83FBD"/>
    <w:rsid w:val="00E86363"/>
    <w:rsid w:val="00E952BD"/>
    <w:rsid w:val="00EA108F"/>
    <w:rsid w:val="00EA6DF0"/>
    <w:rsid w:val="00EA722F"/>
    <w:rsid w:val="00EB075D"/>
    <w:rsid w:val="00EB2D38"/>
    <w:rsid w:val="00EB6433"/>
    <w:rsid w:val="00EB7E99"/>
    <w:rsid w:val="00EC7B5A"/>
    <w:rsid w:val="00ED5FC8"/>
    <w:rsid w:val="00EE002E"/>
    <w:rsid w:val="00EE12DD"/>
    <w:rsid w:val="00EE7FCF"/>
    <w:rsid w:val="00EF3CEC"/>
    <w:rsid w:val="00EF5098"/>
    <w:rsid w:val="00F0370F"/>
    <w:rsid w:val="00F03DD2"/>
    <w:rsid w:val="00F11895"/>
    <w:rsid w:val="00F238BD"/>
    <w:rsid w:val="00F254F8"/>
    <w:rsid w:val="00F25DEB"/>
    <w:rsid w:val="00F272C6"/>
    <w:rsid w:val="00F30072"/>
    <w:rsid w:val="00F32DAC"/>
    <w:rsid w:val="00F36D85"/>
    <w:rsid w:val="00F407C3"/>
    <w:rsid w:val="00F4188B"/>
    <w:rsid w:val="00F55024"/>
    <w:rsid w:val="00F55E1F"/>
    <w:rsid w:val="00F5671F"/>
    <w:rsid w:val="00F62BBC"/>
    <w:rsid w:val="00F63B0F"/>
    <w:rsid w:val="00F64309"/>
    <w:rsid w:val="00F64C06"/>
    <w:rsid w:val="00F745F9"/>
    <w:rsid w:val="00F82D66"/>
    <w:rsid w:val="00F8523C"/>
    <w:rsid w:val="00F863AA"/>
    <w:rsid w:val="00F86FEF"/>
    <w:rsid w:val="00F9350C"/>
    <w:rsid w:val="00FA08B5"/>
    <w:rsid w:val="00FA2D2F"/>
    <w:rsid w:val="00FA3329"/>
    <w:rsid w:val="00FA37BB"/>
    <w:rsid w:val="00FB2249"/>
    <w:rsid w:val="00FB23C6"/>
    <w:rsid w:val="00FB77B2"/>
    <w:rsid w:val="00FC1DC2"/>
    <w:rsid w:val="00FC7007"/>
    <w:rsid w:val="00FC7283"/>
    <w:rsid w:val="00FD39E6"/>
    <w:rsid w:val="00FD6331"/>
    <w:rsid w:val="00FD77E5"/>
    <w:rsid w:val="00FE0C76"/>
    <w:rsid w:val="00FF5C50"/>
    <w:rsid w:val="00FF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655140F-5797-4667-A8E6-EF4E96BD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05E"/>
  </w:style>
  <w:style w:type="paragraph" w:styleId="Heading1">
    <w:name w:val="heading 1"/>
    <w:basedOn w:val="Normal"/>
    <w:next w:val="Normal"/>
    <w:link w:val="Heading1Char"/>
    <w:uiPriority w:val="9"/>
    <w:qFormat/>
    <w:rsid w:val="00EB6433"/>
    <w:pPr>
      <w:keepNext/>
      <w:spacing w:before="240" w:after="60"/>
      <w:outlineLvl w:val="0"/>
    </w:pPr>
    <w:rPr>
      <w:rFonts w:ascii="Cambria" w:eastAsia="Times New Roman" w:hAnsi="Cambria" w:cs="Times New Roman"/>
      <w:b/>
      <w:bCs/>
      <w:kern w:val="32"/>
      <w:sz w:val="32"/>
      <w:szCs w:val="3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433"/>
    <w:rPr>
      <w:rFonts w:ascii="Cambria" w:eastAsia="Times New Roman" w:hAnsi="Cambria" w:cs="Times New Roman"/>
      <w:b/>
      <w:bCs/>
      <w:kern w:val="32"/>
      <w:sz w:val="32"/>
      <w:szCs w:val="32"/>
      <w:lang w:val="sr-Cyrl-CS"/>
    </w:rPr>
  </w:style>
  <w:style w:type="numbering" w:customStyle="1" w:styleId="NoList1">
    <w:name w:val="No List1"/>
    <w:next w:val="NoList"/>
    <w:uiPriority w:val="99"/>
    <w:semiHidden/>
    <w:unhideWhenUsed/>
    <w:rsid w:val="00EB6433"/>
  </w:style>
  <w:style w:type="paragraph" w:styleId="Header">
    <w:name w:val="header"/>
    <w:basedOn w:val="Normal"/>
    <w:link w:val="Head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EB6433"/>
    <w:rPr>
      <w:rFonts w:ascii="Calibri" w:eastAsia="Calibri" w:hAnsi="Calibri" w:cs="Times New Roman"/>
      <w:lang w:val="sr-Cyrl-CS"/>
    </w:rPr>
  </w:style>
  <w:style w:type="paragraph" w:styleId="Footer">
    <w:name w:val="footer"/>
    <w:basedOn w:val="Normal"/>
    <w:link w:val="Foot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EB6433"/>
    <w:rPr>
      <w:rFonts w:ascii="Calibri" w:eastAsia="Calibri" w:hAnsi="Calibri" w:cs="Times New Roman"/>
      <w:lang w:val="sr-Cyrl-CS"/>
    </w:rPr>
  </w:style>
  <w:style w:type="paragraph" w:customStyle="1" w:styleId="FreeFormAA">
    <w:name w:val="Free Form A A"/>
    <w:rsid w:val="00EB6433"/>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B6433"/>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B6433"/>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B6433"/>
    <w:rPr>
      <w:vertAlign w:val="superscript"/>
    </w:rPr>
  </w:style>
  <w:style w:type="paragraph" w:styleId="BalloonText">
    <w:name w:val="Balloon Text"/>
    <w:basedOn w:val="Normal"/>
    <w:link w:val="BalloonTextChar"/>
    <w:uiPriority w:val="99"/>
    <w:semiHidden/>
    <w:unhideWhenUsed/>
    <w:rsid w:val="00EB6433"/>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EB6433"/>
    <w:rPr>
      <w:rFonts w:ascii="Tahoma" w:eastAsia="Calibri" w:hAnsi="Tahoma" w:cs="Times New Roman"/>
      <w:sz w:val="16"/>
      <w:szCs w:val="16"/>
    </w:rPr>
  </w:style>
  <w:style w:type="table" w:styleId="TableGrid">
    <w:name w:val="Table Grid"/>
    <w:basedOn w:val="TableNormal"/>
    <w:uiPriority w:val="59"/>
    <w:rsid w:val="00EB643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B6433"/>
    <w:pPr>
      <w:spacing w:after="0" w:line="240" w:lineRule="auto"/>
    </w:pPr>
    <w:rPr>
      <w:rFonts w:ascii="Helvetica" w:eastAsia="ヒラギノ角ゴ Pro W3" w:hAnsi="Helvetica" w:cs="Times New Roman"/>
      <w:color w:val="000000"/>
      <w:sz w:val="24"/>
      <w:szCs w:val="20"/>
      <w:lang w:eastAsia="sr-Cyrl-CS"/>
    </w:rPr>
  </w:style>
  <w:style w:type="paragraph" w:styleId="CommentText">
    <w:name w:val="annotation text"/>
    <w:basedOn w:val="Normal"/>
    <w:link w:val="CommentTextChar"/>
    <w:uiPriority w:val="99"/>
    <w:semiHidden/>
    <w:unhideWhenUsed/>
    <w:rsid w:val="00EB643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B6433"/>
    <w:rPr>
      <w:rFonts w:ascii="Times New Roman" w:eastAsia="Times New Roman" w:hAnsi="Times New Roman" w:cs="Times New Roman"/>
      <w:sz w:val="20"/>
      <w:szCs w:val="20"/>
    </w:rPr>
  </w:style>
  <w:style w:type="paragraph" w:styleId="ListParagraph">
    <w:name w:val="List Paragraph"/>
    <w:basedOn w:val="Normal"/>
    <w:uiPriority w:val="34"/>
    <w:qFormat/>
    <w:rsid w:val="00EB643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EB6433"/>
    <w:rPr>
      <w:color w:val="0000FF"/>
      <w:u w:val="single"/>
    </w:rPr>
  </w:style>
  <w:style w:type="paragraph" w:customStyle="1" w:styleId="Normal1">
    <w:name w:val="Normal1"/>
    <w:basedOn w:val="Normal"/>
    <w:rsid w:val="00EB6433"/>
    <w:pPr>
      <w:spacing w:before="100" w:beforeAutospacing="1" w:after="100" w:afterAutospacing="1" w:line="240" w:lineRule="auto"/>
    </w:pPr>
    <w:rPr>
      <w:rFonts w:ascii="Arial" w:eastAsia="Times New Roman" w:hAnsi="Arial" w:cs="Arial"/>
    </w:rPr>
  </w:style>
  <w:style w:type="character" w:styleId="CommentReference">
    <w:name w:val="annotation reference"/>
    <w:uiPriority w:val="99"/>
    <w:semiHidden/>
    <w:unhideWhenUsed/>
    <w:rsid w:val="00EB6433"/>
    <w:rPr>
      <w:sz w:val="16"/>
      <w:szCs w:val="16"/>
    </w:rPr>
  </w:style>
  <w:style w:type="paragraph" w:styleId="CommentSubject">
    <w:name w:val="annotation subject"/>
    <w:basedOn w:val="CommentText"/>
    <w:next w:val="CommentText"/>
    <w:link w:val="CommentSubjectChar"/>
    <w:uiPriority w:val="99"/>
    <w:semiHidden/>
    <w:unhideWhenUsed/>
    <w:rsid w:val="00EB6433"/>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EB6433"/>
    <w:rPr>
      <w:rFonts w:ascii="Times New Roman" w:eastAsia="Times New Roman" w:hAnsi="Times New Roman" w:cs="Times New Roman"/>
      <w:b/>
      <w:bCs/>
      <w:sz w:val="20"/>
      <w:szCs w:val="20"/>
      <w:lang w:val="sr-Cyrl-CS"/>
    </w:rPr>
  </w:style>
  <w:style w:type="paragraph" w:styleId="NoSpacing">
    <w:name w:val="No Spacing"/>
    <w:uiPriority w:val="1"/>
    <w:qFormat/>
    <w:rsid w:val="00EB6433"/>
    <w:pPr>
      <w:spacing w:after="0" w:line="240" w:lineRule="auto"/>
    </w:pPr>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A1C54"/>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labris.org.rs/sites/default/files/istrazivanje%20potreba%20SR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20DED-A3F5-4175-BEE7-0A656D7C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4236</Words>
  <Characters>24149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MILORAD</cp:lastModifiedBy>
  <cp:revision>10</cp:revision>
  <cp:lastPrinted>2023-06-09T11:20:00Z</cp:lastPrinted>
  <dcterms:created xsi:type="dcterms:W3CDTF">2023-06-15T14:31:00Z</dcterms:created>
  <dcterms:modified xsi:type="dcterms:W3CDTF">2023-09-12T11:07:00Z</dcterms:modified>
</cp:coreProperties>
</file>