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570BF7" w:rsidRPr="009154B7" w:rsidTr="00DC27BD">
        <w:tc>
          <w:tcPr>
            <w:tcW w:w="2339" w:type="dxa"/>
            <w:gridSpan w:val="3"/>
          </w:tcPr>
          <w:p w:rsidR="00570BF7" w:rsidRPr="009154B7" w:rsidRDefault="00570BF7" w:rsidP="00DC27BD">
            <w:pPr>
              <w:spacing w:after="0" w:line="240" w:lineRule="auto"/>
              <w:rPr>
                <w:rFonts w:ascii="Calibri" w:eastAsia="Calibri" w:hAnsi="Calibri" w:cs="Times New Roman"/>
                <w:noProof/>
                <w:lang w:val="sr-Cyrl-RS"/>
              </w:rPr>
            </w:pPr>
            <w:r w:rsidRPr="009154B7">
              <w:rPr>
                <w:rFonts w:ascii="Calibri" w:eastAsia="Calibri" w:hAnsi="Calibri" w:cs="Times New Roman"/>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570BF7" w:rsidRPr="009154B7" w:rsidRDefault="00570BF7" w:rsidP="00DC27BD">
            <w:pPr>
              <w:spacing w:after="0" w:line="240" w:lineRule="auto"/>
              <w:rPr>
                <w:rFonts w:ascii="Calibri" w:eastAsia="Calibri" w:hAnsi="Calibri" w:cs="Times New Roman"/>
                <w:noProof/>
                <w:lang w:val="sr-Cyrl-RS"/>
              </w:rPr>
            </w:pPr>
          </w:p>
        </w:tc>
        <w:tc>
          <w:tcPr>
            <w:tcW w:w="3781" w:type="dxa"/>
          </w:tcPr>
          <w:p w:rsidR="00570BF7" w:rsidRPr="009154B7" w:rsidRDefault="00570BF7" w:rsidP="00DC27BD">
            <w:pPr>
              <w:spacing w:after="0" w:line="240" w:lineRule="auto"/>
              <w:jc w:val="center"/>
              <w:rPr>
                <w:rFonts w:ascii="Calibri" w:eastAsia="Calibri" w:hAnsi="Calibri" w:cs="Times New Roman"/>
                <w:noProof/>
                <w:lang w:val="sr-Cyrl-RS"/>
              </w:rPr>
            </w:pPr>
            <w:r w:rsidRPr="009154B7">
              <w:rPr>
                <w:rFonts w:ascii="Calibri" w:eastAsia="Calibri" w:hAnsi="Calibri" w:cs="Times New Roman"/>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570BF7" w:rsidRPr="009154B7" w:rsidTr="00DC27BD">
        <w:tc>
          <w:tcPr>
            <w:tcW w:w="388" w:type="dxa"/>
          </w:tcPr>
          <w:p w:rsidR="00570BF7" w:rsidRPr="009154B7" w:rsidRDefault="00570BF7" w:rsidP="00DC27BD">
            <w:pPr>
              <w:spacing w:after="0" w:line="240" w:lineRule="auto"/>
              <w:rPr>
                <w:rFonts w:ascii="Arial" w:eastAsia="Calibri" w:hAnsi="Arial" w:cs="Arial"/>
                <w:noProof/>
                <w:sz w:val="20"/>
                <w:szCs w:val="20"/>
                <w:lang w:val="sr-Cyrl-RS"/>
              </w:rPr>
            </w:pPr>
          </w:p>
        </w:tc>
        <w:tc>
          <w:tcPr>
            <w:tcW w:w="1012" w:type="dxa"/>
            <w:noWrap/>
            <w:tcMar>
              <w:left w:w="0" w:type="dxa"/>
              <w:right w:w="0" w:type="dxa"/>
            </w:tcMar>
          </w:tcPr>
          <w:p w:rsidR="00570BF7" w:rsidRPr="009154B7" w:rsidRDefault="00570BF7" w:rsidP="00DC27BD">
            <w:pPr>
              <w:spacing w:after="0" w:line="240" w:lineRule="auto"/>
              <w:jc w:val="center"/>
              <w:rPr>
                <w:rFonts w:ascii="Arial" w:eastAsia="Calibri" w:hAnsi="Arial" w:cs="Arial"/>
                <w:noProof/>
                <w:sz w:val="18"/>
                <w:szCs w:val="18"/>
                <w:lang w:val="sr-Cyrl-RS"/>
              </w:rPr>
            </w:pPr>
            <w:r w:rsidRPr="009154B7">
              <w:rPr>
                <w:rFonts w:ascii="Arial" w:eastAsia="Calibri" w:hAnsi="Arial" w:cs="Arial"/>
                <w:noProof/>
                <w:sz w:val="18"/>
                <w:szCs w:val="18"/>
                <w:lang w:val="sr-Cyrl-RS"/>
              </w:rPr>
              <w:t>БТ</w:t>
            </w:r>
          </w:p>
          <w:p w:rsidR="00570BF7" w:rsidRPr="009154B7" w:rsidRDefault="00D84882" w:rsidP="00DC27BD">
            <w:pPr>
              <w:spacing w:after="0" w:line="240" w:lineRule="auto"/>
              <w:jc w:val="center"/>
              <w:rPr>
                <w:rFonts w:ascii="Arial" w:eastAsia="Calibri" w:hAnsi="Arial" w:cs="Arial"/>
                <w:noProof/>
                <w:sz w:val="18"/>
                <w:szCs w:val="18"/>
                <w:lang w:val="sr-Cyrl-RS"/>
              </w:rPr>
            </w:pPr>
            <w:r>
              <w:rPr>
                <w:rFonts w:ascii="Arial" w:eastAsia="Calibri" w:hAnsi="Arial" w:cs="Arial"/>
                <w:noProof/>
                <w:sz w:val="18"/>
                <w:szCs w:val="18"/>
                <w:lang w:val="sr-Latn-CS"/>
              </w:rPr>
              <w:t>605</w:t>
            </w:r>
            <w:r w:rsidR="00FF10B5" w:rsidRPr="009154B7">
              <w:rPr>
                <w:rFonts w:ascii="Arial" w:eastAsia="Calibri" w:hAnsi="Arial" w:cs="Arial"/>
                <w:noProof/>
                <w:sz w:val="18"/>
                <w:szCs w:val="18"/>
                <w:lang w:val="sr-Cyrl-RS"/>
              </w:rPr>
              <w:t>/2022</w:t>
            </w:r>
          </w:p>
        </w:tc>
        <w:tc>
          <w:tcPr>
            <w:tcW w:w="939" w:type="dxa"/>
          </w:tcPr>
          <w:p w:rsidR="00570BF7" w:rsidRPr="009154B7" w:rsidRDefault="00570BF7" w:rsidP="00DC27BD">
            <w:pPr>
              <w:spacing w:after="0" w:line="240" w:lineRule="auto"/>
              <w:rPr>
                <w:rFonts w:ascii="Arial" w:eastAsia="Calibri" w:hAnsi="Arial" w:cs="Arial"/>
                <w:noProof/>
                <w:sz w:val="20"/>
                <w:szCs w:val="20"/>
                <w:lang w:val="sr-Cyrl-RS"/>
              </w:rPr>
            </w:pPr>
          </w:p>
        </w:tc>
        <w:tc>
          <w:tcPr>
            <w:tcW w:w="3960" w:type="dxa"/>
          </w:tcPr>
          <w:p w:rsidR="00570BF7" w:rsidRPr="009154B7" w:rsidRDefault="00570BF7" w:rsidP="00DC27BD">
            <w:pPr>
              <w:spacing w:after="0" w:line="240" w:lineRule="auto"/>
              <w:rPr>
                <w:rFonts w:ascii="Calibri" w:eastAsia="Calibri" w:hAnsi="Calibri" w:cs="Times New Roman"/>
                <w:noProof/>
                <w:lang w:val="sr-Cyrl-RS"/>
              </w:rPr>
            </w:pPr>
          </w:p>
        </w:tc>
        <w:tc>
          <w:tcPr>
            <w:tcW w:w="3781" w:type="dxa"/>
          </w:tcPr>
          <w:p w:rsidR="00570BF7" w:rsidRPr="009154B7" w:rsidRDefault="00570BF7" w:rsidP="00DC27BD">
            <w:pPr>
              <w:spacing w:after="0" w:line="240" w:lineRule="auto"/>
              <w:jc w:val="center"/>
              <w:rPr>
                <w:rFonts w:ascii="Calibri" w:eastAsia="Calibri" w:hAnsi="Calibri" w:cs="Times New Roman"/>
                <w:noProof/>
                <w:lang w:val="sr-Cyrl-RS"/>
              </w:rPr>
            </w:pPr>
          </w:p>
        </w:tc>
      </w:tr>
    </w:tbl>
    <w:p w:rsidR="00570BF7" w:rsidRPr="009154B7" w:rsidRDefault="00FF10B5" w:rsidP="00570BF7">
      <w:pPr>
        <w:spacing w:after="0" w:line="288" w:lineRule="auto"/>
        <w:rPr>
          <w:rFonts w:ascii="Arial" w:eastAsia="ヒラギノ角ゴ Pro W3" w:hAnsi="Arial" w:cs="Times New Roman"/>
          <w:noProof/>
          <w:color w:val="000000"/>
          <w:spacing w:val="-1"/>
          <w:sz w:val="20"/>
          <w:szCs w:val="20"/>
          <w:lang w:val="sr-Cyrl-RS" w:eastAsia="sr-Cyrl-CS"/>
        </w:rPr>
      </w:pPr>
      <w:r w:rsidRPr="009154B7">
        <w:rPr>
          <w:rFonts w:ascii="Arial" w:eastAsia="ヒラギノ角ゴ Pro W3" w:hAnsi="Arial" w:cs="Times New Roman"/>
          <w:noProof/>
          <w:color w:val="000000"/>
          <w:spacing w:val="-1"/>
          <w:sz w:val="20"/>
          <w:szCs w:val="20"/>
          <w:lang w:val="sr-Cyrl-RS" w:eastAsia="sr-Cyrl-CS"/>
        </w:rPr>
        <w:t xml:space="preserve">бр. </w:t>
      </w:r>
      <w:r w:rsidR="00E36B63" w:rsidRPr="00E36B63">
        <w:rPr>
          <w:rFonts w:ascii="Arial" w:eastAsia="ヒラギノ角ゴ Pro W3" w:hAnsi="Arial" w:cs="Times New Roman"/>
          <w:noProof/>
          <w:color w:val="000000"/>
          <w:spacing w:val="-1"/>
          <w:sz w:val="20"/>
          <w:szCs w:val="20"/>
          <w:lang w:val="sr-Latn-CS" w:eastAsia="sr-Cyrl-CS"/>
        </w:rPr>
        <w:t>110</w:t>
      </w:r>
      <w:r w:rsidR="00E36B63" w:rsidRPr="00E36B63">
        <w:rPr>
          <w:rFonts w:ascii="Arial" w:eastAsia="ヒラギノ角ゴ Pro W3" w:hAnsi="Arial" w:cs="Times New Roman"/>
          <w:noProof/>
          <w:color w:val="000000"/>
          <w:spacing w:val="-1"/>
          <w:sz w:val="20"/>
          <w:szCs w:val="20"/>
          <w:lang w:val="sr-Cyrl-RS" w:eastAsia="sr-Cyrl-CS"/>
        </w:rPr>
        <w:t>-0</w:t>
      </w:r>
      <w:r w:rsidR="00E36B63" w:rsidRPr="00E36B63">
        <w:rPr>
          <w:rFonts w:ascii="Arial" w:eastAsia="ヒラギノ角ゴ Pro W3" w:hAnsi="Arial" w:cs="Times New Roman"/>
          <w:noProof/>
          <w:color w:val="000000"/>
          <w:spacing w:val="-1"/>
          <w:sz w:val="20"/>
          <w:szCs w:val="20"/>
          <w:lang w:val="sr-Latn-CS" w:eastAsia="sr-Cyrl-CS"/>
        </w:rPr>
        <w:t>0</w:t>
      </w:r>
      <w:r w:rsidR="00570BF7" w:rsidRPr="00E36B63">
        <w:rPr>
          <w:rFonts w:ascii="Arial" w:eastAsia="ヒラギノ角ゴ Pro W3" w:hAnsi="Arial" w:cs="Times New Roman"/>
          <w:noProof/>
          <w:color w:val="000000"/>
          <w:spacing w:val="-1"/>
          <w:sz w:val="20"/>
          <w:szCs w:val="20"/>
          <w:lang w:val="sr-Cyrl-RS" w:eastAsia="sr-Cyrl-CS"/>
        </w:rPr>
        <w:t>-</w:t>
      </w:r>
      <w:r w:rsidR="00E36B63" w:rsidRPr="00E36B63">
        <w:rPr>
          <w:rFonts w:ascii="Arial" w:eastAsia="ヒラギノ角ゴ Pro W3" w:hAnsi="Arial" w:cs="Times New Roman"/>
          <w:noProof/>
          <w:spacing w:val="-1"/>
          <w:sz w:val="20"/>
          <w:szCs w:val="20"/>
          <w:lang w:val="sr-Latn-CS" w:eastAsia="sr-Cyrl-CS"/>
        </w:rPr>
        <w:t>4</w:t>
      </w:r>
      <w:r w:rsidR="00570BF7" w:rsidRPr="00E36B63">
        <w:rPr>
          <w:rFonts w:ascii="Arial" w:eastAsia="ヒラギノ角ゴ Pro W3" w:hAnsi="Arial" w:cs="Times New Roman"/>
          <w:noProof/>
          <w:spacing w:val="-1"/>
          <w:sz w:val="20"/>
          <w:szCs w:val="20"/>
          <w:lang w:val="sr-Cyrl-RS" w:eastAsia="sr-Cyrl-CS"/>
        </w:rPr>
        <w:t>/20</w:t>
      </w:r>
      <w:r w:rsidRPr="00E36B63">
        <w:rPr>
          <w:rFonts w:ascii="Arial" w:eastAsia="ヒラギノ角ゴ Pro W3" w:hAnsi="Arial" w:cs="Times New Roman"/>
          <w:noProof/>
          <w:spacing w:val="-1"/>
          <w:sz w:val="20"/>
          <w:szCs w:val="20"/>
          <w:lang w:val="sr-Cyrl-RS" w:eastAsia="sr-Cyrl-CS"/>
        </w:rPr>
        <w:t>22</w:t>
      </w:r>
      <w:r w:rsidR="00570BF7" w:rsidRPr="00E36B63">
        <w:rPr>
          <w:rFonts w:ascii="Arial" w:eastAsia="ヒラギノ角ゴ Pro W3" w:hAnsi="Arial" w:cs="Times New Roman"/>
          <w:noProof/>
          <w:spacing w:val="-1"/>
          <w:sz w:val="20"/>
          <w:szCs w:val="20"/>
          <w:lang w:val="sr-Cyrl-RS" w:eastAsia="sr-Cyrl-CS"/>
        </w:rPr>
        <w:t>-02</w:t>
      </w:r>
      <w:r w:rsidR="00570BF7" w:rsidRPr="009154B7">
        <w:rPr>
          <w:rFonts w:ascii="Arial" w:eastAsia="ヒラギノ角ゴ Pro W3" w:hAnsi="Arial" w:cs="Times New Roman"/>
          <w:noProof/>
          <w:spacing w:val="-1"/>
          <w:sz w:val="20"/>
          <w:szCs w:val="20"/>
          <w:lang w:val="sr-Cyrl-RS" w:eastAsia="sr-Cyrl-CS"/>
        </w:rPr>
        <w:t xml:space="preserve">    </w:t>
      </w:r>
      <w:r w:rsidRPr="009154B7">
        <w:rPr>
          <w:rFonts w:ascii="Arial" w:eastAsia="ヒラギノ角ゴ Pro W3" w:hAnsi="Arial" w:cs="Times New Roman"/>
          <w:noProof/>
          <w:color w:val="000000"/>
          <w:spacing w:val="-1"/>
          <w:sz w:val="20"/>
          <w:szCs w:val="20"/>
          <w:lang w:val="sr-Cyrl-RS" w:eastAsia="sr-Cyrl-CS"/>
        </w:rPr>
        <w:t xml:space="preserve">датум: </w:t>
      </w:r>
      <w:r w:rsidR="000D7CA7" w:rsidRPr="009154B7">
        <w:rPr>
          <w:rFonts w:ascii="Arial" w:eastAsia="ヒラギノ角ゴ Pro W3" w:hAnsi="Arial" w:cs="Times New Roman"/>
          <w:noProof/>
          <w:color w:val="000000"/>
          <w:spacing w:val="-1"/>
          <w:sz w:val="20"/>
          <w:szCs w:val="20"/>
          <w:lang w:val="sr-Cyrl-RS" w:eastAsia="sr-Cyrl-CS"/>
        </w:rPr>
        <w:t>21</w:t>
      </w:r>
      <w:r w:rsidR="007C2B97" w:rsidRPr="009154B7">
        <w:rPr>
          <w:rFonts w:ascii="Arial" w:eastAsia="ヒラギノ角ゴ Pro W3" w:hAnsi="Arial" w:cs="Times New Roman"/>
          <w:noProof/>
          <w:color w:val="000000"/>
          <w:spacing w:val="-1"/>
          <w:sz w:val="20"/>
          <w:szCs w:val="20"/>
          <w:lang w:val="sr-Cyrl-RS" w:eastAsia="sr-Cyrl-CS"/>
        </w:rPr>
        <w:t>.09.2022</w:t>
      </w:r>
      <w:r w:rsidR="00570BF7" w:rsidRPr="009154B7">
        <w:rPr>
          <w:rFonts w:ascii="Arial" w:eastAsia="ヒラギノ角ゴ Pro W3" w:hAnsi="Arial" w:cs="Times New Roman"/>
          <w:noProof/>
          <w:color w:val="000000"/>
          <w:spacing w:val="-1"/>
          <w:sz w:val="20"/>
          <w:szCs w:val="20"/>
          <w:lang w:val="sr-Cyrl-RS" w:eastAsia="sr-Cyrl-CS"/>
        </w:rPr>
        <w:t>. године</w:t>
      </w:r>
    </w:p>
    <w:p w:rsidR="00570BF7" w:rsidRPr="009154B7" w:rsidRDefault="00570BF7" w:rsidP="00570BF7">
      <w:pPr>
        <w:spacing w:after="0" w:line="288" w:lineRule="auto"/>
        <w:rPr>
          <w:rFonts w:ascii="Arial" w:eastAsia="ヒラギノ角ゴ Pro W3" w:hAnsi="Arial" w:cs="Times New Roman"/>
          <w:noProof/>
          <w:color w:val="000000"/>
          <w:spacing w:val="-1"/>
          <w:sz w:val="20"/>
          <w:szCs w:val="20"/>
          <w:lang w:val="sr-Cyrl-RS" w:eastAsia="sr-Cyrl-CS"/>
        </w:rPr>
      </w:pPr>
    </w:p>
    <w:p w:rsidR="00570BF7" w:rsidRPr="009154B7" w:rsidRDefault="00570BF7" w:rsidP="00570BF7">
      <w:pPr>
        <w:spacing w:after="0" w:line="288" w:lineRule="auto"/>
        <w:rPr>
          <w:rFonts w:ascii="Calibri" w:eastAsia="Calibri" w:hAnsi="Calibri" w:cs="Times New Roman"/>
          <w:noProof/>
          <w:sz w:val="2"/>
          <w:szCs w:val="2"/>
          <w:lang w:val="sr-Cyrl-RS"/>
        </w:rPr>
      </w:pPr>
    </w:p>
    <w:tbl>
      <w:tblPr>
        <w:tblpPr w:leftFromText="180" w:rightFromText="180" w:vertAnchor="text" w:horzAnchor="margin" w:tblpY="-22"/>
        <w:tblW w:w="0" w:type="auto"/>
        <w:tblBorders>
          <w:insideV w:val="single" w:sz="4" w:space="0" w:color="auto"/>
        </w:tblBorders>
        <w:tblLook w:val="04A0" w:firstRow="1" w:lastRow="0" w:firstColumn="1" w:lastColumn="0" w:noHBand="0" w:noVBand="1"/>
      </w:tblPr>
      <w:tblGrid>
        <w:gridCol w:w="4765"/>
        <w:gridCol w:w="5315"/>
      </w:tblGrid>
      <w:tr w:rsidR="00570BF7" w:rsidRPr="009154B7" w:rsidTr="00DC27BD">
        <w:tc>
          <w:tcPr>
            <w:tcW w:w="10080" w:type="dxa"/>
            <w:gridSpan w:val="2"/>
          </w:tcPr>
          <w:p w:rsidR="00570BF7" w:rsidRPr="009154B7" w:rsidRDefault="00570BF7" w:rsidP="00DC27BD">
            <w:pPr>
              <w:tabs>
                <w:tab w:val="left" w:pos="9072"/>
              </w:tabs>
              <w:spacing w:after="240" w:line="240" w:lineRule="auto"/>
              <w:jc w:val="center"/>
              <w:rPr>
                <w:rFonts w:ascii="Arial" w:eastAsia="Times New Roman" w:hAnsi="Arial" w:cs="Arial"/>
                <w:b/>
                <w:noProof/>
                <w:sz w:val="28"/>
                <w:szCs w:val="28"/>
                <w:lang w:val="sr-Cyrl-RS" w:eastAsia="sr-Cyrl-CS"/>
              </w:rPr>
            </w:pPr>
            <w:bookmarkStart w:id="0" w:name="str_137"/>
            <w:bookmarkEnd w:id="0"/>
          </w:p>
          <w:p w:rsidR="000B37BF" w:rsidRPr="009154B7" w:rsidRDefault="000B37BF" w:rsidP="00DC27BD">
            <w:pPr>
              <w:tabs>
                <w:tab w:val="left" w:pos="9072"/>
              </w:tabs>
              <w:spacing w:after="0" w:line="240" w:lineRule="auto"/>
              <w:jc w:val="center"/>
              <w:rPr>
                <w:rFonts w:ascii="Arial" w:eastAsia="Times New Roman" w:hAnsi="Arial" w:cs="Arial"/>
                <w:b/>
                <w:noProof/>
                <w:sz w:val="28"/>
                <w:szCs w:val="28"/>
                <w:lang w:val="sr-Cyrl-RS" w:eastAsia="sr-Cyrl-CS"/>
              </w:rPr>
            </w:pPr>
          </w:p>
          <w:p w:rsidR="000B37BF" w:rsidRPr="009154B7" w:rsidRDefault="000B37BF" w:rsidP="00DC27BD">
            <w:pPr>
              <w:tabs>
                <w:tab w:val="left" w:pos="9072"/>
              </w:tabs>
              <w:spacing w:after="0" w:line="240" w:lineRule="auto"/>
              <w:jc w:val="center"/>
              <w:rPr>
                <w:rFonts w:ascii="Arial" w:eastAsia="Times New Roman" w:hAnsi="Arial" w:cs="Arial"/>
                <w:b/>
                <w:noProof/>
                <w:sz w:val="28"/>
                <w:szCs w:val="28"/>
                <w:lang w:val="sr-Cyrl-RS" w:eastAsia="sr-Cyrl-CS"/>
              </w:rPr>
            </w:pPr>
          </w:p>
          <w:p w:rsidR="00570BF7" w:rsidRPr="009154B7" w:rsidRDefault="00FF10B5" w:rsidP="00DC27BD">
            <w:pPr>
              <w:tabs>
                <w:tab w:val="left" w:pos="9072"/>
              </w:tabs>
              <w:spacing w:after="0" w:line="240" w:lineRule="auto"/>
              <w:jc w:val="center"/>
              <w:rPr>
                <w:rFonts w:ascii="Arial" w:eastAsia="Times New Roman" w:hAnsi="Arial" w:cs="Arial"/>
                <w:b/>
                <w:noProof/>
                <w:sz w:val="28"/>
                <w:szCs w:val="28"/>
                <w:lang w:val="sr-Cyrl-RS" w:eastAsia="sr-Cyrl-CS"/>
              </w:rPr>
            </w:pPr>
            <w:r w:rsidRPr="009154B7">
              <w:rPr>
                <w:rFonts w:ascii="Arial" w:eastAsia="Times New Roman" w:hAnsi="Arial" w:cs="Arial"/>
                <w:b/>
                <w:noProof/>
                <w:sz w:val="28"/>
                <w:szCs w:val="28"/>
                <w:lang w:val="sr-Cyrl-RS" w:eastAsia="sr-Cyrl-CS"/>
              </w:rPr>
              <w:t>МИНИСТАРСТВО ЗА РАД, ЗАПОШЉАВАЊЕ, БОРАЧКА И СОЦИЈАЛНА ПИТАЊА</w:t>
            </w:r>
          </w:p>
          <w:p w:rsidR="00B30A8A" w:rsidRPr="009154B7" w:rsidRDefault="00B30A8A" w:rsidP="00DC27BD">
            <w:pPr>
              <w:tabs>
                <w:tab w:val="left" w:pos="9072"/>
              </w:tabs>
              <w:spacing w:after="0" w:line="240" w:lineRule="auto"/>
              <w:jc w:val="center"/>
              <w:rPr>
                <w:rFonts w:ascii="Arial" w:eastAsia="Times New Roman" w:hAnsi="Arial" w:cs="Arial"/>
                <w:b/>
                <w:noProof/>
                <w:sz w:val="28"/>
                <w:szCs w:val="28"/>
                <w:lang w:val="sr-Cyrl-RS" w:eastAsia="sr-Cyrl-CS"/>
              </w:rPr>
            </w:pPr>
            <w:r w:rsidRPr="00BD7B7B">
              <w:rPr>
                <w:rFonts w:ascii="Arial" w:eastAsia="Times New Roman" w:hAnsi="Arial" w:cs="Arial"/>
                <w:b/>
                <w:noProof/>
                <w:sz w:val="28"/>
                <w:szCs w:val="28"/>
                <w:lang w:val="sr-Cyrl-RS" w:eastAsia="sr-Cyrl-CS"/>
              </w:rPr>
              <w:t>Проф.др. Дар</w:t>
            </w:r>
            <w:r w:rsidR="006E24B8" w:rsidRPr="00BD7B7B">
              <w:rPr>
                <w:rFonts w:ascii="Arial" w:eastAsia="Times New Roman" w:hAnsi="Arial" w:cs="Arial"/>
                <w:b/>
                <w:noProof/>
                <w:sz w:val="28"/>
                <w:szCs w:val="28"/>
                <w:lang w:val="sr-Cyrl-RS" w:eastAsia="sr-Cyrl-CS"/>
              </w:rPr>
              <w:t>и</w:t>
            </w:r>
            <w:r w:rsidRPr="00BD7B7B">
              <w:rPr>
                <w:rFonts w:ascii="Arial" w:eastAsia="Times New Roman" w:hAnsi="Arial" w:cs="Arial"/>
                <w:b/>
                <w:noProof/>
                <w:sz w:val="28"/>
                <w:szCs w:val="28"/>
                <w:lang w:val="sr-Cyrl-RS" w:eastAsia="sr-Cyrl-CS"/>
              </w:rPr>
              <w:t>ја Кисић Тепавчевић, министарка</w:t>
            </w:r>
          </w:p>
          <w:p w:rsidR="00570BF7" w:rsidRPr="009154B7" w:rsidRDefault="00570BF7" w:rsidP="00E505D8">
            <w:pPr>
              <w:tabs>
                <w:tab w:val="left" w:pos="9072"/>
              </w:tabs>
              <w:spacing w:after="0" w:line="240" w:lineRule="auto"/>
              <w:jc w:val="center"/>
              <w:rPr>
                <w:rFonts w:ascii="Arial" w:eastAsia="Times New Roman" w:hAnsi="Arial" w:cs="Arial"/>
                <w:b/>
                <w:noProof/>
                <w:sz w:val="28"/>
                <w:szCs w:val="28"/>
                <w:lang w:val="sr-Cyrl-RS" w:eastAsia="sr-Cyrl-CS"/>
              </w:rPr>
            </w:pPr>
          </w:p>
        </w:tc>
      </w:tr>
      <w:tr w:rsidR="00570BF7" w:rsidRPr="009154B7" w:rsidTr="00DC27BD">
        <w:tc>
          <w:tcPr>
            <w:tcW w:w="4765" w:type="dxa"/>
            <w:tcBorders>
              <w:right w:val="nil"/>
            </w:tcBorders>
          </w:tcPr>
          <w:p w:rsidR="00570BF7" w:rsidRPr="009154B7" w:rsidRDefault="00570BF7" w:rsidP="00DC27BD">
            <w:pPr>
              <w:tabs>
                <w:tab w:val="left" w:pos="9072"/>
              </w:tabs>
              <w:spacing w:after="240" w:line="240" w:lineRule="auto"/>
              <w:rPr>
                <w:rFonts w:ascii="Arial" w:eastAsia="Times New Roman" w:hAnsi="Arial" w:cs="Arial"/>
                <w:b/>
                <w:noProof/>
                <w:sz w:val="28"/>
                <w:szCs w:val="28"/>
                <w:lang w:val="sr-Cyrl-RS" w:eastAsia="sr-Cyrl-CS"/>
              </w:rPr>
            </w:pPr>
            <w:r w:rsidRPr="009154B7">
              <w:rPr>
                <w:rFonts w:ascii="Arial" w:eastAsia="Times New Roman" w:hAnsi="Arial" w:cs="Arial"/>
                <w:b/>
                <w:noProof/>
                <w:sz w:val="28"/>
                <w:szCs w:val="28"/>
                <w:lang w:val="sr-Cyrl-RS" w:eastAsia="sr-Cyrl-CS"/>
              </w:rPr>
              <w:t xml:space="preserve">                            </w:t>
            </w:r>
          </w:p>
        </w:tc>
        <w:tc>
          <w:tcPr>
            <w:tcW w:w="5315" w:type="dxa"/>
            <w:tcBorders>
              <w:left w:val="nil"/>
            </w:tcBorders>
          </w:tcPr>
          <w:p w:rsidR="00570BF7" w:rsidRPr="009154B7" w:rsidRDefault="00570BF7" w:rsidP="00DC27BD">
            <w:pPr>
              <w:tabs>
                <w:tab w:val="left" w:pos="9072"/>
              </w:tabs>
              <w:spacing w:after="0" w:line="240" w:lineRule="auto"/>
              <w:jc w:val="center"/>
              <w:rPr>
                <w:rStyle w:val="Hyperlink"/>
                <w:rFonts w:ascii="Arial" w:hAnsi="Arial" w:cs="Arial"/>
                <w:b/>
                <w:noProof/>
                <w:color w:val="auto"/>
                <w:sz w:val="24"/>
                <w:szCs w:val="24"/>
                <w:u w:val="none"/>
                <w:lang w:val="sr-Cyrl-RS"/>
              </w:rPr>
            </w:pPr>
            <w:r w:rsidRPr="009154B7">
              <w:rPr>
                <w:rFonts w:ascii="Arial" w:eastAsia="Times New Roman" w:hAnsi="Arial" w:cs="Arial"/>
                <w:b/>
                <w:noProof/>
                <w:sz w:val="24"/>
                <w:szCs w:val="24"/>
                <w:lang w:val="sr-Cyrl-RS" w:eastAsia="sr-Cyrl-CS"/>
              </w:rPr>
              <w:t xml:space="preserve">                  </w:t>
            </w:r>
            <w:hyperlink r:id="rId10" w:history="1">
              <w:r w:rsidRPr="009154B7">
                <w:rPr>
                  <w:rStyle w:val="Hyperlink"/>
                  <w:rFonts w:ascii="Arial" w:hAnsi="Arial" w:cs="Arial"/>
                  <w:b/>
                  <w:noProof/>
                  <w:color w:val="auto"/>
                  <w:sz w:val="24"/>
                  <w:szCs w:val="24"/>
                  <w:u w:val="none"/>
                  <w:lang w:val="sr-Cyrl-RS"/>
                </w:rPr>
                <w:t>11000</w:t>
              </w:r>
            </w:hyperlink>
            <w:r w:rsidRPr="009154B7">
              <w:rPr>
                <w:rStyle w:val="Hyperlink"/>
                <w:rFonts w:ascii="Arial" w:hAnsi="Arial" w:cs="Arial"/>
                <w:b/>
                <w:noProof/>
                <w:color w:val="auto"/>
                <w:sz w:val="24"/>
                <w:szCs w:val="24"/>
                <w:u w:val="none"/>
                <w:lang w:val="sr-Cyrl-RS"/>
              </w:rPr>
              <w:t xml:space="preserve"> БЕОГРАД</w:t>
            </w:r>
          </w:p>
          <w:p w:rsidR="00570BF7" w:rsidRPr="009154B7" w:rsidRDefault="00FF10B5" w:rsidP="00DC27BD">
            <w:pPr>
              <w:tabs>
                <w:tab w:val="left" w:pos="9072"/>
              </w:tabs>
              <w:spacing w:after="0" w:line="240" w:lineRule="auto"/>
              <w:jc w:val="center"/>
              <w:rPr>
                <w:rFonts w:ascii="Arial" w:eastAsia="Times New Roman" w:hAnsi="Arial" w:cs="Arial"/>
                <w:b/>
                <w:noProof/>
                <w:sz w:val="24"/>
                <w:szCs w:val="24"/>
                <w:lang w:val="sr-Cyrl-RS" w:eastAsia="sr-Cyrl-CS"/>
              </w:rPr>
            </w:pPr>
            <w:r w:rsidRPr="009154B7">
              <w:rPr>
                <w:rStyle w:val="Hyperlink"/>
                <w:rFonts w:ascii="Arial" w:hAnsi="Arial" w:cs="Arial"/>
                <w:b/>
                <w:noProof/>
                <w:color w:val="auto"/>
                <w:sz w:val="24"/>
                <w:szCs w:val="24"/>
                <w:u w:val="none"/>
                <w:lang w:val="sr-Cyrl-RS"/>
              </w:rPr>
              <w:t xml:space="preserve">                   Немањина 22-24</w:t>
            </w:r>
            <w:r w:rsidR="00570BF7" w:rsidRPr="009154B7">
              <w:rPr>
                <w:rFonts w:ascii="Arial" w:eastAsia="Times New Roman" w:hAnsi="Arial" w:cs="Arial"/>
                <w:b/>
                <w:noProof/>
                <w:sz w:val="24"/>
                <w:szCs w:val="24"/>
                <w:lang w:val="sr-Cyrl-RS" w:eastAsia="sr-Cyrl-CS"/>
              </w:rPr>
              <w:t xml:space="preserve">                                   </w:t>
            </w:r>
          </w:p>
          <w:p w:rsidR="00570BF7" w:rsidRPr="009154B7" w:rsidRDefault="00570BF7" w:rsidP="00DC27BD">
            <w:pPr>
              <w:tabs>
                <w:tab w:val="left" w:pos="9072"/>
              </w:tabs>
              <w:spacing w:after="0" w:line="240" w:lineRule="auto"/>
              <w:jc w:val="center"/>
              <w:rPr>
                <w:rFonts w:ascii="Arial" w:eastAsia="Times New Roman" w:hAnsi="Arial" w:cs="Arial"/>
                <w:b/>
                <w:noProof/>
                <w:sz w:val="24"/>
                <w:szCs w:val="24"/>
                <w:lang w:val="sr-Cyrl-RS" w:eastAsia="sr-Cyrl-CS"/>
              </w:rPr>
            </w:pPr>
          </w:p>
        </w:tc>
      </w:tr>
    </w:tbl>
    <w:p w:rsidR="000B37BF" w:rsidRPr="009154B7" w:rsidRDefault="000B37BF" w:rsidP="002071BE">
      <w:pPr>
        <w:tabs>
          <w:tab w:val="left" w:pos="9072"/>
        </w:tabs>
        <w:spacing w:after="240"/>
        <w:jc w:val="both"/>
        <w:rPr>
          <w:rFonts w:ascii="Arial" w:eastAsia="Times New Roman" w:hAnsi="Arial" w:cs="Arial"/>
          <w:b/>
          <w:noProof/>
          <w:u w:val="single"/>
          <w:lang w:val="sr-Cyrl-RS" w:eastAsia="sr-Cyrl-CS"/>
        </w:rPr>
      </w:pPr>
    </w:p>
    <w:p w:rsidR="00CB63F3" w:rsidRPr="009154B7" w:rsidRDefault="00CB63F3" w:rsidP="002071BE">
      <w:pPr>
        <w:tabs>
          <w:tab w:val="left" w:pos="9072"/>
        </w:tabs>
        <w:spacing w:after="240"/>
        <w:jc w:val="both"/>
        <w:rPr>
          <w:rFonts w:ascii="Arial" w:eastAsia="Times New Roman" w:hAnsi="Arial" w:cs="Arial"/>
          <w:b/>
          <w:noProof/>
          <w:u w:val="single"/>
          <w:lang w:val="sr-Cyrl-RS" w:eastAsia="sr-Cyrl-CS"/>
        </w:rPr>
      </w:pPr>
      <w:r w:rsidRPr="009154B7">
        <w:rPr>
          <w:rFonts w:ascii="Arial" w:eastAsia="Times New Roman" w:hAnsi="Arial" w:cs="Arial"/>
          <w:b/>
          <w:noProof/>
          <w:u w:val="single"/>
          <w:lang w:val="sr-Cyrl-RS" w:eastAsia="sr-Cyrl-CS"/>
        </w:rPr>
        <w:t xml:space="preserve">Предмет: Иницијатива за </w:t>
      </w:r>
      <w:r w:rsidR="007C2B97" w:rsidRPr="009154B7">
        <w:rPr>
          <w:rFonts w:ascii="Arial" w:eastAsia="Times New Roman" w:hAnsi="Arial" w:cs="Arial"/>
          <w:b/>
          <w:noProof/>
          <w:u w:val="single"/>
          <w:lang w:val="sr-Cyrl-RS" w:eastAsia="sr-Cyrl-CS"/>
        </w:rPr>
        <w:t>и</w:t>
      </w:r>
      <w:r w:rsidRPr="009154B7">
        <w:rPr>
          <w:rFonts w:ascii="Arial" w:eastAsia="Times New Roman" w:hAnsi="Arial" w:cs="Arial"/>
          <w:b/>
          <w:noProof/>
          <w:u w:val="single"/>
          <w:lang w:val="sr-Cyrl-RS" w:eastAsia="sr-Cyrl-CS"/>
        </w:rPr>
        <w:t>змену Правилника о ближим условима и стандардима за пружање услуга социјалне заштите</w:t>
      </w:r>
    </w:p>
    <w:p w:rsidR="007B370A" w:rsidRPr="009154B7" w:rsidRDefault="007B370A" w:rsidP="002071BE">
      <w:pPr>
        <w:jc w:val="both"/>
        <w:rPr>
          <w:rFonts w:ascii="Arial" w:eastAsia="Georgia" w:hAnsi="Arial" w:cs="Arial"/>
          <w:noProof/>
          <w:lang w:val="sr-Cyrl-RS"/>
        </w:rPr>
      </w:pPr>
    </w:p>
    <w:p w:rsidR="00B30A8A" w:rsidRPr="009154B7" w:rsidRDefault="00B30A8A" w:rsidP="002071BE">
      <w:pPr>
        <w:jc w:val="both"/>
        <w:rPr>
          <w:rFonts w:ascii="Arial" w:eastAsia="Georgia" w:hAnsi="Arial" w:cs="Arial"/>
          <w:noProof/>
          <w:lang w:val="sr-Cyrl-RS"/>
        </w:rPr>
      </w:pPr>
      <w:r w:rsidRPr="00BD7B7B">
        <w:rPr>
          <w:rFonts w:ascii="Arial" w:eastAsia="Georgia" w:hAnsi="Arial" w:cs="Arial"/>
          <w:noProof/>
          <w:lang w:val="sr-Cyrl-RS"/>
        </w:rPr>
        <w:t>Поштована госпођо Кисић Тепавчевић,</w:t>
      </w:r>
    </w:p>
    <w:p w:rsidR="00CB63F3" w:rsidRPr="009154B7" w:rsidRDefault="00CB63F3" w:rsidP="002071BE">
      <w:pPr>
        <w:jc w:val="both"/>
        <w:rPr>
          <w:rFonts w:ascii="Arial" w:eastAsia="Georgia" w:hAnsi="Arial" w:cs="Arial"/>
          <w:noProof/>
          <w:lang w:val="sr-Cyrl-RS"/>
        </w:rPr>
      </w:pPr>
      <w:r w:rsidRPr="009154B7">
        <w:rPr>
          <w:rFonts w:ascii="Arial" w:eastAsia="Georgia" w:hAnsi="Arial" w:cs="Arial"/>
          <w:noProof/>
          <w:lang w:val="sr-Cyrl-RS"/>
        </w:rPr>
        <w:t xml:space="preserve">Повереник за заштиту равноправности, </w:t>
      </w:r>
      <w:r w:rsidR="002B64A0" w:rsidRPr="009154B7">
        <w:rPr>
          <w:rFonts w:ascii="Arial" w:eastAsia="Georgia" w:hAnsi="Arial" w:cs="Arial"/>
          <w:noProof/>
          <w:lang w:val="sr-Cyrl-RS"/>
        </w:rPr>
        <w:t>у оквиру своје надлежности</w:t>
      </w:r>
      <w:r w:rsidR="00B30A8A" w:rsidRPr="009154B7">
        <w:rPr>
          <w:rFonts w:ascii="Arial" w:eastAsia="Georgia" w:hAnsi="Arial" w:cs="Arial"/>
          <w:noProof/>
          <w:lang w:val="sr-Cyrl-RS"/>
        </w:rPr>
        <w:t>, прописан</w:t>
      </w:r>
      <w:r w:rsidR="002B64A0" w:rsidRPr="009154B7">
        <w:rPr>
          <w:rFonts w:ascii="Arial" w:eastAsia="Georgia" w:hAnsi="Arial" w:cs="Arial"/>
          <w:noProof/>
          <w:lang w:val="sr-Cyrl-RS"/>
        </w:rPr>
        <w:t>е</w:t>
      </w:r>
      <w:r w:rsidR="00B30A8A" w:rsidRPr="009154B7">
        <w:rPr>
          <w:rFonts w:ascii="Arial" w:eastAsia="Georgia" w:hAnsi="Arial" w:cs="Arial"/>
          <w:noProof/>
          <w:lang w:val="sr-Cyrl-RS"/>
        </w:rPr>
        <w:t xml:space="preserve"> </w:t>
      </w:r>
      <w:r w:rsidRPr="009154B7">
        <w:rPr>
          <w:rFonts w:ascii="Arial" w:eastAsia="Georgia" w:hAnsi="Arial" w:cs="Arial"/>
          <w:noProof/>
          <w:lang w:val="sr-Cyrl-RS"/>
        </w:rPr>
        <w:t>чланом 33. став 7. Закона о забрани дискриминације, Министарству за рад, запошљавање</w:t>
      </w:r>
      <w:r w:rsidR="00BD2D6B" w:rsidRPr="009154B7">
        <w:rPr>
          <w:rFonts w:ascii="Arial" w:eastAsia="Georgia" w:hAnsi="Arial" w:cs="Arial"/>
          <w:noProof/>
          <w:lang w:val="sr-Cyrl-RS"/>
        </w:rPr>
        <w:t>, борачка и социјална питања</w:t>
      </w:r>
      <w:r w:rsidRPr="009154B7">
        <w:rPr>
          <w:rFonts w:ascii="Arial" w:eastAsia="Georgia" w:hAnsi="Arial" w:cs="Arial"/>
          <w:noProof/>
          <w:lang w:val="sr-Cyrl-RS"/>
        </w:rPr>
        <w:t xml:space="preserve"> упућује иницијативу да размотри измене и допуне одредаба </w:t>
      </w:r>
      <w:r w:rsidRPr="009154B7">
        <w:rPr>
          <w:rFonts w:ascii="Arial" w:eastAsia="Times New Roman" w:hAnsi="Arial" w:cs="Arial"/>
          <w:noProof/>
          <w:lang w:val="sr-Cyrl-RS" w:eastAsia="sr-Cyrl-CS"/>
        </w:rPr>
        <w:t>Правилника о ближим условима и стандардима за пружање услуга социјалне заштите</w:t>
      </w:r>
      <w:r w:rsidR="00771059" w:rsidRPr="009154B7">
        <w:rPr>
          <w:rStyle w:val="FootnoteReference"/>
          <w:rFonts w:ascii="Arial" w:eastAsia="Times New Roman" w:hAnsi="Arial" w:cs="Arial"/>
          <w:noProof/>
          <w:lang w:val="sr-Cyrl-RS" w:eastAsia="sr-Cyrl-CS"/>
        </w:rPr>
        <w:footnoteReference w:id="1"/>
      </w:r>
      <w:r w:rsidRPr="009154B7">
        <w:rPr>
          <w:rFonts w:ascii="Arial" w:eastAsia="Times New Roman" w:hAnsi="Arial" w:cs="Arial"/>
          <w:noProof/>
          <w:lang w:val="sr-Cyrl-RS" w:eastAsia="sr-Cyrl-CS"/>
        </w:rPr>
        <w:t xml:space="preserve"> у </w:t>
      </w:r>
      <w:r w:rsidR="000D7CA7" w:rsidRPr="009154B7">
        <w:rPr>
          <w:rFonts w:ascii="Arial" w:eastAsia="Times New Roman" w:hAnsi="Arial" w:cs="Arial"/>
          <w:noProof/>
          <w:lang w:val="sr-Cyrl-RS" w:eastAsia="sr-Cyrl-CS"/>
        </w:rPr>
        <w:t xml:space="preserve">погледу остваривања права на услугу персоналне асистенције. </w:t>
      </w:r>
    </w:p>
    <w:p w:rsidR="00E23EA0" w:rsidRPr="009154B7" w:rsidRDefault="006C0520" w:rsidP="002071BE">
      <w:pPr>
        <w:tabs>
          <w:tab w:val="left" w:pos="9072"/>
        </w:tabs>
        <w:spacing w:after="240"/>
        <w:jc w:val="both"/>
        <w:rPr>
          <w:rFonts w:ascii="Arial" w:eastAsia="Times New Roman" w:hAnsi="Arial" w:cs="Arial"/>
          <w:noProof/>
          <w:lang w:val="sr-Cyrl-RS" w:eastAsia="sr-Cyrl-CS"/>
        </w:rPr>
      </w:pPr>
      <w:r w:rsidRPr="009154B7">
        <w:rPr>
          <w:rFonts w:ascii="Arial" w:eastAsia="Times New Roman" w:hAnsi="Arial" w:cs="Arial"/>
          <w:noProof/>
          <w:lang w:val="sr-Cyrl-RS" w:eastAsia="sr-Cyrl-CS"/>
        </w:rPr>
        <w:t xml:space="preserve">Наиме, </w:t>
      </w:r>
      <w:r w:rsidR="00E23EA0" w:rsidRPr="009154B7">
        <w:rPr>
          <w:rFonts w:ascii="Arial" w:eastAsia="Times New Roman" w:hAnsi="Arial" w:cs="Arial"/>
          <w:noProof/>
          <w:lang w:val="sr-Cyrl-RS" w:eastAsia="sr-Cyrl-CS"/>
        </w:rPr>
        <w:t>Поверенику за заштиту равн</w:t>
      </w:r>
      <w:r w:rsidR="00FF10B5" w:rsidRPr="009154B7">
        <w:rPr>
          <w:rFonts w:ascii="Arial" w:eastAsia="Times New Roman" w:hAnsi="Arial" w:cs="Arial"/>
          <w:noProof/>
          <w:lang w:val="sr-Cyrl-RS" w:eastAsia="sr-Cyrl-CS"/>
        </w:rPr>
        <w:t>оправности обрати</w:t>
      </w:r>
      <w:r w:rsidR="001566C8">
        <w:rPr>
          <w:rFonts w:ascii="Arial" w:eastAsia="Times New Roman" w:hAnsi="Arial" w:cs="Arial"/>
          <w:noProof/>
          <w:lang w:val="sr-Latn-CS" w:eastAsia="sr-Cyrl-CS"/>
        </w:rPr>
        <w:t>л</w:t>
      </w:r>
      <w:r w:rsidR="001566C8">
        <w:rPr>
          <w:rFonts w:ascii="Arial" w:eastAsia="Times New Roman" w:hAnsi="Arial" w:cs="Arial"/>
          <w:noProof/>
          <w:lang w:val="sr-Cyrl-RS" w:eastAsia="sr-Cyrl-CS"/>
        </w:rPr>
        <w:t>о с</w:t>
      </w:r>
      <w:r w:rsidR="001566C8">
        <w:rPr>
          <w:rFonts w:ascii="Arial" w:eastAsia="Times New Roman" w:hAnsi="Arial" w:cs="Arial"/>
          <w:noProof/>
          <w:lang w:val="sr-Latn-CS" w:eastAsia="sr-Cyrl-CS"/>
        </w:rPr>
        <w:t>е удружење</w:t>
      </w:r>
      <w:r w:rsidR="001924C7" w:rsidRPr="009154B7">
        <w:rPr>
          <w:rFonts w:ascii="Arial" w:eastAsia="Times New Roman" w:hAnsi="Arial" w:cs="Arial"/>
          <w:noProof/>
          <w:lang w:val="sr-Cyrl-RS" w:eastAsia="sr-Cyrl-CS"/>
        </w:rPr>
        <w:t xml:space="preserve"> дописом уз који су послати бројни прилози у </w:t>
      </w:r>
      <w:r w:rsidR="00697C28" w:rsidRPr="009154B7">
        <w:rPr>
          <w:rFonts w:ascii="Arial" w:hAnsi="Arial" w:cs="Arial"/>
          <w:noProof/>
          <w:lang w:val="sr-Cyrl-RS"/>
        </w:rPr>
        <w:t xml:space="preserve">виду комуникације овог удружења са центрима за социјални рад на нивоу јединица локалне самоуправе, у којој су између осталог истакнути проблеми са којима се суочавају особе са инвалидитетом у обезбеђивању услуге персоналне асистенције, предлози за измену регулативе која се односи на персоналну асистенцију. У допису је указано </w:t>
      </w:r>
      <w:r w:rsidR="00E23EA0" w:rsidRPr="009154B7">
        <w:rPr>
          <w:rFonts w:ascii="Arial" w:eastAsia="Times New Roman" w:hAnsi="Arial" w:cs="Arial"/>
          <w:noProof/>
          <w:lang w:val="sr-Cyrl-RS" w:eastAsia="sr-Cyrl-CS"/>
        </w:rPr>
        <w:t>на одредбе Правилника о ближим условима и стандардима за пружање услуга социјалне заштите,</w:t>
      </w:r>
      <w:r w:rsidR="00BA621C" w:rsidRPr="009154B7">
        <w:rPr>
          <w:rFonts w:ascii="Arial" w:eastAsia="Times New Roman" w:hAnsi="Arial" w:cs="Arial"/>
          <w:noProof/>
          <w:lang w:val="sr-Cyrl-RS" w:eastAsia="sr-Cyrl-CS"/>
        </w:rPr>
        <w:t xml:space="preserve"> </w:t>
      </w:r>
      <w:r w:rsidR="00697C28" w:rsidRPr="009154B7">
        <w:rPr>
          <w:rFonts w:ascii="Arial" w:eastAsia="Times New Roman" w:hAnsi="Arial" w:cs="Arial"/>
          <w:noProof/>
          <w:lang w:val="sr-Cyrl-RS" w:eastAsia="sr-Cyrl-CS"/>
        </w:rPr>
        <w:t xml:space="preserve">и то на одредбе које се односе на </w:t>
      </w:r>
      <w:r w:rsidR="00BA621C" w:rsidRPr="009154B7">
        <w:rPr>
          <w:rFonts w:ascii="Arial" w:eastAsia="Times New Roman" w:hAnsi="Arial" w:cs="Arial"/>
          <w:noProof/>
          <w:lang w:val="sr-Cyrl-RS" w:eastAsia="sr-Cyrl-CS"/>
        </w:rPr>
        <w:t>услуг</w:t>
      </w:r>
      <w:r w:rsidR="00697C28" w:rsidRPr="009154B7">
        <w:rPr>
          <w:rFonts w:ascii="Arial" w:eastAsia="Times New Roman" w:hAnsi="Arial" w:cs="Arial"/>
          <w:noProof/>
          <w:lang w:val="sr-Cyrl-RS" w:eastAsia="sr-Cyrl-CS"/>
        </w:rPr>
        <w:t>у</w:t>
      </w:r>
      <w:r w:rsidR="00BA621C" w:rsidRPr="009154B7">
        <w:rPr>
          <w:rFonts w:ascii="Arial" w:eastAsia="Times New Roman" w:hAnsi="Arial" w:cs="Arial"/>
          <w:noProof/>
          <w:lang w:val="sr-Cyrl-RS" w:eastAsia="sr-Cyrl-CS"/>
        </w:rPr>
        <w:t xml:space="preserve"> персоналне</w:t>
      </w:r>
      <w:r w:rsidR="00E23EA0" w:rsidRPr="009154B7">
        <w:rPr>
          <w:rFonts w:ascii="Arial" w:eastAsia="Times New Roman" w:hAnsi="Arial" w:cs="Arial"/>
          <w:noProof/>
          <w:lang w:val="sr-Cyrl-RS" w:eastAsia="sr-Cyrl-CS"/>
        </w:rPr>
        <w:t xml:space="preserve"> асистенције </w:t>
      </w:r>
      <w:r w:rsidR="00697C28" w:rsidRPr="009154B7">
        <w:rPr>
          <w:rFonts w:ascii="Arial" w:eastAsia="Times New Roman" w:hAnsi="Arial" w:cs="Arial"/>
          <w:noProof/>
          <w:lang w:val="sr-Cyrl-RS" w:eastAsia="sr-Cyrl-CS"/>
        </w:rPr>
        <w:t xml:space="preserve">која је према овим одредбама ограничена </w:t>
      </w:r>
      <w:r w:rsidR="00E23EA0" w:rsidRPr="009154B7">
        <w:rPr>
          <w:rFonts w:ascii="Arial" w:eastAsia="Times New Roman" w:hAnsi="Arial" w:cs="Arial"/>
          <w:noProof/>
          <w:lang w:val="sr-Cyrl-RS" w:eastAsia="sr-Cyrl-CS"/>
        </w:rPr>
        <w:t>искључиво на лица која остварују право на увећан</w:t>
      </w:r>
      <w:r w:rsidR="00B9547D" w:rsidRPr="009154B7">
        <w:rPr>
          <w:rFonts w:ascii="Arial" w:eastAsia="Times New Roman" w:hAnsi="Arial" w:cs="Arial"/>
          <w:noProof/>
          <w:lang w:val="sr-Cyrl-RS" w:eastAsia="sr-Cyrl-CS"/>
        </w:rPr>
        <w:t>и</w:t>
      </w:r>
      <w:r w:rsidR="00E23EA0" w:rsidRPr="009154B7">
        <w:rPr>
          <w:rFonts w:ascii="Arial" w:eastAsia="Times New Roman" w:hAnsi="Arial" w:cs="Arial"/>
          <w:noProof/>
          <w:lang w:val="sr-Cyrl-RS" w:eastAsia="sr-Cyrl-CS"/>
        </w:rPr>
        <w:t xml:space="preserve"> </w:t>
      </w:r>
      <w:r w:rsidR="00B9547D" w:rsidRPr="009154B7">
        <w:rPr>
          <w:rFonts w:ascii="Arial" w:eastAsia="Times New Roman" w:hAnsi="Arial" w:cs="Arial"/>
          <w:noProof/>
          <w:lang w:val="sr-Cyrl-RS" w:eastAsia="sr-Cyrl-CS"/>
        </w:rPr>
        <w:t>додатак за</w:t>
      </w:r>
      <w:r w:rsidR="00E23EA0" w:rsidRPr="009154B7">
        <w:rPr>
          <w:rFonts w:ascii="Arial" w:eastAsia="Times New Roman" w:hAnsi="Arial" w:cs="Arial"/>
          <w:noProof/>
          <w:lang w:val="sr-Cyrl-RS" w:eastAsia="sr-Cyrl-CS"/>
        </w:rPr>
        <w:t xml:space="preserve"> </w:t>
      </w:r>
      <w:r w:rsidR="00697C28" w:rsidRPr="009154B7">
        <w:rPr>
          <w:rFonts w:ascii="Arial" w:eastAsia="Times New Roman" w:hAnsi="Arial" w:cs="Arial"/>
          <w:noProof/>
          <w:lang w:val="sr-Cyrl-RS" w:eastAsia="sr-Cyrl-CS"/>
        </w:rPr>
        <w:t>помоћ и негу другог лица.</w:t>
      </w:r>
      <w:r w:rsidR="00E23EA0" w:rsidRPr="009154B7">
        <w:rPr>
          <w:rFonts w:ascii="Arial" w:eastAsia="Times New Roman" w:hAnsi="Arial" w:cs="Arial"/>
          <w:noProof/>
          <w:lang w:val="sr-Cyrl-RS" w:eastAsia="sr-Cyrl-CS"/>
        </w:rPr>
        <w:t xml:space="preserve"> </w:t>
      </w:r>
      <w:r w:rsidR="00F33F71" w:rsidRPr="009154B7">
        <w:rPr>
          <w:rFonts w:ascii="Arial" w:eastAsia="Times New Roman" w:hAnsi="Arial" w:cs="Arial"/>
          <w:noProof/>
          <w:lang w:val="sr-Cyrl-RS" w:eastAsia="sr-Cyrl-CS"/>
        </w:rPr>
        <w:t>Како је остварење права на увећан</w:t>
      </w:r>
      <w:r w:rsidR="00B9547D" w:rsidRPr="009154B7">
        <w:rPr>
          <w:rFonts w:ascii="Arial" w:eastAsia="Times New Roman" w:hAnsi="Arial" w:cs="Arial"/>
          <w:noProof/>
          <w:lang w:val="sr-Cyrl-RS" w:eastAsia="sr-Cyrl-CS"/>
        </w:rPr>
        <w:t>и</w:t>
      </w:r>
      <w:r w:rsidR="00F33F71" w:rsidRPr="009154B7">
        <w:rPr>
          <w:rFonts w:ascii="Arial" w:eastAsia="Times New Roman" w:hAnsi="Arial" w:cs="Arial"/>
          <w:noProof/>
          <w:lang w:val="sr-Cyrl-RS" w:eastAsia="sr-Cyrl-CS"/>
        </w:rPr>
        <w:t xml:space="preserve"> </w:t>
      </w:r>
      <w:r w:rsidR="00B9547D" w:rsidRPr="009154B7">
        <w:rPr>
          <w:rFonts w:ascii="Arial" w:eastAsia="Times New Roman" w:hAnsi="Arial" w:cs="Arial"/>
          <w:noProof/>
          <w:lang w:val="sr-Cyrl-RS" w:eastAsia="sr-Cyrl-CS"/>
        </w:rPr>
        <w:t>додатак за помоћ и негу другог лица</w:t>
      </w:r>
      <w:r w:rsidR="00F33F71" w:rsidRPr="009154B7">
        <w:rPr>
          <w:rFonts w:ascii="Arial" w:eastAsia="Times New Roman" w:hAnsi="Arial" w:cs="Arial"/>
          <w:noProof/>
          <w:lang w:val="sr-Cyrl-RS" w:eastAsia="sr-Cyrl-CS"/>
        </w:rPr>
        <w:t xml:space="preserve"> </w:t>
      </w:r>
      <w:r w:rsidR="00ED6F54" w:rsidRPr="009154B7">
        <w:rPr>
          <w:rFonts w:ascii="Arial" w:eastAsia="Times New Roman" w:hAnsi="Arial" w:cs="Arial"/>
          <w:noProof/>
          <w:lang w:val="sr-Cyrl-RS" w:eastAsia="sr-Cyrl-CS"/>
        </w:rPr>
        <w:t xml:space="preserve">има лице </w:t>
      </w:r>
      <w:r w:rsidR="00B36AD8">
        <w:rPr>
          <w:rFonts w:ascii="Arial" w:eastAsia="Times New Roman" w:hAnsi="Arial" w:cs="Arial"/>
          <w:noProof/>
          <w:lang w:val="sr-Cyrl-RS" w:eastAsia="sr-Cyrl-CS"/>
        </w:rPr>
        <w:t>које остварује право на додатак за помоћ и негу другог лица (</w:t>
      </w:r>
      <w:r w:rsidR="00ED6F54" w:rsidRPr="009154B7">
        <w:rPr>
          <w:rFonts w:ascii="Arial" w:eastAsia="Times New Roman" w:hAnsi="Arial" w:cs="Arial"/>
          <w:noProof/>
          <w:lang w:val="sr-Cyrl-RS" w:eastAsia="sr-Cyrl-CS"/>
        </w:rPr>
        <w:t>из члана 92. став 1. Закона о социјалној заштити</w:t>
      </w:r>
      <w:r w:rsidR="008759F9" w:rsidRPr="009154B7">
        <w:rPr>
          <w:rStyle w:val="FootnoteReference"/>
          <w:rFonts w:ascii="Arial" w:hAnsi="Arial" w:cs="Arial"/>
          <w:noProof/>
          <w:lang w:val="sr-Cyrl-RS"/>
        </w:rPr>
        <w:footnoteReference w:id="2"/>
      </w:r>
      <w:r w:rsidR="00B36AD8">
        <w:rPr>
          <w:rFonts w:ascii="Arial" w:eastAsia="Times New Roman" w:hAnsi="Arial" w:cs="Arial"/>
          <w:noProof/>
          <w:lang w:val="sr-Cyrl-RS" w:eastAsia="sr-Cyrl-CS"/>
        </w:rPr>
        <w:t>)</w:t>
      </w:r>
      <w:r w:rsidR="00ED6F54" w:rsidRPr="009154B7">
        <w:rPr>
          <w:rFonts w:ascii="Arial" w:eastAsia="Times New Roman" w:hAnsi="Arial" w:cs="Arial"/>
          <w:noProof/>
          <w:lang w:val="sr-Cyrl-RS" w:eastAsia="sr-Cyrl-CS"/>
        </w:rPr>
        <w:t xml:space="preserve"> за које је на основу прописа о пензијском и инвалидском осигурању </w:t>
      </w:r>
      <w:r w:rsidR="00ED6F54" w:rsidRPr="009154B7">
        <w:rPr>
          <w:rFonts w:ascii="Arial" w:eastAsia="Times New Roman" w:hAnsi="Arial" w:cs="Arial"/>
          <w:noProof/>
          <w:lang w:val="sr-Cyrl-RS" w:eastAsia="sr-Cyrl-CS"/>
        </w:rPr>
        <w:lastRenderedPageBreak/>
        <w:t>утврђено да има телесно оштећење од 100% по једном основу или да има органски трајни поремећај</w:t>
      </w:r>
      <w:r w:rsidR="00BA621C" w:rsidRPr="009154B7">
        <w:rPr>
          <w:rFonts w:ascii="Arial" w:eastAsia="Times New Roman" w:hAnsi="Arial" w:cs="Arial"/>
          <w:noProof/>
          <w:lang w:val="sr-Cyrl-RS" w:eastAsia="sr-Cyrl-CS"/>
        </w:rPr>
        <w:t xml:space="preserve"> неуролошког </w:t>
      </w:r>
      <w:r w:rsidR="00B9547D" w:rsidRPr="009154B7">
        <w:rPr>
          <w:rFonts w:ascii="Arial" w:eastAsia="Times New Roman" w:hAnsi="Arial" w:cs="Arial"/>
          <w:noProof/>
          <w:lang w:val="sr-Cyrl-RS" w:eastAsia="sr-Cyrl-CS"/>
        </w:rPr>
        <w:t>и псих</w:t>
      </w:r>
      <w:r w:rsidR="008B0D29" w:rsidRPr="009154B7">
        <w:rPr>
          <w:rFonts w:ascii="Arial" w:eastAsia="Times New Roman" w:hAnsi="Arial" w:cs="Arial"/>
          <w:noProof/>
          <w:lang w:val="sr-Cyrl-RS" w:eastAsia="sr-Cyrl-CS"/>
        </w:rPr>
        <w:t>ичког типа</w:t>
      </w:r>
      <w:r w:rsidR="00B9547D" w:rsidRPr="009154B7">
        <w:rPr>
          <w:rFonts w:ascii="Arial" w:eastAsia="Times New Roman" w:hAnsi="Arial" w:cs="Arial"/>
          <w:noProof/>
          <w:lang w:val="sr-Cyrl-RS" w:eastAsia="sr-Cyrl-CS"/>
        </w:rPr>
        <w:t>,</w:t>
      </w:r>
      <w:r w:rsidR="000E4F01" w:rsidRPr="009154B7">
        <w:rPr>
          <w:rFonts w:ascii="Arial" w:eastAsia="Times New Roman" w:hAnsi="Arial" w:cs="Arial"/>
          <w:noProof/>
          <w:lang w:val="sr-Cyrl-RS" w:eastAsia="sr-Cyrl-CS"/>
        </w:rPr>
        <w:t xml:space="preserve"> и лице које има више оштећења, с тим да ниво оштећења износи </w:t>
      </w:r>
      <w:r w:rsidR="00ED6F54" w:rsidRPr="009154B7">
        <w:rPr>
          <w:rFonts w:ascii="Arial" w:eastAsia="Times New Roman" w:hAnsi="Arial" w:cs="Arial"/>
          <w:noProof/>
          <w:lang w:val="sr-Cyrl-RS" w:eastAsia="sr-Cyrl-CS"/>
        </w:rPr>
        <w:t>по 70% и више процената по најмање два основа</w:t>
      </w:r>
      <w:r w:rsidR="00BA621C" w:rsidRPr="009154B7">
        <w:rPr>
          <w:rFonts w:ascii="Arial" w:eastAsia="Times New Roman" w:hAnsi="Arial" w:cs="Arial"/>
          <w:noProof/>
          <w:lang w:val="sr-Cyrl-RS" w:eastAsia="sr-Cyrl-CS"/>
        </w:rPr>
        <w:t>, то</w:t>
      </w:r>
      <w:r w:rsidRPr="009154B7">
        <w:rPr>
          <w:rFonts w:ascii="Arial" w:eastAsia="Times New Roman" w:hAnsi="Arial" w:cs="Arial"/>
          <w:noProof/>
          <w:lang w:val="sr-Cyrl-RS" w:eastAsia="sr-Cyrl-CS"/>
        </w:rPr>
        <w:t xml:space="preserve"> </w:t>
      </w:r>
      <w:r w:rsidR="00697C28" w:rsidRPr="009154B7">
        <w:rPr>
          <w:rFonts w:ascii="Arial" w:eastAsia="Times New Roman" w:hAnsi="Arial" w:cs="Arial"/>
          <w:noProof/>
          <w:lang w:val="sr-Cyrl-RS" w:eastAsia="sr-Cyrl-CS"/>
        </w:rPr>
        <w:t xml:space="preserve">је један број особа са инвалидитетом </w:t>
      </w:r>
      <w:r w:rsidR="00BA621C" w:rsidRPr="009154B7">
        <w:rPr>
          <w:rFonts w:ascii="Arial" w:eastAsia="Times New Roman" w:hAnsi="Arial" w:cs="Arial"/>
          <w:noProof/>
          <w:lang w:val="sr-Cyrl-RS" w:eastAsia="sr-Cyrl-CS"/>
        </w:rPr>
        <w:t>онемогућен</w:t>
      </w:r>
      <w:r w:rsidR="00B9547D" w:rsidRPr="009154B7">
        <w:rPr>
          <w:rFonts w:ascii="Arial" w:eastAsia="Times New Roman" w:hAnsi="Arial" w:cs="Arial"/>
          <w:noProof/>
          <w:lang w:val="sr-Cyrl-RS" w:eastAsia="sr-Cyrl-CS"/>
        </w:rPr>
        <w:t xml:space="preserve"> да корист</w:t>
      </w:r>
      <w:r w:rsidR="00697C28" w:rsidRPr="009154B7">
        <w:rPr>
          <w:rFonts w:ascii="Arial" w:eastAsia="Times New Roman" w:hAnsi="Arial" w:cs="Arial"/>
          <w:noProof/>
          <w:lang w:val="sr-Cyrl-RS" w:eastAsia="sr-Cyrl-CS"/>
        </w:rPr>
        <w:t>и</w:t>
      </w:r>
      <w:r w:rsidR="00B9547D" w:rsidRPr="009154B7">
        <w:rPr>
          <w:rFonts w:ascii="Arial" w:eastAsia="Times New Roman" w:hAnsi="Arial" w:cs="Arial"/>
          <w:noProof/>
          <w:lang w:val="sr-Cyrl-RS" w:eastAsia="sr-Cyrl-CS"/>
        </w:rPr>
        <w:t xml:space="preserve"> услугу песоналне асистенције.</w:t>
      </w:r>
      <w:r w:rsidR="00771059" w:rsidRPr="009154B7">
        <w:rPr>
          <w:rFonts w:ascii="Arial" w:eastAsia="Times New Roman" w:hAnsi="Arial" w:cs="Arial"/>
          <w:noProof/>
          <w:lang w:val="sr-Cyrl-RS" w:eastAsia="sr-Cyrl-CS"/>
        </w:rPr>
        <w:t xml:space="preserve"> </w:t>
      </w:r>
    </w:p>
    <w:p w:rsidR="006C0520" w:rsidRPr="009154B7" w:rsidRDefault="000E4F01" w:rsidP="002071BE">
      <w:pPr>
        <w:jc w:val="both"/>
        <w:rPr>
          <w:rFonts w:ascii="Arial" w:eastAsia="Times New Roman" w:hAnsi="Arial" w:cs="Arial"/>
          <w:noProof/>
          <w:lang w:val="sr-Cyrl-RS" w:eastAsia="sr-Cyrl-CS"/>
        </w:rPr>
      </w:pPr>
      <w:r w:rsidRPr="009154B7">
        <w:rPr>
          <w:rFonts w:ascii="Arial" w:eastAsia="Times New Roman" w:hAnsi="Arial" w:cs="Arial"/>
          <w:noProof/>
          <w:lang w:val="sr-Cyrl-RS" w:eastAsia="sr-Cyrl-CS"/>
        </w:rPr>
        <w:t xml:space="preserve">С тим у вези Повереник указује на поједине законске одредбе </w:t>
      </w:r>
      <w:r w:rsidR="006C0520" w:rsidRPr="009154B7">
        <w:rPr>
          <w:rFonts w:ascii="Arial" w:eastAsia="Times New Roman" w:hAnsi="Arial" w:cs="Arial"/>
          <w:noProof/>
          <w:lang w:val="sr-Cyrl-RS" w:eastAsia="sr-Cyrl-CS"/>
        </w:rPr>
        <w:t xml:space="preserve">као и постављене </w:t>
      </w:r>
      <w:r w:rsidR="00CB63F3" w:rsidRPr="009154B7">
        <w:rPr>
          <w:rFonts w:ascii="Arial" w:eastAsia="Times New Roman" w:hAnsi="Arial" w:cs="Arial"/>
          <w:noProof/>
          <w:lang w:val="sr-Cyrl-RS" w:eastAsia="sr-Cyrl-CS"/>
        </w:rPr>
        <w:t>стандарде</w:t>
      </w:r>
      <w:r w:rsidR="006C0520" w:rsidRPr="009154B7">
        <w:rPr>
          <w:rFonts w:ascii="Arial" w:eastAsia="Times New Roman" w:hAnsi="Arial" w:cs="Arial"/>
          <w:noProof/>
          <w:lang w:val="sr-Cyrl-RS" w:eastAsia="sr-Cyrl-CS"/>
        </w:rPr>
        <w:t xml:space="preserve"> у пружању услуга подршке за самостални живот особа са инвалидитетом</w:t>
      </w:r>
      <w:r w:rsidR="008759F9" w:rsidRPr="009154B7">
        <w:rPr>
          <w:rFonts w:ascii="Arial" w:eastAsia="Times New Roman" w:hAnsi="Arial" w:cs="Arial"/>
          <w:noProof/>
          <w:lang w:val="sr-Cyrl-RS" w:eastAsia="sr-Cyrl-CS"/>
        </w:rPr>
        <w:t xml:space="preserve">. </w:t>
      </w:r>
    </w:p>
    <w:p w:rsidR="00D201AD" w:rsidRPr="009154B7" w:rsidRDefault="00010BA6" w:rsidP="00010BA6">
      <w:pPr>
        <w:tabs>
          <w:tab w:val="left" w:pos="9072"/>
        </w:tabs>
        <w:spacing w:after="240"/>
        <w:jc w:val="both"/>
        <w:rPr>
          <w:rFonts w:ascii="Arial" w:eastAsia="Calibri" w:hAnsi="Arial" w:cs="Arial"/>
          <w:noProof/>
          <w:lang w:val="sr-Cyrl-RS"/>
        </w:rPr>
      </w:pPr>
      <w:r w:rsidRPr="009154B7">
        <w:rPr>
          <w:rFonts w:ascii="Arial" w:eastAsia="Calibri" w:hAnsi="Arial" w:cs="Arial"/>
          <w:noProof/>
          <w:lang w:val="sr-Cyrl-RS"/>
        </w:rPr>
        <w:t xml:space="preserve">У складу са чланом 4. </w:t>
      </w:r>
      <w:r w:rsidR="00B36AD8" w:rsidRPr="009154B7">
        <w:rPr>
          <w:rFonts w:ascii="Arial" w:eastAsia="Calibri" w:hAnsi="Arial" w:cs="Arial"/>
          <w:noProof/>
          <w:lang w:val="sr-Cyrl-RS"/>
        </w:rPr>
        <w:t>Законом о социјалној заштити</w:t>
      </w:r>
      <w:r w:rsidRPr="009154B7">
        <w:rPr>
          <w:rFonts w:ascii="Arial" w:eastAsia="Calibri" w:hAnsi="Arial" w:cs="Arial"/>
          <w:noProof/>
          <w:lang w:val="sr-Cyrl-RS"/>
        </w:rPr>
        <w:t xml:space="preserve">, услуге социјалне заштите представљају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w:t>
      </w:r>
      <w:r w:rsidR="00A52DD7" w:rsidRPr="009154B7">
        <w:rPr>
          <w:rFonts w:ascii="Arial" w:eastAsia="Calibri" w:hAnsi="Arial" w:cs="Arial"/>
          <w:noProof/>
          <w:lang w:val="sr-Cyrl-RS"/>
        </w:rPr>
        <w:t>Чланом 40. став 1. тачка 3.</w:t>
      </w:r>
      <w:r w:rsidR="00A52DD7" w:rsidRPr="009154B7">
        <w:rPr>
          <w:rFonts w:ascii="Arial" w:hAnsi="Arial" w:cs="Arial"/>
          <w:noProof/>
          <w:lang w:val="sr-Cyrl-RS"/>
        </w:rPr>
        <w:t xml:space="preserve"> </w:t>
      </w:r>
      <w:r w:rsidR="00A52DD7" w:rsidRPr="009154B7">
        <w:rPr>
          <w:rFonts w:ascii="Arial" w:eastAsia="Calibri" w:hAnsi="Arial" w:cs="Arial"/>
          <w:noProof/>
          <w:lang w:val="sr-Cyrl-RS"/>
        </w:rPr>
        <w:t xml:space="preserve">Закона о социјалној заштити као једна од врста услуга социјалне заштите посебно су наведене услуге подршке за самосталан живот (становање уз подршку; персонална асистенција; обука за самостални живот и друге врсте подршке неопходне за активно учешће корисника у друштву). </w:t>
      </w:r>
    </w:p>
    <w:p w:rsidR="000F4F29" w:rsidRDefault="00010BA6" w:rsidP="00D201AD">
      <w:pPr>
        <w:tabs>
          <w:tab w:val="left" w:pos="9072"/>
        </w:tabs>
        <w:spacing w:after="240"/>
        <w:jc w:val="both"/>
        <w:rPr>
          <w:rFonts w:ascii="Arial" w:eastAsia="Calibri" w:hAnsi="Arial" w:cs="Arial"/>
          <w:noProof/>
          <w:lang w:val="sr-Cyrl-RS"/>
        </w:rPr>
      </w:pPr>
      <w:r w:rsidRPr="009154B7">
        <w:rPr>
          <w:rFonts w:ascii="Arial" w:eastAsia="Calibri" w:hAnsi="Arial" w:cs="Arial"/>
          <w:noProof/>
          <w:lang w:val="sr-Cyrl-RS"/>
        </w:rPr>
        <w:t xml:space="preserve">Чланом 45. Закона о социјалној заштити прописано је да се услуге подршке за самосталан живот пружају појединцу да би се његове могућности за задовољење основних потреба изједначиле са могућностима осталих чланова друштва, да би му се побољшао квалитет живота и да би могао да води активан и самосталан живот у друштву. </w:t>
      </w:r>
    </w:p>
    <w:p w:rsidR="00D201AD" w:rsidRPr="009154B7" w:rsidRDefault="00D201AD" w:rsidP="00D201AD">
      <w:pPr>
        <w:tabs>
          <w:tab w:val="left" w:pos="9072"/>
        </w:tabs>
        <w:spacing w:after="240"/>
        <w:jc w:val="both"/>
        <w:rPr>
          <w:rFonts w:ascii="Arial" w:eastAsia="Times New Roman" w:hAnsi="Arial" w:cs="Arial"/>
          <w:noProof/>
          <w:lang w:val="sr-Cyrl-RS" w:eastAsia="sr-Cyrl-CS"/>
        </w:rPr>
      </w:pPr>
      <w:r w:rsidRPr="009154B7">
        <w:rPr>
          <w:rFonts w:ascii="Arial" w:eastAsia="Times New Roman" w:hAnsi="Arial" w:cs="Arial"/>
          <w:noProof/>
          <w:lang w:val="sr-Cyrl-RS" w:eastAsia="sr-Cyrl-CS"/>
        </w:rPr>
        <w:t>Чланом 57. овог закона прописано је да ближе услове и стандарде за пружање и остваривање услуга социјалне заштите прописује министар надлежан за социјалну заштиту.</w:t>
      </w:r>
    </w:p>
    <w:p w:rsidR="00234F04" w:rsidRPr="009154B7" w:rsidRDefault="005F5907" w:rsidP="00551719">
      <w:pPr>
        <w:tabs>
          <w:tab w:val="left" w:pos="9072"/>
        </w:tabs>
        <w:spacing w:after="240"/>
        <w:jc w:val="both"/>
        <w:rPr>
          <w:rFonts w:ascii="Arial" w:eastAsia="Georgia" w:hAnsi="Arial" w:cs="Arial"/>
          <w:noProof/>
          <w:lang w:val="sr-Cyrl-RS"/>
        </w:rPr>
      </w:pPr>
      <w:r w:rsidRPr="009154B7">
        <w:rPr>
          <w:rFonts w:ascii="Arial" w:eastAsia="Times New Roman" w:hAnsi="Arial" w:cs="Arial"/>
          <w:noProof/>
          <w:lang w:val="sr-Cyrl-RS" w:eastAsia="sr-Cyrl-CS"/>
        </w:rPr>
        <w:t>С тим у вези донет је Правилник о ближим условима и стандардима за пружање услуга социјалне заштите. Чл. 99-107.</w:t>
      </w:r>
      <w:r w:rsidR="0047170E">
        <w:rPr>
          <w:rFonts w:ascii="Arial" w:eastAsia="Times New Roman" w:hAnsi="Arial" w:cs="Arial"/>
          <w:noProof/>
          <w:lang w:val="sr-Cyrl-RS" w:eastAsia="sr-Cyrl-CS"/>
        </w:rPr>
        <w:t xml:space="preserve"> Правилника</w:t>
      </w:r>
      <w:r w:rsidRPr="009154B7">
        <w:rPr>
          <w:rFonts w:ascii="Arial" w:eastAsia="Times New Roman" w:hAnsi="Arial" w:cs="Arial"/>
          <w:noProof/>
          <w:lang w:val="sr-Cyrl-RS" w:eastAsia="sr-Cyrl-CS"/>
        </w:rPr>
        <w:t xml:space="preserve"> ближе је уређена ова услуга. Тако је чланом</w:t>
      </w:r>
      <w:r w:rsidR="00DE1D14" w:rsidRPr="009154B7">
        <w:rPr>
          <w:rFonts w:ascii="Arial" w:eastAsia="Times New Roman" w:hAnsi="Arial" w:cs="Arial"/>
          <w:noProof/>
          <w:lang w:val="sr-Cyrl-RS" w:eastAsia="sr-Cyrl-CS"/>
        </w:rPr>
        <w:t xml:space="preserve"> 99. Правилника </w:t>
      </w:r>
      <w:r w:rsidRPr="009154B7">
        <w:rPr>
          <w:rFonts w:ascii="Arial" w:eastAsia="Times New Roman" w:hAnsi="Arial" w:cs="Arial"/>
          <w:noProof/>
          <w:lang w:val="sr-Cyrl-RS" w:eastAsia="sr-Cyrl-CS"/>
        </w:rPr>
        <w:t xml:space="preserve">прописано да је </w:t>
      </w:r>
      <w:r w:rsidR="00DE1D14" w:rsidRPr="009154B7">
        <w:rPr>
          <w:rFonts w:ascii="Arial" w:eastAsia="Times New Roman" w:hAnsi="Arial" w:cs="Arial"/>
          <w:noProof/>
          <w:lang w:val="sr-Cyrl-RS" w:eastAsia="sr-Cyrl-CS"/>
        </w:rPr>
        <w:t>услуг</w:t>
      </w:r>
      <w:r w:rsidR="00234F04" w:rsidRPr="009154B7">
        <w:rPr>
          <w:rFonts w:ascii="Arial" w:eastAsia="Times New Roman" w:hAnsi="Arial" w:cs="Arial"/>
          <w:noProof/>
          <w:lang w:val="sr-Cyrl-RS" w:eastAsia="sr-Cyrl-CS"/>
        </w:rPr>
        <w:t>а</w:t>
      </w:r>
      <w:r w:rsidR="00DE1D14" w:rsidRPr="009154B7">
        <w:rPr>
          <w:rFonts w:ascii="Arial" w:eastAsia="Times New Roman" w:hAnsi="Arial" w:cs="Arial"/>
          <w:noProof/>
          <w:lang w:val="sr-Cyrl-RS" w:eastAsia="sr-Cyrl-CS"/>
        </w:rPr>
        <w:t xml:space="preserve"> персоналне асистенције доступн</w:t>
      </w:r>
      <w:r w:rsidR="00234F04" w:rsidRPr="009154B7">
        <w:rPr>
          <w:rFonts w:ascii="Arial" w:eastAsia="Times New Roman" w:hAnsi="Arial" w:cs="Arial"/>
          <w:noProof/>
          <w:lang w:val="sr-Cyrl-RS" w:eastAsia="sr-Cyrl-CS"/>
        </w:rPr>
        <w:t>а</w:t>
      </w:r>
      <w:r w:rsidR="00DE1D14" w:rsidRPr="009154B7">
        <w:rPr>
          <w:rFonts w:ascii="Arial" w:eastAsia="Times New Roman" w:hAnsi="Arial" w:cs="Arial"/>
          <w:noProof/>
          <w:lang w:val="sr-Cyrl-RS" w:eastAsia="sr-Cyrl-CS"/>
        </w:rPr>
        <w:t xml:space="preserve"> пунолетним лицима са инвалидитетом са процењеним I или II степеном подршке, која остварују право на </w:t>
      </w:r>
      <w:r w:rsidR="00DE1D14" w:rsidRPr="009154B7">
        <w:rPr>
          <w:rFonts w:ascii="Arial" w:eastAsia="Times New Roman" w:hAnsi="Arial" w:cs="Arial"/>
          <w:b/>
          <w:noProof/>
          <w:lang w:val="sr-Cyrl-RS" w:eastAsia="sr-Cyrl-CS"/>
        </w:rPr>
        <w:t xml:space="preserve">увећани додатак за </w:t>
      </w:r>
      <w:r w:rsidR="00234F04" w:rsidRPr="009154B7">
        <w:rPr>
          <w:rFonts w:ascii="Arial" w:eastAsia="Times New Roman" w:hAnsi="Arial" w:cs="Arial"/>
          <w:b/>
          <w:noProof/>
          <w:lang w:val="sr-Cyrl-RS" w:eastAsia="sr-Cyrl-CS"/>
        </w:rPr>
        <w:t>туђу негу и помоћ,</w:t>
      </w:r>
      <w:r w:rsidR="0035368E" w:rsidRPr="009154B7">
        <w:rPr>
          <w:rFonts w:ascii="Arial" w:eastAsia="Times New Roman" w:hAnsi="Arial" w:cs="Arial"/>
          <w:b/>
          <w:noProof/>
          <w:lang w:val="sr-Cyrl-RS" w:eastAsia="sr-Cyrl-CS"/>
        </w:rPr>
        <w:t xml:space="preserve"> </w:t>
      </w:r>
      <w:r w:rsidR="0035368E" w:rsidRPr="009154B7">
        <w:rPr>
          <w:rFonts w:ascii="Arial" w:eastAsia="Times New Roman" w:hAnsi="Arial" w:cs="Arial"/>
          <w:noProof/>
          <w:lang w:val="sr-Cyrl-RS" w:eastAsia="sr-Cyrl-CS"/>
        </w:rPr>
        <w:t>која</w:t>
      </w:r>
      <w:r w:rsidR="0035368E" w:rsidRPr="009154B7">
        <w:rPr>
          <w:rFonts w:ascii="Arial" w:eastAsia="Times New Roman" w:hAnsi="Arial" w:cs="Arial"/>
          <w:b/>
          <w:noProof/>
          <w:lang w:val="sr-Cyrl-RS" w:eastAsia="sr-Cyrl-CS"/>
        </w:rPr>
        <w:t xml:space="preserve"> </w:t>
      </w:r>
      <w:r w:rsidR="00DE1D14" w:rsidRPr="009154B7">
        <w:rPr>
          <w:rFonts w:ascii="Arial" w:eastAsia="Times New Roman" w:hAnsi="Arial" w:cs="Arial"/>
          <w:noProof/>
          <w:lang w:val="sr-Cyrl-RS" w:eastAsia="sr-Cyrl-CS"/>
        </w:rPr>
        <w:t>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w:t>
      </w:r>
      <w:r w:rsidR="00A92905" w:rsidRPr="009154B7">
        <w:rPr>
          <w:rFonts w:ascii="Arial" w:eastAsia="Times New Roman" w:hAnsi="Arial" w:cs="Arial"/>
          <w:noProof/>
          <w:lang w:val="sr-Cyrl-RS" w:eastAsia="sr-Cyrl-CS"/>
        </w:rPr>
        <w:t xml:space="preserve"> Сврха ове услуге, у складу са чланом 100. </w:t>
      </w:r>
      <w:r w:rsidR="00234F04" w:rsidRPr="009154B7">
        <w:rPr>
          <w:rFonts w:ascii="Arial" w:eastAsia="Times New Roman" w:hAnsi="Arial" w:cs="Arial"/>
          <w:noProof/>
          <w:lang w:val="sr-Cyrl-RS" w:eastAsia="sr-Cyrl-CS"/>
        </w:rPr>
        <w:t>овог</w:t>
      </w:r>
      <w:r w:rsidR="005816B4" w:rsidRPr="009154B7">
        <w:rPr>
          <w:rFonts w:ascii="Arial" w:eastAsia="Times New Roman" w:hAnsi="Arial" w:cs="Arial"/>
          <w:noProof/>
          <w:lang w:val="sr-Cyrl-RS" w:eastAsia="sr-Cyrl-CS"/>
        </w:rPr>
        <w:t xml:space="preserve"> </w:t>
      </w:r>
      <w:r w:rsidR="00234F04" w:rsidRPr="009154B7">
        <w:rPr>
          <w:rFonts w:ascii="Arial" w:eastAsia="Times New Roman" w:hAnsi="Arial" w:cs="Arial"/>
          <w:noProof/>
          <w:lang w:val="sr-Cyrl-RS" w:eastAsia="sr-Cyrl-CS"/>
        </w:rPr>
        <w:t>п</w:t>
      </w:r>
      <w:r w:rsidR="00A92905" w:rsidRPr="009154B7">
        <w:rPr>
          <w:rFonts w:ascii="Arial" w:eastAsia="Times New Roman" w:hAnsi="Arial" w:cs="Arial"/>
          <w:noProof/>
          <w:lang w:val="sr-Cyrl-RS" w:eastAsia="sr-Cyrl-CS"/>
        </w:rPr>
        <w:t>равилника је пружање одговарајуће индивидуалне практи</w:t>
      </w:r>
      <w:r w:rsidR="00234F04" w:rsidRPr="009154B7">
        <w:rPr>
          <w:rFonts w:ascii="Arial" w:eastAsia="Times New Roman" w:hAnsi="Arial" w:cs="Arial"/>
          <w:noProof/>
          <w:lang w:val="sr-Cyrl-RS" w:eastAsia="sr-Cyrl-CS"/>
        </w:rPr>
        <w:t>ч</w:t>
      </w:r>
      <w:r w:rsidR="00A92905" w:rsidRPr="009154B7">
        <w:rPr>
          <w:rFonts w:ascii="Arial" w:eastAsia="Times New Roman" w:hAnsi="Arial" w:cs="Arial"/>
          <w:noProof/>
          <w:lang w:val="sr-Cyrl-RS" w:eastAsia="sr-Cyrl-CS"/>
        </w:rPr>
        <w:t xml:space="preserve">не подршке која је кориснику неопходна за задовољавање личних потреба, укључивање у образовне, радне и друштвене активности у заједници ради успостављања што већег нивоа самосталности. </w:t>
      </w:r>
      <w:r w:rsidR="00551719" w:rsidRPr="009154B7">
        <w:rPr>
          <w:rFonts w:ascii="Arial" w:eastAsia="Times New Roman" w:hAnsi="Arial" w:cs="Arial"/>
          <w:noProof/>
          <w:lang w:val="sr-Cyrl-RS" w:eastAsia="sr-Cyrl-CS"/>
        </w:rPr>
        <w:t>Чланом 101. Правилника је прописано да се услуга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персоналне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асистенције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остварује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кроз</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којима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складу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сврхом</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услуге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зависности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идентификованих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корисника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обезбеђује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практична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подршка</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услуге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персоналне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асистенције</w:t>
      </w:r>
      <w:r w:rsidR="00551719" w:rsidRPr="009154B7">
        <w:rPr>
          <w:rFonts w:ascii="Arial" w:eastAsia="Georgia" w:hAnsi="Arial" w:cs="Arial"/>
          <w:noProof/>
          <w:lang w:val="sr-Cyrl-RS"/>
        </w:rPr>
        <w:t xml:space="preserve"> су у</w:t>
      </w:r>
      <w:r w:rsidR="00DC27BD" w:rsidRPr="009154B7">
        <w:rPr>
          <w:rFonts w:ascii="Arial" w:eastAsia="Georgia" w:hAnsi="Arial" w:cs="Arial"/>
          <w:noProof/>
          <w:lang w:val="sr-Cyrl-RS"/>
        </w:rPr>
        <w:t>смерене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одржавању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унапређењу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квалитета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живота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корисника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зависности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идентификованих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капацитета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самостално</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обављање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одређених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као</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капацитета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породице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корисника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доступних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ресурса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укључују</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234F04" w:rsidRPr="009154B7">
        <w:rPr>
          <w:rFonts w:ascii="Arial" w:eastAsia="Georgia" w:hAnsi="Arial" w:cs="Arial"/>
          <w:noProof/>
          <w:lang w:val="sr-Cyrl-RS"/>
        </w:rPr>
        <w:t xml:space="preserve">1)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одржавању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личне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хигијене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задовољавању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основних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личних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облачењу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свлачењу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обављању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физиолошких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купању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косе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итд</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234F04" w:rsidRPr="009154B7">
        <w:rPr>
          <w:rFonts w:ascii="Arial" w:eastAsia="Georgia" w:hAnsi="Arial" w:cs="Arial"/>
          <w:noProof/>
          <w:lang w:val="sr-Cyrl-RS"/>
        </w:rPr>
        <w:t xml:space="preserve">2)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одржавању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хигијене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стана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обављању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свакодневних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задовољавању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основних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животних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w:t>
      </w:r>
      <w:r w:rsidR="00DC27BD" w:rsidRPr="009154B7">
        <w:rPr>
          <w:rFonts w:ascii="Arial" w:eastAsia="Georgia" w:hAnsi="Arial" w:cs="Arial"/>
          <w:noProof/>
          <w:lang w:val="sr-Cyrl-RS"/>
        </w:rPr>
        <w:t>обезбеђивању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исхране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набавку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намирница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спремање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оброка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храњење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одржавању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чистоће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просторија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итд</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234F04" w:rsidRPr="009154B7">
        <w:rPr>
          <w:rFonts w:ascii="Arial" w:eastAsia="Georgia" w:hAnsi="Arial" w:cs="Arial"/>
          <w:noProof/>
          <w:lang w:val="sr-Cyrl-RS"/>
        </w:rPr>
        <w:t xml:space="preserve">3) </w:t>
      </w:r>
      <w:r w:rsidR="00DC27BD" w:rsidRPr="009154B7">
        <w:rPr>
          <w:rFonts w:ascii="Arial" w:eastAsia="Georgia" w:hAnsi="Arial" w:cs="Arial"/>
          <w:noProof/>
          <w:lang w:val="sr-Cyrl-RS"/>
        </w:rPr>
        <w:t>подизање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премештање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трансфер</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кретању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унутар</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lastRenderedPageBreak/>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изван</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корисникове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куће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радног</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места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места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где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одвијају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друштвене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образовне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коришћењу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превоза</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234F04" w:rsidRPr="009154B7">
        <w:rPr>
          <w:rFonts w:ascii="Arial" w:eastAsia="Georgia" w:hAnsi="Arial" w:cs="Arial"/>
          <w:noProof/>
          <w:lang w:val="sr-Cyrl-RS"/>
        </w:rPr>
        <w:t xml:space="preserve">4)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коришћењу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терапеутских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здравствених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услуга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коришћењу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одржавању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помагала</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234F04" w:rsidRPr="009154B7">
        <w:rPr>
          <w:rFonts w:ascii="Arial" w:eastAsia="Georgia" w:hAnsi="Arial" w:cs="Arial"/>
          <w:noProof/>
          <w:lang w:val="sr-Cyrl-RS"/>
        </w:rPr>
        <w:t xml:space="preserve">5)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комуникацији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социјалним</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контактима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задовољавању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социјалних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културно</w:t>
      </w:r>
      <w:r w:rsidR="00234F04" w:rsidRPr="009154B7">
        <w:rPr>
          <w:rFonts w:ascii="Arial" w:eastAsia="Georgia" w:hAnsi="Arial" w:cs="Arial"/>
          <w:noProof/>
          <w:lang w:val="sr-Cyrl-RS"/>
        </w:rPr>
        <w:t>-</w:t>
      </w:r>
      <w:r w:rsidR="00DC27BD" w:rsidRPr="009154B7">
        <w:rPr>
          <w:rFonts w:ascii="Arial" w:eastAsia="Georgia" w:hAnsi="Arial" w:cs="Arial"/>
          <w:noProof/>
          <w:lang w:val="sr-Cyrl-RS"/>
        </w:rPr>
        <w:t>забавних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других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551719" w:rsidRPr="009154B7">
        <w:rPr>
          <w:rFonts w:ascii="Arial" w:eastAsia="Georgia" w:hAnsi="Arial" w:cs="Arial"/>
          <w:noProof/>
          <w:lang w:val="sr-Cyrl-RS"/>
        </w:rPr>
        <w:t xml:space="preserve"> и </w:t>
      </w:r>
      <w:r w:rsidR="00234F04" w:rsidRPr="009154B7">
        <w:rPr>
          <w:rFonts w:ascii="Arial" w:eastAsia="Georgia" w:hAnsi="Arial" w:cs="Arial"/>
          <w:noProof/>
          <w:lang w:val="sr-Cyrl-RS"/>
        </w:rPr>
        <w:t xml:space="preserve">6) </w:t>
      </w:r>
      <w:r w:rsidR="00DC27BD" w:rsidRPr="009154B7">
        <w:rPr>
          <w:rFonts w:ascii="Arial" w:eastAsia="Georgia" w:hAnsi="Arial" w:cs="Arial"/>
          <w:noProof/>
          <w:lang w:val="sr-Cyrl-RS"/>
        </w:rPr>
        <w:t>помоћ</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обављању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различитих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радних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образовних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друштвених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активности</w:t>
      </w:r>
      <w:r w:rsidR="00234F04" w:rsidRPr="009154B7">
        <w:rPr>
          <w:rFonts w:ascii="Arial" w:eastAsia="Georgia" w:hAnsi="Arial" w:cs="Arial"/>
          <w:noProof/>
          <w:lang w:val="sr-Cyrl-RS"/>
        </w:rPr>
        <w:t>.</w:t>
      </w:r>
      <w:r w:rsidR="00551719" w:rsidRPr="009154B7">
        <w:rPr>
          <w:rFonts w:ascii="Arial" w:eastAsia="Georgia" w:hAnsi="Arial" w:cs="Arial"/>
          <w:noProof/>
          <w:lang w:val="sr-Cyrl-RS"/>
        </w:rPr>
        <w:t xml:space="preserve"> </w:t>
      </w:r>
      <w:r w:rsidR="00DC27BD" w:rsidRPr="009154B7">
        <w:rPr>
          <w:rFonts w:ascii="Arial" w:eastAsia="Georgia" w:hAnsi="Arial" w:cs="Arial"/>
          <w:noProof/>
          <w:lang w:val="sr-Cyrl-RS"/>
        </w:rPr>
        <w:t>На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основу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идентификованих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потреба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процене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доступних</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ресурса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пружалац</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услуге</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корисник</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одређују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обим</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и</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врсту</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ангажовања</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персоналног</w:t>
      </w:r>
      <w:r w:rsidR="00234F04" w:rsidRPr="009154B7">
        <w:rPr>
          <w:rFonts w:ascii="Arial" w:eastAsia="Georgia" w:hAnsi="Arial" w:cs="Arial"/>
          <w:noProof/>
          <w:lang w:val="sr-Cyrl-RS"/>
        </w:rPr>
        <w:t xml:space="preserve"> </w:t>
      </w:r>
      <w:r w:rsidR="00DC27BD" w:rsidRPr="009154B7">
        <w:rPr>
          <w:rFonts w:ascii="Arial" w:eastAsia="Georgia" w:hAnsi="Arial" w:cs="Arial"/>
          <w:noProof/>
          <w:lang w:val="sr-Cyrl-RS"/>
        </w:rPr>
        <w:t>асистента</w:t>
      </w:r>
      <w:r w:rsidR="00551719" w:rsidRPr="009154B7">
        <w:rPr>
          <w:rFonts w:ascii="Arial" w:eastAsia="Georgia" w:hAnsi="Arial" w:cs="Arial"/>
          <w:noProof/>
          <w:lang w:val="sr-Cyrl-RS"/>
        </w:rPr>
        <w:t xml:space="preserve"> (члан 102. Правилника)</w:t>
      </w:r>
      <w:r w:rsidR="00234F04" w:rsidRPr="009154B7">
        <w:rPr>
          <w:rFonts w:ascii="Arial" w:eastAsia="Georgia" w:hAnsi="Arial" w:cs="Arial"/>
          <w:noProof/>
          <w:lang w:val="sr-Cyrl-RS"/>
        </w:rPr>
        <w:t>.</w:t>
      </w:r>
    </w:p>
    <w:p w:rsidR="00D94DC0" w:rsidRPr="0047170E" w:rsidRDefault="006E24B8" w:rsidP="00124580">
      <w:pPr>
        <w:tabs>
          <w:tab w:val="left" w:pos="9072"/>
        </w:tabs>
        <w:spacing w:after="240"/>
        <w:jc w:val="both"/>
        <w:rPr>
          <w:rFonts w:ascii="Arial" w:eastAsia="Times New Roman" w:hAnsi="Arial" w:cs="Arial"/>
          <w:noProof/>
          <w:lang w:val="sr-Cyrl-RS" w:eastAsia="sr-Latn-CS"/>
        </w:rPr>
      </w:pPr>
      <w:r w:rsidRPr="0047170E">
        <w:rPr>
          <w:rFonts w:ascii="Arial" w:eastAsia="Georgia" w:hAnsi="Arial" w:cs="Arial"/>
          <w:noProof/>
          <w:lang w:val="sr-Cyrl-RS"/>
        </w:rPr>
        <w:t>Одредбом члана</w:t>
      </w:r>
      <w:r w:rsidR="00124580" w:rsidRPr="0047170E">
        <w:rPr>
          <w:rFonts w:ascii="Arial" w:eastAsia="Georgia" w:hAnsi="Arial" w:cs="Arial"/>
          <w:noProof/>
          <w:lang w:val="sr-Cyrl-RS"/>
        </w:rPr>
        <w:t xml:space="preserve"> 209</w:t>
      </w:r>
      <w:r w:rsidRPr="0047170E">
        <w:rPr>
          <w:rFonts w:ascii="Arial" w:eastAsia="Georgia" w:hAnsi="Arial" w:cs="Arial"/>
          <w:noProof/>
          <w:lang w:val="sr-Cyrl-RS"/>
        </w:rPr>
        <w:t>.</w:t>
      </w:r>
      <w:r w:rsidR="00124580" w:rsidRPr="0047170E">
        <w:rPr>
          <w:rFonts w:ascii="Arial" w:eastAsia="Georgia" w:hAnsi="Arial" w:cs="Arial"/>
          <w:noProof/>
          <w:lang w:val="sr-Cyrl-RS"/>
        </w:rPr>
        <w:t xml:space="preserve"> тачка 2</w:t>
      </w:r>
      <w:r w:rsidRPr="0047170E">
        <w:rPr>
          <w:rFonts w:ascii="Arial" w:eastAsia="Georgia" w:hAnsi="Arial" w:cs="Arial"/>
          <w:noProof/>
          <w:lang w:val="sr-Cyrl-RS"/>
        </w:rPr>
        <w:t>.</w:t>
      </w:r>
      <w:r w:rsidR="00124580" w:rsidRPr="0047170E">
        <w:rPr>
          <w:rFonts w:ascii="Arial" w:eastAsia="Georgia" w:hAnsi="Arial" w:cs="Arial"/>
          <w:noProof/>
          <w:lang w:val="sr-Cyrl-RS"/>
        </w:rPr>
        <w:t xml:space="preserve"> Закона о социјалној заштити прописано је да се из буџета јединице локалне самоуправе финансирају </w:t>
      </w:r>
      <w:r w:rsidR="00CA1A89" w:rsidRPr="0047170E">
        <w:rPr>
          <w:rFonts w:ascii="Arial" w:eastAsia="Times New Roman" w:hAnsi="Arial" w:cs="Arial"/>
          <w:noProof/>
          <w:lang w:val="sr-Cyrl-RS" w:eastAsia="sr-Latn-CS"/>
        </w:rPr>
        <w:t>услуге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подршке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самосталан</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живот</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осим</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услуге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становања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уз</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подршку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особе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инвалидитетом</w:t>
      </w:r>
      <w:r w:rsidR="00124580" w:rsidRPr="0047170E">
        <w:rPr>
          <w:rFonts w:ascii="Arial" w:eastAsia="Times New Roman" w:hAnsi="Arial" w:cs="Arial"/>
          <w:noProof/>
          <w:lang w:val="sr-Cyrl-RS" w:eastAsia="sr-Latn-CS"/>
        </w:rPr>
        <w:t>.</w:t>
      </w:r>
    </w:p>
    <w:p w:rsidR="00D94DC0" w:rsidRPr="0047170E" w:rsidRDefault="006E24B8" w:rsidP="00124580">
      <w:pPr>
        <w:tabs>
          <w:tab w:val="left" w:pos="9072"/>
        </w:tabs>
        <w:spacing w:after="240"/>
        <w:jc w:val="both"/>
        <w:rPr>
          <w:rFonts w:ascii="Arial" w:eastAsia="Times New Roman" w:hAnsi="Arial" w:cs="Arial"/>
          <w:noProof/>
          <w:lang w:val="sr-Cyrl-RS" w:eastAsia="sr-Latn-CS"/>
        </w:rPr>
      </w:pPr>
      <w:r w:rsidRPr="0047170E">
        <w:rPr>
          <w:rFonts w:ascii="Arial" w:eastAsia="Georgia" w:hAnsi="Arial" w:cs="Arial"/>
          <w:noProof/>
          <w:lang w:val="sr-Cyrl-RS"/>
        </w:rPr>
        <w:t>Према члану</w:t>
      </w:r>
      <w:r w:rsidR="00124580" w:rsidRPr="0047170E">
        <w:rPr>
          <w:rFonts w:ascii="Arial" w:eastAsia="Georgia" w:hAnsi="Arial" w:cs="Arial"/>
          <w:noProof/>
          <w:lang w:val="sr-Cyrl-RS"/>
        </w:rPr>
        <w:t xml:space="preserve"> 212</w:t>
      </w:r>
      <w:r w:rsidRPr="0047170E">
        <w:rPr>
          <w:rFonts w:ascii="Arial" w:eastAsia="Georgia" w:hAnsi="Arial" w:cs="Arial"/>
          <w:noProof/>
          <w:lang w:val="sr-Cyrl-RS"/>
        </w:rPr>
        <w:t>.</w:t>
      </w:r>
      <w:r w:rsidR="00124580" w:rsidRPr="0047170E">
        <w:rPr>
          <w:rFonts w:ascii="Arial" w:eastAsia="Georgia" w:hAnsi="Arial" w:cs="Arial"/>
          <w:noProof/>
          <w:lang w:val="sr-Cyrl-RS"/>
        </w:rPr>
        <w:t xml:space="preserve"> Закона о соц</w:t>
      </w:r>
      <w:r w:rsidRPr="0047170E">
        <w:rPr>
          <w:rFonts w:ascii="Arial" w:eastAsia="Georgia" w:hAnsi="Arial" w:cs="Arial"/>
          <w:noProof/>
          <w:lang w:val="sr-Cyrl-RS"/>
        </w:rPr>
        <w:t>ијалној заштити,</w:t>
      </w:r>
      <w:r w:rsidR="00124580" w:rsidRPr="0047170E">
        <w:rPr>
          <w:rFonts w:ascii="Arial" w:eastAsia="Times New Roman" w:hAnsi="Arial" w:cs="Arial"/>
          <w:noProof/>
          <w:lang w:val="sr-Cyrl-RS" w:eastAsia="sr-Latn-CS"/>
        </w:rPr>
        <w:t xml:space="preserve"> 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трошковима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услуге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социјалне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заштите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учествују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корисник</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сродник</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који</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има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законску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обавезу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могућност</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издржавања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корисника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лица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која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преузела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обавезу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плаћања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трошкова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пружања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услуге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Република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Србија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аутономна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покрајина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односно</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јединица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локалне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самоуправе</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складу</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са</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овим</w:t>
      </w:r>
      <w:r w:rsidR="00D94DC0"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законом</w:t>
      </w:r>
      <w:r w:rsidR="00D94DC0" w:rsidRPr="0047170E">
        <w:rPr>
          <w:rFonts w:ascii="Arial" w:eastAsia="Times New Roman" w:hAnsi="Arial" w:cs="Arial"/>
          <w:noProof/>
          <w:lang w:val="sr-Cyrl-RS" w:eastAsia="sr-Latn-CS"/>
        </w:rPr>
        <w:t>.</w:t>
      </w:r>
    </w:p>
    <w:p w:rsidR="005829F7" w:rsidRPr="0047170E" w:rsidRDefault="00124580" w:rsidP="00124580">
      <w:pPr>
        <w:tabs>
          <w:tab w:val="left" w:pos="9072"/>
        </w:tabs>
        <w:spacing w:after="240"/>
        <w:jc w:val="both"/>
        <w:rPr>
          <w:rFonts w:ascii="Arial" w:eastAsia="Times New Roman" w:hAnsi="Arial" w:cs="Arial"/>
          <w:noProof/>
          <w:lang w:val="sr-Cyrl-RS" w:eastAsia="sr-Latn-CS"/>
        </w:rPr>
      </w:pPr>
      <w:r w:rsidRPr="0047170E">
        <w:rPr>
          <w:rFonts w:ascii="Arial" w:eastAsia="Georgia" w:hAnsi="Arial" w:cs="Arial"/>
          <w:noProof/>
          <w:lang w:val="sr-Cyrl-RS"/>
        </w:rPr>
        <w:t>Чланом 213</w:t>
      </w:r>
      <w:r w:rsidR="006E24B8" w:rsidRPr="0047170E">
        <w:rPr>
          <w:rFonts w:ascii="Arial" w:eastAsia="Georgia" w:hAnsi="Arial" w:cs="Arial"/>
          <w:noProof/>
          <w:lang w:val="sr-Cyrl-RS"/>
        </w:rPr>
        <w:t>.</w:t>
      </w:r>
      <w:r w:rsidRPr="0047170E">
        <w:rPr>
          <w:rFonts w:ascii="Arial" w:eastAsia="Georgia" w:hAnsi="Arial" w:cs="Arial"/>
          <w:noProof/>
          <w:lang w:val="sr-Cyrl-RS"/>
        </w:rPr>
        <w:t xml:space="preserve"> З</w:t>
      </w:r>
      <w:r w:rsidR="006E24B8" w:rsidRPr="0047170E">
        <w:rPr>
          <w:rFonts w:ascii="Arial" w:eastAsia="Georgia" w:hAnsi="Arial" w:cs="Arial"/>
          <w:noProof/>
          <w:lang w:val="sr-Cyrl-RS"/>
        </w:rPr>
        <w:t>акона о социјалној заштити</w:t>
      </w:r>
      <w:r w:rsidRPr="0047170E">
        <w:rPr>
          <w:rFonts w:ascii="Arial" w:eastAsia="Georgia" w:hAnsi="Arial" w:cs="Arial"/>
          <w:noProof/>
          <w:lang w:val="sr-Cyrl-RS"/>
        </w:rPr>
        <w:t xml:space="preserve"> прописано је да</w:t>
      </w:r>
      <w:r w:rsidRPr="0047170E">
        <w:rPr>
          <w:rFonts w:ascii="Arial" w:eastAsia="Times New Roman" w:hAnsi="Arial" w:cs="Arial"/>
          <w:noProof/>
          <w:lang w:val="sr-Cyrl-RS" w:eastAsia="sr-Latn-CS"/>
        </w:rPr>
        <w:t xml:space="preserve"> к</w:t>
      </w:r>
      <w:r w:rsidR="00CA1A89" w:rsidRPr="0047170E">
        <w:rPr>
          <w:rFonts w:ascii="Arial" w:eastAsia="Times New Roman" w:hAnsi="Arial" w:cs="Arial"/>
          <w:noProof/>
          <w:lang w:val="sr-Cyrl-RS" w:eastAsia="sr-Latn-CS"/>
        </w:rPr>
        <w:t>ритеријуме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и</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мерила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одређивање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учешћа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корисника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трошковима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услуге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социјалне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заштите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прописује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министар</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надлежан</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социјалну</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заштиту</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надлежни</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орган</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аутономне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покрајине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односно</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надлежни</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орган</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јединице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локалне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самоуправе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зависно</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од</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тога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где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обезбеђују</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средства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за</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финансирање</w:t>
      </w:r>
      <w:r w:rsidR="005829F7" w:rsidRPr="0047170E">
        <w:rPr>
          <w:rFonts w:ascii="Arial" w:eastAsia="Times New Roman" w:hAnsi="Arial" w:cs="Arial"/>
          <w:noProof/>
          <w:lang w:val="sr-Cyrl-RS" w:eastAsia="sr-Latn-CS"/>
        </w:rPr>
        <w:t xml:space="preserve"> </w:t>
      </w:r>
      <w:r w:rsidR="00CA1A89" w:rsidRPr="0047170E">
        <w:rPr>
          <w:rFonts w:ascii="Arial" w:eastAsia="Times New Roman" w:hAnsi="Arial" w:cs="Arial"/>
          <w:noProof/>
          <w:lang w:val="sr-Cyrl-RS" w:eastAsia="sr-Latn-CS"/>
        </w:rPr>
        <w:t>услуге</w:t>
      </w:r>
      <w:r w:rsidR="005829F7" w:rsidRPr="0047170E">
        <w:rPr>
          <w:rFonts w:ascii="Arial" w:eastAsia="Times New Roman" w:hAnsi="Arial" w:cs="Arial"/>
          <w:noProof/>
          <w:lang w:val="sr-Cyrl-RS" w:eastAsia="sr-Latn-CS"/>
        </w:rPr>
        <w:t>.</w:t>
      </w:r>
      <w:r w:rsidRPr="0047170E">
        <w:rPr>
          <w:rFonts w:ascii="Arial" w:eastAsia="Times New Roman" w:hAnsi="Arial" w:cs="Arial"/>
          <w:noProof/>
          <w:lang w:val="sr-Cyrl-RS" w:eastAsia="sr-Latn-CS"/>
        </w:rPr>
        <w:t xml:space="preserve"> </w:t>
      </w:r>
    </w:p>
    <w:p w:rsidR="00A92905" w:rsidRPr="009154B7" w:rsidRDefault="005829F7" w:rsidP="002071BE">
      <w:pPr>
        <w:tabs>
          <w:tab w:val="left" w:pos="9072"/>
        </w:tabs>
        <w:spacing w:after="240"/>
        <w:jc w:val="both"/>
        <w:rPr>
          <w:rFonts w:ascii="Arial" w:eastAsia="Times New Roman" w:hAnsi="Arial" w:cs="Arial"/>
          <w:noProof/>
          <w:lang w:val="sr-Cyrl-RS" w:eastAsia="sr-Cyrl-CS"/>
        </w:rPr>
      </w:pPr>
      <w:r w:rsidRPr="009154B7">
        <w:rPr>
          <w:rFonts w:ascii="Arial" w:eastAsia="Times New Roman" w:hAnsi="Arial" w:cs="Arial"/>
          <w:noProof/>
          <w:lang w:val="sr-Cyrl-RS" w:eastAsia="sr-Cyrl-CS"/>
        </w:rPr>
        <w:t>У</w:t>
      </w:r>
      <w:r w:rsidR="002B3D10" w:rsidRPr="009154B7">
        <w:rPr>
          <w:rFonts w:ascii="Arial" w:eastAsia="Times New Roman" w:hAnsi="Arial" w:cs="Arial"/>
          <w:noProof/>
          <w:lang w:val="sr-Cyrl-RS" w:eastAsia="sr-Cyrl-CS"/>
        </w:rPr>
        <w:t xml:space="preserve"> Програму реформи политике запошљавања и социјалне политике у процесу п</w:t>
      </w:r>
      <w:r w:rsidR="00D31F1E" w:rsidRPr="009154B7">
        <w:rPr>
          <w:rFonts w:ascii="Arial" w:eastAsia="Times New Roman" w:hAnsi="Arial" w:cs="Arial"/>
          <w:noProof/>
          <w:lang w:val="sr-Cyrl-RS" w:eastAsia="sr-Cyrl-CS"/>
        </w:rPr>
        <w:t>риступања Европској унији (Е</w:t>
      </w:r>
      <w:r w:rsidR="001058E5" w:rsidRPr="009154B7">
        <w:rPr>
          <w:rFonts w:ascii="Arial" w:eastAsia="Times New Roman" w:hAnsi="Arial" w:cs="Arial"/>
          <w:noProof/>
          <w:lang w:val="sr-Cyrl-RS" w:eastAsia="sr-Cyrl-CS"/>
        </w:rPr>
        <w:t>СР</w:t>
      </w:r>
      <w:r w:rsidR="00D31F1E" w:rsidRPr="009154B7">
        <w:rPr>
          <w:rFonts w:ascii="Arial" w:eastAsia="Times New Roman" w:hAnsi="Arial" w:cs="Arial"/>
          <w:noProof/>
          <w:lang w:val="sr-Cyrl-RS" w:eastAsia="sr-Cyrl-CS"/>
        </w:rPr>
        <w:t>П), који је Влада Републике Србије усвојила 2016</w:t>
      </w:r>
      <w:r w:rsidR="002B3D10" w:rsidRPr="009154B7">
        <w:rPr>
          <w:rFonts w:ascii="Arial" w:eastAsia="Times New Roman" w:hAnsi="Arial" w:cs="Arial"/>
          <w:noProof/>
          <w:lang w:val="sr-Cyrl-RS" w:eastAsia="sr-Cyrl-CS"/>
        </w:rPr>
        <w:t>. године</w:t>
      </w:r>
      <w:r w:rsidRPr="009154B7">
        <w:rPr>
          <w:rFonts w:ascii="Arial" w:eastAsia="Times New Roman" w:hAnsi="Arial" w:cs="Arial"/>
          <w:noProof/>
          <w:lang w:val="sr-Cyrl-RS" w:eastAsia="sr-Cyrl-CS"/>
        </w:rPr>
        <w:t xml:space="preserve"> предвиђен је</w:t>
      </w:r>
      <w:r w:rsidR="002B3D10" w:rsidRPr="009154B7">
        <w:rPr>
          <w:rFonts w:ascii="Arial" w:eastAsia="Times New Roman" w:hAnsi="Arial" w:cs="Arial"/>
          <w:noProof/>
          <w:lang w:val="sr-Cyrl-RS" w:eastAsia="sr-Cyrl-CS"/>
        </w:rPr>
        <w:t xml:space="preserve"> наставак процеса деинституционализације и развој ванинституционалних услуга у заједници, односно обезбеђивање средстава и професионалних капацитета за ширење и развој ванинституционалних усл</w:t>
      </w:r>
      <w:r w:rsidR="00624F43">
        <w:rPr>
          <w:rFonts w:ascii="Arial" w:eastAsia="Times New Roman" w:hAnsi="Arial" w:cs="Arial"/>
          <w:noProof/>
          <w:lang w:val="sr-Cyrl-RS" w:eastAsia="sr-Cyrl-CS"/>
        </w:rPr>
        <w:t>уга, као што је, између осталог</w:t>
      </w:r>
      <w:r w:rsidR="002B3D10" w:rsidRPr="009154B7">
        <w:rPr>
          <w:rFonts w:ascii="Arial" w:eastAsia="Times New Roman" w:hAnsi="Arial" w:cs="Arial"/>
          <w:noProof/>
          <w:lang w:val="sr-Cyrl-RS" w:eastAsia="sr-Cyrl-CS"/>
        </w:rPr>
        <w:t xml:space="preserve"> и персонална асистенција.</w:t>
      </w:r>
    </w:p>
    <w:p w:rsidR="007B052F" w:rsidRPr="009154B7" w:rsidRDefault="001058E5" w:rsidP="007B052F">
      <w:pPr>
        <w:tabs>
          <w:tab w:val="left" w:pos="9072"/>
        </w:tabs>
        <w:spacing w:after="240"/>
        <w:jc w:val="both"/>
        <w:rPr>
          <w:rFonts w:ascii="Arial" w:eastAsia="Times New Roman" w:hAnsi="Arial" w:cs="Arial"/>
          <w:bCs/>
          <w:noProof/>
          <w:color w:val="000000" w:themeColor="text1"/>
          <w:lang w:val="sr-Cyrl-RS"/>
        </w:rPr>
      </w:pPr>
      <w:r w:rsidRPr="009154B7">
        <w:rPr>
          <w:rFonts w:ascii="Arial" w:eastAsia="Times New Roman" w:hAnsi="Arial" w:cs="Arial"/>
          <w:noProof/>
          <w:lang w:val="sr-Cyrl-RS" w:eastAsia="sr-Cyrl-CS"/>
        </w:rPr>
        <w:t>Такође Република Србија усвојила је и Стратегију деинституционализације и развоја услуга социјалне заштиту у заједници за период од 2022-2026. године</w:t>
      </w:r>
      <w:r w:rsidR="000D570B" w:rsidRPr="009154B7">
        <w:rPr>
          <w:rStyle w:val="FootnoteReference"/>
          <w:rFonts w:ascii="Arial" w:eastAsia="Times New Roman" w:hAnsi="Arial" w:cs="Arial"/>
          <w:noProof/>
          <w:lang w:val="sr-Cyrl-RS" w:eastAsia="sr-Cyrl-CS"/>
        </w:rPr>
        <w:footnoteReference w:id="3"/>
      </w:r>
      <w:r w:rsidR="000D570B" w:rsidRPr="009154B7">
        <w:rPr>
          <w:rFonts w:ascii="Arial" w:eastAsia="Times New Roman" w:hAnsi="Arial" w:cs="Arial"/>
          <w:noProof/>
          <w:lang w:val="sr-Cyrl-RS" w:eastAsia="sr-Cyrl-CS"/>
        </w:rPr>
        <w:t xml:space="preserve"> (и припадајући акциони план)</w:t>
      </w:r>
      <w:r w:rsidRPr="009154B7">
        <w:rPr>
          <w:rFonts w:ascii="Arial" w:eastAsia="Times New Roman" w:hAnsi="Arial" w:cs="Arial"/>
          <w:noProof/>
          <w:lang w:val="sr-Cyrl-RS" w:eastAsia="sr-Cyrl-CS"/>
        </w:rPr>
        <w:t xml:space="preserve">, </w:t>
      </w:r>
      <w:r w:rsidR="000D570B" w:rsidRPr="009154B7">
        <w:rPr>
          <w:rFonts w:ascii="Arial" w:eastAsia="Times New Roman" w:hAnsi="Arial" w:cs="Arial"/>
          <w:noProof/>
          <w:lang w:val="sr-Cyrl-RS" w:eastAsia="sr-Cyrl-CS"/>
        </w:rPr>
        <w:t xml:space="preserve">која, </w:t>
      </w:r>
      <w:r w:rsidRPr="009154B7">
        <w:rPr>
          <w:rFonts w:ascii="Arial" w:eastAsia="Times New Roman" w:hAnsi="Arial" w:cs="Arial"/>
          <w:noProof/>
          <w:lang w:val="sr-Cyrl-RS" w:eastAsia="sr-Cyrl-CS"/>
        </w:rPr>
        <w:t xml:space="preserve">између осталог, </w:t>
      </w:r>
      <w:r w:rsidRPr="009154B7">
        <w:rPr>
          <w:rFonts w:ascii="Arial" w:hAnsi="Arial" w:cs="Arial"/>
          <w:noProof/>
          <w:color w:val="000000" w:themeColor="text1"/>
          <w:lang w:val="sr-Cyrl-RS"/>
        </w:rPr>
        <w:t>треба да омогући развој услуга социјалне заштите у заједници, што ће допринети да корисници система социјалне заштите којима је потребна интензивнија подршка већину својих потреба задовољавају у природном окружењу.</w:t>
      </w:r>
      <w:r w:rsidR="007B052F" w:rsidRPr="009154B7">
        <w:rPr>
          <w:rFonts w:ascii="Arial" w:hAnsi="Arial" w:cs="Arial"/>
          <w:noProof/>
          <w:color w:val="000000" w:themeColor="text1"/>
          <w:lang w:val="sr-Cyrl-RS"/>
        </w:rPr>
        <w:t xml:space="preserve"> У </w:t>
      </w:r>
      <w:r w:rsidR="00624F43">
        <w:rPr>
          <w:rFonts w:ascii="Arial" w:hAnsi="Arial" w:cs="Arial"/>
          <w:noProof/>
          <w:color w:val="000000" w:themeColor="text1"/>
          <w:lang w:val="sr-Cyrl-RS"/>
        </w:rPr>
        <w:t>овом</w:t>
      </w:r>
      <w:r w:rsidR="007B052F" w:rsidRPr="009154B7">
        <w:rPr>
          <w:rFonts w:ascii="Arial" w:hAnsi="Arial" w:cs="Arial"/>
          <w:noProof/>
          <w:color w:val="000000" w:themeColor="text1"/>
          <w:lang w:val="sr-Cyrl-RS"/>
        </w:rPr>
        <w:t xml:space="preserve"> документу истакнуто је, у анализирању проблема, да се р</w:t>
      </w:r>
      <w:r w:rsidR="007B052F" w:rsidRPr="009154B7">
        <w:rPr>
          <w:rFonts w:ascii="Arial" w:eastAsia="Times New Roman" w:hAnsi="Arial" w:cs="Arial"/>
          <w:bCs/>
          <w:noProof/>
          <w:color w:val="000000" w:themeColor="text1"/>
          <w:lang w:val="sr-Cyrl-RS"/>
        </w:rPr>
        <w:t xml:space="preserve">аспрострањеност услуге персоналне асистенције практично </w:t>
      </w:r>
      <w:r w:rsidR="007B052F" w:rsidRPr="009154B7">
        <w:rPr>
          <w:rFonts w:ascii="Arial" w:eastAsia="Times New Roman" w:hAnsi="Arial" w:cs="Arial"/>
          <w:bCs/>
          <w:i/>
          <w:noProof/>
          <w:color w:val="000000" w:themeColor="text1"/>
          <w:lang w:val="sr-Cyrl-RS"/>
        </w:rPr>
        <w:t>„није (значајно) променила од 2013. године</w:t>
      </w:r>
      <w:r w:rsidR="007B052F" w:rsidRPr="009154B7">
        <w:rPr>
          <w:rFonts w:ascii="Arial" w:eastAsia="Times New Roman" w:hAnsi="Arial" w:cs="Arial"/>
          <w:bCs/>
          <w:noProof/>
          <w:color w:val="000000" w:themeColor="text1"/>
          <w:lang w:val="sr-Cyrl-RS"/>
        </w:rPr>
        <w:t>“, с обзиром да је „</w:t>
      </w:r>
      <w:r w:rsidR="007B052F" w:rsidRPr="009154B7">
        <w:rPr>
          <w:rFonts w:ascii="Arial" w:eastAsia="Times New Roman" w:hAnsi="Arial" w:cs="Arial"/>
          <w:bCs/>
          <w:i/>
          <w:noProof/>
          <w:color w:val="000000" w:themeColor="text1"/>
          <w:lang w:val="sr-Cyrl-RS"/>
        </w:rPr>
        <w:t>развијена у око 12% локалних самоуправа, са незнатним повећањем обухвата кориснике, од 196 у 2012. години до 223 у 2018. години“.</w:t>
      </w:r>
    </w:p>
    <w:p w:rsidR="00560E70" w:rsidRPr="009154B7" w:rsidRDefault="006C6D2F" w:rsidP="002071BE">
      <w:pPr>
        <w:tabs>
          <w:tab w:val="left" w:pos="9072"/>
        </w:tabs>
        <w:spacing w:after="240"/>
        <w:jc w:val="both"/>
        <w:rPr>
          <w:rFonts w:ascii="Arial" w:eastAsia="Times New Roman" w:hAnsi="Arial" w:cs="Arial"/>
          <w:noProof/>
          <w:lang w:val="sr-Cyrl-RS" w:eastAsia="sr-Cyrl-CS"/>
        </w:rPr>
      </w:pPr>
      <w:r w:rsidRPr="009154B7">
        <w:rPr>
          <w:rFonts w:ascii="Arial" w:eastAsia="Times New Roman" w:hAnsi="Arial" w:cs="Arial"/>
          <w:noProof/>
          <w:lang w:val="sr-Cyrl-RS" w:eastAsia="sr-Cyrl-CS"/>
        </w:rPr>
        <w:t>Имајући у виду све наведено, користећи своја овлашћења из члана 33. став 1. тачка 7. Закона о забрани дискриминације упућујемо ову иницијативу Министарству у циљу разматрања измене члана 99. Правилника</w:t>
      </w:r>
      <w:r w:rsidR="00A80437" w:rsidRPr="009154B7">
        <w:rPr>
          <w:rFonts w:ascii="Arial" w:eastAsia="Times New Roman" w:hAnsi="Arial" w:cs="Arial"/>
          <w:noProof/>
          <w:lang w:val="sr-Cyrl-RS" w:eastAsia="sr-Cyrl-CS"/>
        </w:rPr>
        <w:t xml:space="preserve"> </w:t>
      </w:r>
      <w:r w:rsidR="00A80437" w:rsidRPr="00624F43">
        <w:rPr>
          <w:rFonts w:ascii="Arial" w:eastAsia="Times New Roman" w:hAnsi="Arial" w:cs="Arial"/>
          <w:noProof/>
          <w:lang w:val="sr-Cyrl-RS" w:eastAsia="sr-Cyrl-CS"/>
        </w:rPr>
        <w:t>о ближим условима и стандардима за пружање услуга социјалне заштите</w:t>
      </w:r>
      <w:r w:rsidR="00A80437" w:rsidRPr="009154B7">
        <w:rPr>
          <w:rFonts w:ascii="Arial" w:eastAsia="Times New Roman" w:hAnsi="Arial" w:cs="Arial"/>
          <w:noProof/>
          <w:lang w:val="sr-Cyrl-RS" w:eastAsia="sr-Cyrl-CS"/>
        </w:rPr>
        <w:t xml:space="preserve"> </w:t>
      </w:r>
      <w:r w:rsidRPr="009154B7">
        <w:rPr>
          <w:rFonts w:ascii="Arial" w:eastAsia="Times New Roman" w:hAnsi="Arial" w:cs="Arial"/>
          <w:noProof/>
          <w:lang w:val="sr-Cyrl-RS" w:eastAsia="sr-Cyrl-CS"/>
        </w:rPr>
        <w:t xml:space="preserve">и проширења обухвата </w:t>
      </w:r>
      <w:r w:rsidR="0092170D" w:rsidRPr="009154B7">
        <w:rPr>
          <w:rFonts w:ascii="Arial" w:eastAsia="Times New Roman" w:hAnsi="Arial" w:cs="Arial"/>
          <w:noProof/>
          <w:lang w:val="sr-Cyrl-RS" w:eastAsia="sr-Cyrl-CS"/>
        </w:rPr>
        <w:t>корисника ове услуге, на начин да услугом персоналне асистенције не буду само обухваћени корисници права на увећани додатак за помоћ и негу другог л</w:t>
      </w:r>
      <w:r w:rsidR="00560E70" w:rsidRPr="009154B7">
        <w:rPr>
          <w:rFonts w:ascii="Arial" w:eastAsia="Times New Roman" w:hAnsi="Arial" w:cs="Arial"/>
          <w:noProof/>
          <w:lang w:val="sr-Cyrl-RS" w:eastAsia="sr-Cyrl-CS"/>
        </w:rPr>
        <w:t>ица.</w:t>
      </w:r>
    </w:p>
    <w:p w:rsidR="0092170D" w:rsidRPr="00624F43" w:rsidRDefault="00560E70" w:rsidP="002071BE">
      <w:pPr>
        <w:tabs>
          <w:tab w:val="left" w:pos="9072"/>
        </w:tabs>
        <w:spacing w:after="240"/>
        <w:jc w:val="both"/>
        <w:rPr>
          <w:rFonts w:ascii="Arial" w:eastAsia="Times New Roman" w:hAnsi="Arial" w:cs="Arial"/>
          <w:noProof/>
          <w:lang w:val="sr-Cyrl-RS" w:eastAsia="sr-Cyrl-CS"/>
        </w:rPr>
      </w:pPr>
      <w:r w:rsidRPr="00624F43">
        <w:rPr>
          <w:rFonts w:ascii="Arial" w:eastAsia="Times New Roman" w:hAnsi="Arial" w:cs="Arial"/>
          <w:noProof/>
          <w:lang w:val="sr-Cyrl-RS" w:eastAsia="sr-Cyrl-CS"/>
        </w:rPr>
        <w:lastRenderedPageBreak/>
        <w:t>С тим у вези прослеђујемо Вам</w:t>
      </w:r>
      <w:r w:rsidR="001566C8">
        <w:rPr>
          <w:rFonts w:ascii="Arial" w:eastAsia="Times New Roman" w:hAnsi="Arial" w:cs="Arial"/>
          <w:noProof/>
          <w:lang w:val="sr-Cyrl-RS" w:eastAsia="sr-Cyrl-CS"/>
        </w:rPr>
        <w:t xml:space="preserve"> и допис </w:t>
      </w:r>
      <w:r w:rsidR="001566C8">
        <w:rPr>
          <w:rFonts w:ascii="Arial" w:eastAsia="Times New Roman" w:hAnsi="Arial" w:cs="Arial"/>
          <w:noProof/>
          <w:lang w:val="sr-Latn-CS" w:eastAsia="sr-Cyrl-CS"/>
        </w:rPr>
        <w:t>удружења</w:t>
      </w:r>
      <w:bookmarkStart w:id="1" w:name="_GoBack"/>
      <w:bookmarkEnd w:id="1"/>
      <w:r w:rsidRPr="00624F43">
        <w:rPr>
          <w:rFonts w:ascii="Arial" w:eastAsia="Times New Roman" w:hAnsi="Arial" w:cs="Arial"/>
          <w:noProof/>
          <w:lang w:val="sr-Cyrl-RS" w:eastAsia="sr-Cyrl-CS"/>
        </w:rPr>
        <w:t xml:space="preserve"> у којем су представљени проблеми појединих особа са инвалид</w:t>
      </w:r>
      <w:r w:rsidR="00D04041" w:rsidRPr="00624F43">
        <w:rPr>
          <w:rFonts w:ascii="Arial" w:eastAsia="Times New Roman" w:hAnsi="Arial" w:cs="Arial"/>
          <w:noProof/>
          <w:lang w:val="sr-Cyrl-RS" w:eastAsia="sr-Cyrl-CS"/>
        </w:rPr>
        <w:t>и</w:t>
      </w:r>
      <w:r w:rsidRPr="00624F43">
        <w:rPr>
          <w:rFonts w:ascii="Arial" w:eastAsia="Times New Roman" w:hAnsi="Arial" w:cs="Arial"/>
          <w:noProof/>
          <w:lang w:val="sr-Cyrl-RS" w:eastAsia="sr-Cyrl-CS"/>
        </w:rPr>
        <w:t>тетом у пракси, односно особа које нису корисници</w:t>
      </w:r>
      <w:r w:rsidR="005E0415" w:rsidRPr="00624F43">
        <w:rPr>
          <w:rFonts w:ascii="Arial" w:eastAsia="Times New Roman" w:hAnsi="Arial" w:cs="Arial"/>
          <w:noProof/>
          <w:lang w:val="sr-Cyrl-RS" w:eastAsia="sr-Cyrl-CS"/>
        </w:rPr>
        <w:t xml:space="preserve"> услуге персоналне асистенције услед незнатно мањег телесног оштећења, а код којих постоји потреба за</w:t>
      </w:r>
      <w:r w:rsidR="00A80437" w:rsidRPr="00624F43">
        <w:rPr>
          <w:rFonts w:ascii="Arial" w:eastAsia="Times New Roman" w:hAnsi="Arial" w:cs="Arial"/>
          <w:noProof/>
          <w:lang w:val="sr-Cyrl-RS" w:eastAsia="sr-Cyrl-CS"/>
        </w:rPr>
        <w:t xml:space="preserve"> коришћењем наведене услуге.</w:t>
      </w:r>
    </w:p>
    <w:p w:rsidR="00570BF7" w:rsidRPr="009154B7" w:rsidRDefault="00570BF7" w:rsidP="002071BE">
      <w:pPr>
        <w:jc w:val="both"/>
        <w:rPr>
          <w:rFonts w:ascii="Arial" w:hAnsi="Arial" w:cs="Arial"/>
          <w:noProof/>
          <w:lang w:val="sr-Cyrl-RS"/>
        </w:rPr>
      </w:pPr>
      <w:r w:rsidRPr="009154B7">
        <w:rPr>
          <w:rFonts w:ascii="Arial" w:hAnsi="Arial" w:cs="Arial"/>
          <w:noProof/>
          <w:lang w:val="sr-Cyrl-RS"/>
        </w:rPr>
        <w:t xml:space="preserve">С поштовањем, </w:t>
      </w:r>
    </w:p>
    <w:p w:rsidR="000B37BF" w:rsidRPr="009154B7" w:rsidRDefault="000B37BF" w:rsidP="002071BE">
      <w:pPr>
        <w:jc w:val="both"/>
        <w:rPr>
          <w:rFonts w:ascii="Arial" w:hAnsi="Arial" w:cs="Arial"/>
          <w:noProof/>
          <w:lang w:val="sr-Cyrl-RS"/>
        </w:rPr>
      </w:pPr>
    </w:p>
    <w:p w:rsidR="00570BF7" w:rsidRPr="009154B7" w:rsidRDefault="00570BF7" w:rsidP="00570BF7">
      <w:pPr>
        <w:pStyle w:val="NoSpacing"/>
        <w:rPr>
          <w:rFonts w:ascii="Arial" w:hAnsi="Arial" w:cs="Arial"/>
          <w:b/>
          <w:noProof/>
          <w:sz w:val="24"/>
          <w:szCs w:val="24"/>
          <w:lang w:val="sr-Cyrl-RS"/>
        </w:rPr>
      </w:pPr>
      <w:r w:rsidRPr="009154B7">
        <w:rPr>
          <w:rFonts w:ascii="Arial" w:hAnsi="Arial" w:cs="Arial"/>
          <w:noProof/>
          <w:lang w:val="sr-Cyrl-RS"/>
        </w:rPr>
        <w:t xml:space="preserve">                                                                                            </w:t>
      </w:r>
      <w:r w:rsidR="000B37BF" w:rsidRPr="009154B7">
        <w:rPr>
          <w:rFonts w:ascii="Arial" w:hAnsi="Arial" w:cs="Arial"/>
          <w:noProof/>
          <w:lang w:val="sr-Cyrl-RS"/>
        </w:rPr>
        <w:t xml:space="preserve">              </w:t>
      </w:r>
      <w:r w:rsidRPr="009154B7">
        <w:rPr>
          <w:rFonts w:ascii="Arial" w:hAnsi="Arial" w:cs="Arial"/>
          <w:noProof/>
          <w:lang w:val="sr-Cyrl-RS"/>
        </w:rPr>
        <w:t xml:space="preserve"> </w:t>
      </w:r>
      <w:r w:rsidR="007E07AF" w:rsidRPr="009154B7">
        <w:rPr>
          <w:rFonts w:ascii="Arial" w:hAnsi="Arial" w:cs="Arial"/>
          <w:noProof/>
          <w:lang w:val="sr-Cyrl-RS"/>
        </w:rPr>
        <w:t xml:space="preserve">   </w:t>
      </w:r>
      <w:r w:rsidRPr="009154B7">
        <w:rPr>
          <w:rFonts w:ascii="Arial" w:hAnsi="Arial" w:cs="Arial"/>
          <w:b/>
          <w:noProof/>
          <w:sz w:val="24"/>
          <w:szCs w:val="24"/>
          <w:lang w:val="sr-Cyrl-RS"/>
        </w:rPr>
        <w:t>ПОВЕРЕНИЦ</w:t>
      </w:r>
      <w:r w:rsidR="000B37BF" w:rsidRPr="009154B7">
        <w:rPr>
          <w:rFonts w:ascii="Arial" w:hAnsi="Arial" w:cs="Arial"/>
          <w:b/>
          <w:noProof/>
          <w:sz w:val="24"/>
          <w:szCs w:val="24"/>
          <w:lang w:val="sr-Cyrl-RS"/>
        </w:rPr>
        <w:t>А</w:t>
      </w:r>
      <w:r w:rsidRPr="009154B7">
        <w:rPr>
          <w:rFonts w:ascii="Arial" w:hAnsi="Arial" w:cs="Arial"/>
          <w:b/>
          <w:noProof/>
          <w:sz w:val="24"/>
          <w:szCs w:val="24"/>
          <w:lang w:val="sr-Cyrl-RS"/>
        </w:rPr>
        <w:t xml:space="preserve"> ЗА</w:t>
      </w:r>
    </w:p>
    <w:p w:rsidR="00570BF7" w:rsidRPr="009154B7" w:rsidRDefault="00570BF7" w:rsidP="00570BF7">
      <w:pPr>
        <w:pStyle w:val="NoSpacing"/>
        <w:rPr>
          <w:b/>
          <w:noProof/>
          <w:sz w:val="24"/>
          <w:szCs w:val="24"/>
          <w:lang w:val="sr-Cyrl-RS"/>
        </w:rPr>
      </w:pPr>
      <w:r w:rsidRPr="009154B7">
        <w:rPr>
          <w:rFonts w:ascii="Arial" w:hAnsi="Arial" w:cs="Arial"/>
          <w:b/>
          <w:noProof/>
          <w:sz w:val="24"/>
          <w:szCs w:val="24"/>
          <w:lang w:val="sr-Cyrl-RS"/>
        </w:rPr>
        <w:t xml:space="preserve">                                                                                      ЗАШТИТУ РАВНОПРАВНОСТИ</w:t>
      </w:r>
      <w:r w:rsidRPr="009154B7">
        <w:rPr>
          <w:b/>
          <w:noProof/>
          <w:sz w:val="24"/>
          <w:szCs w:val="24"/>
          <w:lang w:val="sr-Cyrl-RS"/>
        </w:rPr>
        <w:t xml:space="preserve"> </w:t>
      </w:r>
    </w:p>
    <w:p w:rsidR="00570BF7" w:rsidRPr="009154B7" w:rsidRDefault="00570BF7" w:rsidP="00570BF7">
      <w:pPr>
        <w:jc w:val="both"/>
        <w:rPr>
          <w:rFonts w:ascii="Arial" w:hAnsi="Arial" w:cs="Arial"/>
          <w:b/>
          <w:noProof/>
          <w:lang w:val="sr-Cyrl-RS"/>
        </w:rPr>
      </w:pPr>
    </w:p>
    <w:p w:rsidR="00570BF7" w:rsidRPr="009154B7" w:rsidRDefault="00570BF7" w:rsidP="00570BF7">
      <w:pPr>
        <w:jc w:val="both"/>
        <w:rPr>
          <w:rFonts w:ascii="Arial" w:hAnsi="Arial" w:cs="Arial"/>
          <w:b/>
          <w:noProof/>
          <w:sz w:val="24"/>
          <w:szCs w:val="24"/>
          <w:lang w:val="sr-Cyrl-RS"/>
        </w:rPr>
      </w:pPr>
      <w:r w:rsidRPr="009154B7">
        <w:rPr>
          <w:rFonts w:ascii="Arial" w:hAnsi="Arial" w:cs="Arial"/>
          <w:b/>
          <w:noProof/>
          <w:sz w:val="24"/>
          <w:szCs w:val="24"/>
          <w:lang w:val="sr-Cyrl-RS"/>
        </w:rPr>
        <w:t xml:space="preserve">                                                                                                    </w:t>
      </w:r>
      <w:r w:rsidR="000B37BF" w:rsidRPr="009154B7">
        <w:rPr>
          <w:rFonts w:ascii="Arial" w:hAnsi="Arial" w:cs="Arial"/>
          <w:b/>
          <w:noProof/>
          <w:sz w:val="24"/>
          <w:szCs w:val="24"/>
          <w:lang w:val="sr-Cyrl-RS"/>
        </w:rPr>
        <w:t>Бранкица Јанковић</w:t>
      </w:r>
    </w:p>
    <w:p w:rsidR="00DC27BD" w:rsidRPr="009154B7" w:rsidRDefault="00DC27BD">
      <w:pPr>
        <w:rPr>
          <w:noProof/>
          <w:lang w:val="sr-Cyrl-RS"/>
        </w:rPr>
      </w:pPr>
    </w:p>
    <w:sectPr w:rsidR="00DC27BD" w:rsidRPr="009154B7" w:rsidSect="00DC27BD">
      <w:footerReference w:type="default" r:id="rId11"/>
      <w:footerReference w:type="first" r:id="rId12"/>
      <w:pgSz w:w="11906" w:h="16838"/>
      <w:pgMar w:top="1304"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18" w:rsidRDefault="00F36E18" w:rsidP="00570BF7">
      <w:pPr>
        <w:spacing w:after="0" w:line="240" w:lineRule="auto"/>
      </w:pPr>
      <w:r>
        <w:separator/>
      </w:r>
    </w:p>
  </w:endnote>
  <w:endnote w:type="continuationSeparator" w:id="0">
    <w:p w:rsidR="00F36E18" w:rsidRDefault="00F36E18" w:rsidP="0057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BD" w:rsidRDefault="00B03156">
    <w:pPr>
      <w:pStyle w:val="Footer"/>
    </w:pPr>
    <w:r>
      <w:rPr>
        <w:noProof/>
        <w:lang w:val="sr-Latn-CS" w:eastAsia="sr-Latn-CS"/>
      </w:rPr>
      <mc:AlternateContent>
        <mc:Choice Requires="wps">
          <w:drawing>
            <wp:anchor distT="152400" distB="152400" distL="152400" distR="152400" simplePos="0" relativeHeight="251661312"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C27BD" w:rsidRDefault="00DC27BD" w:rsidP="00DC27B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DC27BD" w:rsidRPr="006560D2" w:rsidRDefault="00DC27BD" w:rsidP="00DC27BD">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1566C8">
                            <w:rPr>
                              <w:rFonts w:ascii="Arial" w:hAnsi="Arial" w:cs="Arial"/>
                              <w:noProof/>
                              <w:sz w:val="16"/>
                            </w:rPr>
                            <w:t>4</w:t>
                          </w:r>
                          <w:r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C27BD" w:rsidRDefault="00DC27BD" w:rsidP="00DC27B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DC27BD" w:rsidRPr="006560D2" w:rsidRDefault="00DC27BD" w:rsidP="00DC27BD">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1566C8">
                      <w:rPr>
                        <w:rFonts w:ascii="Arial" w:hAnsi="Arial" w:cs="Arial"/>
                        <w:noProof/>
                        <w:sz w:val="16"/>
                      </w:rPr>
                      <w:t>4</w:t>
                    </w:r>
                    <w:r w:rsidRPr="006560D2">
                      <w:rPr>
                        <w:rFonts w:ascii="Arial" w:hAnsi="Arial" w:cs="Arial"/>
                        <w:sz w:val="16"/>
                      </w:rPr>
                      <w:fldChar w:fldCharType="end"/>
                    </w:r>
                  </w:p>
                </w:txbxContent>
              </v:textbox>
              <w10:wrap type="square" anchorx="page" anchory="page"/>
            </v:rect>
          </w:pict>
        </mc:Fallback>
      </mc:AlternateContent>
    </w:r>
    <w:r w:rsidR="00DC27BD">
      <w:rPr>
        <w:noProof/>
        <w:lang w:val="sr-Latn-CS" w:eastAsia="sr-Latn-CS"/>
      </w:rPr>
      <w:drawing>
        <wp:anchor distT="0" distB="0" distL="114300" distR="114300" simplePos="0" relativeHeight="251659264"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BD" w:rsidRDefault="00B03156">
    <w:pPr>
      <w:pStyle w:val="Footer"/>
    </w:pPr>
    <w:r>
      <w:rPr>
        <w:noProof/>
        <w:lang w:val="sr-Latn-CS" w:eastAsia="sr-Latn-CS"/>
      </w:rPr>
      <mc:AlternateContent>
        <mc:Choice Requires="wps">
          <w:drawing>
            <wp:anchor distT="152400" distB="152400" distL="152400" distR="152400" simplePos="0" relativeHeight="251662336" behindDoc="0" locked="0" layoutInCell="1" allowOverlap="1">
              <wp:simplePos x="0" y="0"/>
              <wp:positionH relativeFrom="page">
                <wp:posOffset>751205</wp:posOffset>
              </wp:positionH>
              <wp:positionV relativeFrom="page">
                <wp:posOffset>9911715</wp:posOffset>
              </wp:positionV>
              <wp:extent cx="6165850" cy="571500"/>
              <wp:effectExtent l="0" t="0" r="635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C27BD" w:rsidRDefault="00DC27BD" w:rsidP="00DC27B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DC27BD" w:rsidRPr="006560D2" w:rsidRDefault="00DC27BD" w:rsidP="00DC27BD">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5coAIAAJE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J6knlygAgAAkQUAAA4AAAAAAAAAAAAAAAAALgIAAGRy&#10;cy9lMm9Eb2MueG1sUEsBAi0AFAAGAAgAAAAhAAmVgvXdAAAADgEAAA8AAAAAAAAAAAAAAAAA+gQA&#10;AGRycy9kb3ducmV2LnhtbFBLBQYAAAAABAAEAPMAAAAEBgAAAAA=&#10;" filled="f" stroked="f" strokeweight="1pt">
              <v:path arrowok="t"/>
              <v:textbox inset="0,0,0,0">
                <w:txbxContent>
                  <w:p w:rsidR="00DC27BD" w:rsidRDefault="00DC27BD" w:rsidP="00DC27B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DC27BD" w:rsidRPr="006560D2" w:rsidRDefault="00DC27BD" w:rsidP="00DC27BD">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sidR="00DC27BD">
      <w:rPr>
        <w:noProof/>
        <w:lang w:val="sr-Latn-CS" w:eastAsia="sr-Latn-CS"/>
      </w:rPr>
      <w:drawing>
        <wp:anchor distT="0" distB="0" distL="114300" distR="114300" simplePos="0" relativeHeight="251660288"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18" w:rsidRDefault="00F36E18" w:rsidP="00570BF7">
      <w:pPr>
        <w:spacing w:after="0" w:line="240" w:lineRule="auto"/>
      </w:pPr>
      <w:r>
        <w:separator/>
      </w:r>
    </w:p>
  </w:footnote>
  <w:footnote w:type="continuationSeparator" w:id="0">
    <w:p w:rsidR="00F36E18" w:rsidRDefault="00F36E18" w:rsidP="00570BF7">
      <w:pPr>
        <w:spacing w:after="0" w:line="240" w:lineRule="auto"/>
      </w:pPr>
      <w:r>
        <w:continuationSeparator/>
      </w:r>
    </w:p>
  </w:footnote>
  <w:footnote w:id="1">
    <w:p w:rsidR="00DC27BD" w:rsidRPr="007E07AF" w:rsidRDefault="00DC27BD" w:rsidP="00771059">
      <w:pPr>
        <w:pStyle w:val="FootnoteText"/>
        <w:jc w:val="both"/>
        <w:rPr>
          <w:rFonts w:ascii="Arial" w:hAnsi="Arial" w:cs="Arial"/>
          <w:sz w:val="16"/>
          <w:szCs w:val="16"/>
        </w:rPr>
      </w:pPr>
      <w:r w:rsidRPr="007E07AF">
        <w:rPr>
          <w:rStyle w:val="FootnoteReference"/>
          <w:rFonts w:ascii="Arial" w:hAnsi="Arial" w:cs="Arial"/>
          <w:sz w:val="16"/>
          <w:szCs w:val="16"/>
        </w:rPr>
        <w:footnoteRef/>
      </w:r>
      <w:r w:rsidRPr="007E07AF">
        <w:rPr>
          <w:rFonts w:ascii="Arial" w:hAnsi="Arial" w:cs="Arial"/>
          <w:sz w:val="16"/>
          <w:szCs w:val="16"/>
        </w:rPr>
        <w:t xml:space="preserve"> „Службени гласник РС“ , бр. 42</w:t>
      </w:r>
      <w:r w:rsidRPr="007E07AF">
        <w:rPr>
          <w:rFonts w:ascii="Arial" w:hAnsi="Arial" w:cs="Arial"/>
          <w:sz w:val="16"/>
          <w:szCs w:val="16"/>
          <w:lang w:val="en-US"/>
        </w:rPr>
        <w:t>/13, 89/18</w:t>
      </w:r>
      <w:r w:rsidRPr="007E07AF">
        <w:rPr>
          <w:rFonts w:ascii="Arial" w:hAnsi="Arial" w:cs="Arial"/>
          <w:sz w:val="16"/>
          <w:szCs w:val="16"/>
        </w:rPr>
        <w:t xml:space="preserve"> и 73</w:t>
      </w:r>
      <w:r w:rsidRPr="007E07AF">
        <w:rPr>
          <w:rFonts w:ascii="Arial" w:hAnsi="Arial" w:cs="Arial"/>
          <w:sz w:val="16"/>
          <w:szCs w:val="16"/>
          <w:lang w:val="en-US"/>
        </w:rPr>
        <w:t>/19</w:t>
      </w:r>
    </w:p>
  </w:footnote>
  <w:footnote w:id="2">
    <w:p w:rsidR="00DC27BD" w:rsidRPr="007E07AF" w:rsidRDefault="00DC27BD" w:rsidP="008759F9">
      <w:pPr>
        <w:pStyle w:val="FootnoteText"/>
        <w:rPr>
          <w:rFonts w:ascii="Arial" w:hAnsi="Arial" w:cs="Arial"/>
          <w:sz w:val="16"/>
          <w:szCs w:val="16"/>
        </w:rPr>
      </w:pPr>
      <w:r w:rsidRPr="007E07AF">
        <w:rPr>
          <w:rStyle w:val="FootnoteReference"/>
          <w:rFonts w:ascii="Arial" w:hAnsi="Arial" w:cs="Arial"/>
          <w:sz w:val="16"/>
          <w:szCs w:val="16"/>
        </w:rPr>
        <w:footnoteRef/>
      </w:r>
      <w:r w:rsidRPr="007E07AF">
        <w:rPr>
          <w:rFonts w:ascii="Arial" w:hAnsi="Arial" w:cs="Arial"/>
          <w:sz w:val="16"/>
          <w:szCs w:val="16"/>
        </w:rPr>
        <w:t xml:space="preserve"> „Службени гласник РС“, број</w:t>
      </w:r>
      <w:r>
        <w:rPr>
          <w:rFonts w:ascii="Arial" w:hAnsi="Arial" w:cs="Arial"/>
          <w:sz w:val="16"/>
          <w:szCs w:val="16"/>
          <w:lang w:val="sr-Cyrl-RS"/>
        </w:rPr>
        <w:t xml:space="preserve"> </w:t>
      </w:r>
      <w:r w:rsidRPr="007E07AF">
        <w:rPr>
          <w:rFonts w:ascii="Arial" w:hAnsi="Arial" w:cs="Arial"/>
          <w:sz w:val="16"/>
          <w:szCs w:val="16"/>
        </w:rPr>
        <w:t xml:space="preserve"> 24/11</w:t>
      </w:r>
    </w:p>
  </w:footnote>
  <w:footnote w:id="3">
    <w:p w:rsidR="00DC27BD" w:rsidRPr="007E07AF" w:rsidRDefault="00DC27BD">
      <w:pPr>
        <w:pStyle w:val="FootnoteText"/>
        <w:rPr>
          <w:rFonts w:ascii="Arial" w:hAnsi="Arial" w:cs="Arial"/>
          <w:sz w:val="16"/>
          <w:szCs w:val="16"/>
          <w:lang w:val="sr-Cyrl-RS"/>
        </w:rPr>
      </w:pPr>
      <w:r w:rsidRPr="007E07AF">
        <w:rPr>
          <w:rStyle w:val="FootnoteReference"/>
          <w:rFonts w:ascii="Arial" w:hAnsi="Arial" w:cs="Arial"/>
          <w:sz w:val="16"/>
          <w:szCs w:val="16"/>
        </w:rPr>
        <w:footnoteRef/>
      </w:r>
      <w:r w:rsidRPr="007E07AF">
        <w:rPr>
          <w:rFonts w:ascii="Arial" w:hAnsi="Arial" w:cs="Arial"/>
          <w:sz w:val="16"/>
          <w:szCs w:val="16"/>
        </w:rPr>
        <w:t xml:space="preserve"> </w:t>
      </w:r>
      <w:r w:rsidRPr="007E07AF">
        <w:rPr>
          <w:rFonts w:ascii="Arial" w:hAnsi="Arial" w:cs="Arial"/>
          <w:color w:val="333333"/>
          <w:sz w:val="16"/>
          <w:szCs w:val="16"/>
          <w:shd w:val="clear" w:color="auto" w:fill="FFFFFF"/>
          <w:lang w:val="sr-Cyrl-RS"/>
        </w:rPr>
        <w:t>„</w:t>
      </w:r>
      <w:r w:rsidRPr="007E07AF">
        <w:rPr>
          <w:rFonts w:ascii="Arial" w:hAnsi="Arial" w:cs="Arial"/>
          <w:color w:val="333333"/>
          <w:sz w:val="16"/>
          <w:szCs w:val="16"/>
          <w:shd w:val="clear" w:color="auto" w:fill="FFFFFF"/>
        </w:rPr>
        <w:t>Службени гласник РС</w:t>
      </w:r>
      <w:r w:rsidRPr="007E07AF">
        <w:rPr>
          <w:rFonts w:ascii="Arial" w:hAnsi="Arial" w:cs="Arial"/>
          <w:color w:val="333333"/>
          <w:sz w:val="16"/>
          <w:szCs w:val="16"/>
          <w:shd w:val="clear" w:color="auto" w:fill="FFFFFF"/>
          <w:lang w:val="sr-Cyrl-RS"/>
        </w:rPr>
        <w:t>“</w:t>
      </w:r>
      <w:r w:rsidRPr="007E07AF">
        <w:rPr>
          <w:rFonts w:ascii="Arial" w:hAnsi="Arial" w:cs="Arial"/>
          <w:color w:val="333333"/>
          <w:sz w:val="16"/>
          <w:szCs w:val="16"/>
          <w:shd w:val="clear" w:color="auto" w:fill="FFFFFF"/>
        </w:rPr>
        <w:t>, број 12 од 1. фебруара 2022</w:t>
      </w:r>
      <w:r>
        <w:rPr>
          <w:rFonts w:ascii="Arial" w:hAnsi="Arial" w:cs="Arial"/>
          <w:color w:val="333333"/>
          <w:sz w:val="16"/>
          <w:szCs w:val="16"/>
          <w:shd w:val="clear" w:color="auto" w:fill="FFFFFF"/>
          <w:lang w:val="sr-Cyrl-R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F7"/>
    <w:rsid w:val="00010BA6"/>
    <w:rsid w:val="000345B5"/>
    <w:rsid w:val="000423F6"/>
    <w:rsid w:val="000B37BF"/>
    <w:rsid w:val="000D570B"/>
    <w:rsid w:val="000D7CA7"/>
    <w:rsid w:val="000E006A"/>
    <w:rsid w:val="000E29E5"/>
    <w:rsid w:val="000E4F01"/>
    <w:rsid w:val="000F3B35"/>
    <w:rsid w:val="000F4F29"/>
    <w:rsid w:val="001058E5"/>
    <w:rsid w:val="00124580"/>
    <w:rsid w:val="00135012"/>
    <w:rsid w:val="001541B9"/>
    <w:rsid w:val="001566C8"/>
    <w:rsid w:val="001924C7"/>
    <w:rsid w:val="001D2FCB"/>
    <w:rsid w:val="002071BE"/>
    <w:rsid w:val="00234F04"/>
    <w:rsid w:val="002B3D10"/>
    <w:rsid w:val="002B64A0"/>
    <w:rsid w:val="002F6DFA"/>
    <w:rsid w:val="00310D49"/>
    <w:rsid w:val="003445F8"/>
    <w:rsid w:val="00346F0B"/>
    <w:rsid w:val="0035368E"/>
    <w:rsid w:val="0047170E"/>
    <w:rsid w:val="00477E74"/>
    <w:rsid w:val="004967FE"/>
    <w:rsid w:val="004B2330"/>
    <w:rsid w:val="004B4E75"/>
    <w:rsid w:val="004C6D26"/>
    <w:rsid w:val="00530526"/>
    <w:rsid w:val="00551719"/>
    <w:rsid w:val="00560E70"/>
    <w:rsid w:val="00570BF7"/>
    <w:rsid w:val="00574EB3"/>
    <w:rsid w:val="005816B4"/>
    <w:rsid w:val="005829F7"/>
    <w:rsid w:val="005A3CAA"/>
    <w:rsid w:val="005E0415"/>
    <w:rsid w:val="005F5907"/>
    <w:rsid w:val="00622068"/>
    <w:rsid w:val="00624F43"/>
    <w:rsid w:val="0062705B"/>
    <w:rsid w:val="00627E49"/>
    <w:rsid w:val="00697C28"/>
    <w:rsid w:val="006C0520"/>
    <w:rsid w:val="006C6D2F"/>
    <w:rsid w:val="006D2031"/>
    <w:rsid w:val="006E24B8"/>
    <w:rsid w:val="006E65E1"/>
    <w:rsid w:val="006F038B"/>
    <w:rsid w:val="0070094E"/>
    <w:rsid w:val="00771059"/>
    <w:rsid w:val="00784562"/>
    <w:rsid w:val="007A7CF7"/>
    <w:rsid w:val="007B052F"/>
    <w:rsid w:val="007B370A"/>
    <w:rsid w:val="007C2B97"/>
    <w:rsid w:val="007E07AF"/>
    <w:rsid w:val="007E208F"/>
    <w:rsid w:val="00801266"/>
    <w:rsid w:val="008759F9"/>
    <w:rsid w:val="008A4EA6"/>
    <w:rsid w:val="008B0D29"/>
    <w:rsid w:val="008B1ED7"/>
    <w:rsid w:val="009154B7"/>
    <w:rsid w:val="0092170D"/>
    <w:rsid w:val="00952269"/>
    <w:rsid w:val="00962127"/>
    <w:rsid w:val="009978FA"/>
    <w:rsid w:val="009D014A"/>
    <w:rsid w:val="009D46F9"/>
    <w:rsid w:val="009E3301"/>
    <w:rsid w:val="009F57DB"/>
    <w:rsid w:val="009F69B0"/>
    <w:rsid w:val="00A3196C"/>
    <w:rsid w:val="00A52DD7"/>
    <w:rsid w:val="00A76434"/>
    <w:rsid w:val="00A80437"/>
    <w:rsid w:val="00A92905"/>
    <w:rsid w:val="00AB7912"/>
    <w:rsid w:val="00B03156"/>
    <w:rsid w:val="00B21EAF"/>
    <w:rsid w:val="00B30A8A"/>
    <w:rsid w:val="00B351B9"/>
    <w:rsid w:val="00B36AD8"/>
    <w:rsid w:val="00B9547D"/>
    <w:rsid w:val="00BA621C"/>
    <w:rsid w:val="00BB0A66"/>
    <w:rsid w:val="00BD2D6B"/>
    <w:rsid w:val="00BD7B7B"/>
    <w:rsid w:val="00C35A24"/>
    <w:rsid w:val="00C72985"/>
    <w:rsid w:val="00CA1A89"/>
    <w:rsid w:val="00CB63F3"/>
    <w:rsid w:val="00CC4B0D"/>
    <w:rsid w:val="00CE725F"/>
    <w:rsid w:val="00D04041"/>
    <w:rsid w:val="00D04523"/>
    <w:rsid w:val="00D201AD"/>
    <w:rsid w:val="00D22376"/>
    <w:rsid w:val="00D31F1E"/>
    <w:rsid w:val="00D66946"/>
    <w:rsid w:val="00D84882"/>
    <w:rsid w:val="00D94DC0"/>
    <w:rsid w:val="00DC27BD"/>
    <w:rsid w:val="00DD09B2"/>
    <w:rsid w:val="00DE1D14"/>
    <w:rsid w:val="00DF6700"/>
    <w:rsid w:val="00E23EA0"/>
    <w:rsid w:val="00E36B63"/>
    <w:rsid w:val="00E418DF"/>
    <w:rsid w:val="00E505D8"/>
    <w:rsid w:val="00E574FF"/>
    <w:rsid w:val="00EC7FC9"/>
    <w:rsid w:val="00ED6F54"/>
    <w:rsid w:val="00F21225"/>
    <w:rsid w:val="00F33F71"/>
    <w:rsid w:val="00F36E18"/>
    <w:rsid w:val="00F9096B"/>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F7"/>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F7"/>
    <w:rPr>
      <w:lang w:val="nl-NL"/>
    </w:rPr>
  </w:style>
  <w:style w:type="paragraph" w:customStyle="1" w:styleId="FreeFormAA">
    <w:name w:val="Free Form A A"/>
    <w:rsid w:val="00570BF7"/>
    <w:pPr>
      <w:spacing w:after="0" w:line="240" w:lineRule="auto"/>
    </w:pPr>
    <w:rPr>
      <w:rFonts w:ascii="Helvetica" w:eastAsia="ヒラギノ角ゴ Pro W3" w:hAnsi="Helvetica" w:cs="Times New Roman"/>
      <w:color w:val="000000"/>
      <w:sz w:val="24"/>
      <w:szCs w:val="20"/>
      <w:lang w:eastAsia="sr-Cyrl-CS"/>
    </w:rPr>
  </w:style>
  <w:style w:type="character" w:styleId="Hyperlink">
    <w:name w:val="Hyperlink"/>
    <w:basedOn w:val="DefaultParagraphFont"/>
    <w:uiPriority w:val="99"/>
    <w:unhideWhenUsed/>
    <w:rsid w:val="00570BF7"/>
    <w:rPr>
      <w:color w:val="0563C1" w:themeColor="hyperlink"/>
      <w:u w:val="single"/>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70BF7"/>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70BF7"/>
    <w:rPr>
      <w:rFonts w:ascii="Calibri" w:eastAsia="Calibri" w:hAnsi="Calibri" w:cs="Times New Roman"/>
      <w:sz w:val="20"/>
      <w:szCs w:val="20"/>
      <w:lang w:val="nl-NL"/>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
    <w:link w:val="BVIfnrCharCharCharChar1CharChar"/>
    <w:uiPriority w:val="99"/>
    <w:unhideWhenUsed/>
    <w:qFormat/>
    <w:rsid w:val="00570BF7"/>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70BF7"/>
    <w:pPr>
      <w:spacing w:after="160" w:line="240" w:lineRule="exact"/>
    </w:pPr>
    <w:rPr>
      <w:vertAlign w:val="superscript"/>
      <w:lang w:val="en-US"/>
    </w:rPr>
  </w:style>
  <w:style w:type="paragraph" w:styleId="NoSpacing">
    <w:name w:val="No Spacing"/>
    <w:uiPriority w:val="1"/>
    <w:qFormat/>
    <w:rsid w:val="00570BF7"/>
    <w:pPr>
      <w:spacing w:after="0" w:line="240" w:lineRule="auto"/>
    </w:pPr>
    <w:rPr>
      <w:rFonts w:ascii="Calibri" w:eastAsia="Calibri" w:hAnsi="Calibri" w:cs="Times New Roman"/>
      <w:lang w:val="sr-Cyrl-CS"/>
    </w:rPr>
  </w:style>
  <w:style w:type="paragraph" w:customStyle="1" w:styleId="clan">
    <w:name w:val="clan"/>
    <w:basedOn w:val="Normal"/>
    <w:rsid w:val="00570BF7"/>
    <w:pPr>
      <w:spacing w:before="240" w:after="120" w:line="240" w:lineRule="auto"/>
      <w:jc w:val="center"/>
    </w:pPr>
    <w:rPr>
      <w:rFonts w:ascii="Arial" w:eastAsia="Times New Roman" w:hAnsi="Arial" w:cs="Arial"/>
      <w:b/>
      <w:bCs/>
      <w:sz w:val="24"/>
      <w:szCs w:val="24"/>
      <w:lang w:val="en-US"/>
    </w:rPr>
  </w:style>
  <w:style w:type="paragraph" w:styleId="Header">
    <w:name w:val="header"/>
    <w:basedOn w:val="Normal"/>
    <w:link w:val="HeaderChar"/>
    <w:uiPriority w:val="99"/>
    <w:unhideWhenUsed/>
    <w:rsid w:val="008A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A6"/>
    <w:rPr>
      <w:lang w:val="nl-NL"/>
    </w:rPr>
  </w:style>
  <w:style w:type="paragraph" w:customStyle="1" w:styleId="wyq120---podnaslov-clana">
    <w:name w:val="wyq120---podnaslov-clana"/>
    <w:basedOn w:val="Normal"/>
    <w:rsid w:val="00A929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A929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1058E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4E75"/>
    <w:rPr>
      <w:sz w:val="16"/>
      <w:szCs w:val="16"/>
    </w:rPr>
  </w:style>
  <w:style w:type="paragraph" w:styleId="CommentText">
    <w:name w:val="annotation text"/>
    <w:basedOn w:val="Normal"/>
    <w:link w:val="CommentTextChar"/>
    <w:uiPriority w:val="99"/>
    <w:semiHidden/>
    <w:unhideWhenUsed/>
    <w:rsid w:val="004B4E75"/>
    <w:pPr>
      <w:spacing w:line="240" w:lineRule="auto"/>
    </w:pPr>
    <w:rPr>
      <w:sz w:val="20"/>
      <w:szCs w:val="20"/>
    </w:rPr>
  </w:style>
  <w:style w:type="character" w:customStyle="1" w:styleId="CommentTextChar">
    <w:name w:val="Comment Text Char"/>
    <w:basedOn w:val="DefaultParagraphFont"/>
    <w:link w:val="CommentText"/>
    <w:uiPriority w:val="99"/>
    <w:semiHidden/>
    <w:rsid w:val="004B4E75"/>
    <w:rPr>
      <w:sz w:val="20"/>
      <w:szCs w:val="20"/>
      <w:lang w:val="nl-NL"/>
    </w:rPr>
  </w:style>
  <w:style w:type="paragraph" w:styleId="CommentSubject">
    <w:name w:val="annotation subject"/>
    <w:basedOn w:val="CommentText"/>
    <w:next w:val="CommentText"/>
    <w:link w:val="CommentSubjectChar"/>
    <w:uiPriority w:val="99"/>
    <w:semiHidden/>
    <w:unhideWhenUsed/>
    <w:rsid w:val="004B4E75"/>
    <w:rPr>
      <w:b/>
      <w:bCs/>
    </w:rPr>
  </w:style>
  <w:style w:type="character" w:customStyle="1" w:styleId="CommentSubjectChar">
    <w:name w:val="Comment Subject Char"/>
    <w:basedOn w:val="CommentTextChar"/>
    <w:link w:val="CommentSubject"/>
    <w:uiPriority w:val="99"/>
    <w:semiHidden/>
    <w:rsid w:val="004B4E75"/>
    <w:rPr>
      <w:b/>
      <w:bCs/>
      <w:sz w:val="20"/>
      <w:szCs w:val="20"/>
      <w:lang w:val="nl-NL"/>
    </w:rPr>
  </w:style>
  <w:style w:type="paragraph" w:styleId="BalloonText">
    <w:name w:val="Balloon Text"/>
    <w:basedOn w:val="Normal"/>
    <w:link w:val="BalloonTextChar"/>
    <w:uiPriority w:val="99"/>
    <w:semiHidden/>
    <w:unhideWhenUsed/>
    <w:rsid w:val="004B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75"/>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F7"/>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F7"/>
    <w:rPr>
      <w:lang w:val="nl-NL"/>
    </w:rPr>
  </w:style>
  <w:style w:type="paragraph" w:customStyle="1" w:styleId="FreeFormAA">
    <w:name w:val="Free Form A A"/>
    <w:rsid w:val="00570BF7"/>
    <w:pPr>
      <w:spacing w:after="0" w:line="240" w:lineRule="auto"/>
    </w:pPr>
    <w:rPr>
      <w:rFonts w:ascii="Helvetica" w:eastAsia="ヒラギノ角ゴ Pro W3" w:hAnsi="Helvetica" w:cs="Times New Roman"/>
      <w:color w:val="000000"/>
      <w:sz w:val="24"/>
      <w:szCs w:val="20"/>
      <w:lang w:eastAsia="sr-Cyrl-CS"/>
    </w:rPr>
  </w:style>
  <w:style w:type="character" w:styleId="Hyperlink">
    <w:name w:val="Hyperlink"/>
    <w:basedOn w:val="DefaultParagraphFont"/>
    <w:uiPriority w:val="99"/>
    <w:unhideWhenUsed/>
    <w:rsid w:val="00570BF7"/>
    <w:rPr>
      <w:color w:val="0563C1" w:themeColor="hyperlink"/>
      <w:u w:val="single"/>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70BF7"/>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70BF7"/>
    <w:rPr>
      <w:rFonts w:ascii="Calibri" w:eastAsia="Calibri" w:hAnsi="Calibri" w:cs="Times New Roman"/>
      <w:sz w:val="20"/>
      <w:szCs w:val="20"/>
      <w:lang w:val="nl-NL"/>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
    <w:link w:val="BVIfnrCharCharCharChar1CharChar"/>
    <w:uiPriority w:val="99"/>
    <w:unhideWhenUsed/>
    <w:qFormat/>
    <w:rsid w:val="00570BF7"/>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70BF7"/>
    <w:pPr>
      <w:spacing w:after="160" w:line="240" w:lineRule="exact"/>
    </w:pPr>
    <w:rPr>
      <w:vertAlign w:val="superscript"/>
      <w:lang w:val="en-US"/>
    </w:rPr>
  </w:style>
  <w:style w:type="paragraph" w:styleId="NoSpacing">
    <w:name w:val="No Spacing"/>
    <w:uiPriority w:val="1"/>
    <w:qFormat/>
    <w:rsid w:val="00570BF7"/>
    <w:pPr>
      <w:spacing w:after="0" w:line="240" w:lineRule="auto"/>
    </w:pPr>
    <w:rPr>
      <w:rFonts w:ascii="Calibri" w:eastAsia="Calibri" w:hAnsi="Calibri" w:cs="Times New Roman"/>
      <w:lang w:val="sr-Cyrl-CS"/>
    </w:rPr>
  </w:style>
  <w:style w:type="paragraph" w:customStyle="1" w:styleId="clan">
    <w:name w:val="clan"/>
    <w:basedOn w:val="Normal"/>
    <w:rsid w:val="00570BF7"/>
    <w:pPr>
      <w:spacing w:before="240" w:after="120" w:line="240" w:lineRule="auto"/>
      <w:jc w:val="center"/>
    </w:pPr>
    <w:rPr>
      <w:rFonts w:ascii="Arial" w:eastAsia="Times New Roman" w:hAnsi="Arial" w:cs="Arial"/>
      <w:b/>
      <w:bCs/>
      <w:sz w:val="24"/>
      <w:szCs w:val="24"/>
      <w:lang w:val="en-US"/>
    </w:rPr>
  </w:style>
  <w:style w:type="paragraph" w:styleId="Header">
    <w:name w:val="header"/>
    <w:basedOn w:val="Normal"/>
    <w:link w:val="HeaderChar"/>
    <w:uiPriority w:val="99"/>
    <w:unhideWhenUsed/>
    <w:rsid w:val="008A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A6"/>
    <w:rPr>
      <w:lang w:val="nl-NL"/>
    </w:rPr>
  </w:style>
  <w:style w:type="paragraph" w:customStyle="1" w:styleId="wyq120---podnaslov-clana">
    <w:name w:val="wyq120---podnaslov-clana"/>
    <w:basedOn w:val="Normal"/>
    <w:rsid w:val="00A929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A929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1058E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4E75"/>
    <w:rPr>
      <w:sz w:val="16"/>
      <w:szCs w:val="16"/>
    </w:rPr>
  </w:style>
  <w:style w:type="paragraph" w:styleId="CommentText">
    <w:name w:val="annotation text"/>
    <w:basedOn w:val="Normal"/>
    <w:link w:val="CommentTextChar"/>
    <w:uiPriority w:val="99"/>
    <w:semiHidden/>
    <w:unhideWhenUsed/>
    <w:rsid w:val="004B4E75"/>
    <w:pPr>
      <w:spacing w:line="240" w:lineRule="auto"/>
    </w:pPr>
    <w:rPr>
      <w:sz w:val="20"/>
      <w:szCs w:val="20"/>
    </w:rPr>
  </w:style>
  <w:style w:type="character" w:customStyle="1" w:styleId="CommentTextChar">
    <w:name w:val="Comment Text Char"/>
    <w:basedOn w:val="DefaultParagraphFont"/>
    <w:link w:val="CommentText"/>
    <w:uiPriority w:val="99"/>
    <w:semiHidden/>
    <w:rsid w:val="004B4E75"/>
    <w:rPr>
      <w:sz w:val="20"/>
      <w:szCs w:val="20"/>
      <w:lang w:val="nl-NL"/>
    </w:rPr>
  </w:style>
  <w:style w:type="paragraph" w:styleId="CommentSubject">
    <w:name w:val="annotation subject"/>
    <w:basedOn w:val="CommentText"/>
    <w:next w:val="CommentText"/>
    <w:link w:val="CommentSubjectChar"/>
    <w:uiPriority w:val="99"/>
    <w:semiHidden/>
    <w:unhideWhenUsed/>
    <w:rsid w:val="004B4E75"/>
    <w:rPr>
      <w:b/>
      <w:bCs/>
    </w:rPr>
  </w:style>
  <w:style w:type="character" w:customStyle="1" w:styleId="CommentSubjectChar">
    <w:name w:val="Comment Subject Char"/>
    <w:basedOn w:val="CommentTextChar"/>
    <w:link w:val="CommentSubject"/>
    <w:uiPriority w:val="99"/>
    <w:semiHidden/>
    <w:rsid w:val="004B4E75"/>
    <w:rPr>
      <w:b/>
      <w:bCs/>
      <w:sz w:val="20"/>
      <w:szCs w:val="20"/>
      <w:lang w:val="nl-NL"/>
    </w:rPr>
  </w:style>
  <w:style w:type="paragraph" w:styleId="BalloonText">
    <w:name w:val="Balloon Text"/>
    <w:basedOn w:val="Normal"/>
    <w:link w:val="BalloonTextChar"/>
    <w:uiPriority w:val="99"/>
    <w:semiHidden/>
    <w:unhideWhenUsed/>
    <w:rsid w:val="004B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75"/>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1003">
      <w:bodyDiv w:val="1"/>
      <w:marLeft w:val="0"/>
      <w:marRight w:val="0"/>
      <w:marTop w:val="0"/>
      <w:marBottom w:val="0"/>
      <w:divBdr>
        <w:top w:val="none" w:sz="0" w:space="0" w:color="auto"/>
        <w:left w:val="none" w:sz="0" w:space="0" w:color="auto"/>
        <w:bottom w:val="none" w:sz="0" w:space="0" w:color="auto"/>
        <w:right w:val="none" w:sz="0" w:space="0" w:color="auto"/>
      </w:divBdr>
    </w:div>
    <w:div w:id="140971317">
      <w:bodyDiv w:val="1"/>
      <w:marLeft w:val="0"/>
      <w:marRight w:val="0"/>
      <w:marTop w:val="0"/>
      <w:marBottom w:val="0"/>
      <w:divBdr>
        <w:top w:val="none" w:sz="0" w:space="0" w:color="auto"/>
        <w:left w:val="none" w:sz="0" w:space="0" w:color="auto"/>
        <w:bottom w:val="none" w:sz="0" w:space="0" w:color="auto"/>
        <w:right w:val="none" w:sz="0" w:space="0" w:color="auto"/>
      </w:divBdr>
    </w:div>
    <w:div w:id="737440438">
      <w:bodyDiv w:val="1"/>
      <w:marLeft w:val="0"/>
      <w:marRight w:val="0"/>
      <w:marTop w:val="0"/>
      <w:marBottom w:val="0"/>
      <w:divBdr>
        <w:top w:val="none" w:sz="0" w:space="0" w:color="auto"/>
        <w:left w:val="none" w:sz="0" w:space="0" w:color="auto"/>
        <w:bottom w:val="none" w:sz="0" w:space="0" w:color="auto"/>
        <w:right w:val="none" w:sz="0" w:space="0" w:color="auto"/>
      </w:divBdr>
    </w:div>
    <w:div w:id="20245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ilrvg.direk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AE41-E50D-452F-9FA8-20F57F33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Todorovic</dc:creator>
  <cp:lastModifiedBy>kancelarija</cp:lastModifiedBy>
  <cp:revision>2</cp:revision>
  <cp:lastPrinted>2022-09-30T09:53:00Z</cp:lastPrinted>
  <dcterms:created xsi:type="dcterms:W3CDTF">2022-12-15T09:49:00Z</dcterms:created>
  <dcterms:modified xsi:type="dcterms:W3CDTF">2022-12-15T09:49:00Z</dcterms:modified>
</cp:coreProperties>
</file>