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9480" w:type="dxa"/>
        <w:tblBorders>
          <w:bottom w:val="single" w:sz="4" w:space="0" w:color="auto"/>
        </w:tblBorders>
        <w:tblLook w:val="04A0" w:firstRow="1" w:lastRow="0" w:firstColumn="1" w:lastColumn="0" w:noHBand="0" w:noVBand="1"/>
      </w:tblPr>
      <w:tblGrid>
        <w:gridCol w:w="365"/>
        <w:gridCol w:w="1101"/>
        <w:gridCol w:w="763"/>
        <w:gridCol w:w="3700"/>
        <w:gridCol w:w="3551"/>
      </w:tblGrid>
      <w:tr w:rsidR="00E9180D" w:rsidRPr="008E2F54" w:rsidTr="0034575F">
        <w:trPr>
          <w:trHeight w:val="2291"/>
        </w:trPr>
        <w:tc>
          <w:tcPr>
            <w:tcW w:w="2214" w:type="dxa"/>
            <w:gridSpan w:val="3"/>
          </w:tcPr>
          <w:p w:rsidR="00E9180D" w:rsidRPr="008E2F54" w:rsidRDefault="00E9180D" w:rsidP="00811BA2">
            <w:pPr>
              <w:spacing w:after="0" w:line="240" w:lineRule="auto"/>
            </w:pPr>
            <w:r>
              <w:rPr>
                <w:noProof/>
                <w:lang w:val="en-US"/>
              </w:rPr>
              <w:drawing>
                <wp:anchor distT="152400" distB="152400" distL="152400" distR="152400" simplePos="0" relativeHeight="251659264" behindDoc="0" locked="0" layoutInCell="1" allowOverlap="1" wp14:anchorId="50F6F6FD" wp14:editId="2D6E2A1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r w:rsidRPr="008E2F54">
              <w:t xml:space="preserve">                                                                                                                                  </w:t>
            </w:r>
          </w:p>
        </w:tc>
        <w:tc>
          <w:tcPr>
            <w:tcW w:w="3713" w:type="dxa"/>
          </w:tcPr>
          <w:p w:rsidR="00E9180D" w:rsidRPr="008E2F54" w:rsidRDefault="00E9180D" w:rsidP="00C33250">
            <w:pPr>
              <w:spacing w:after="0" w:line="240" w:lineRule="auto"/>
            </w:pPr>
          </w:p>
        </w:tc>
        <w:tc>
          <w:tcPr>
            <w:tcW w:w="3553" w:type="dxa"/>
          </w:tcPr>
          <w:p w:rsidR="00E9180D" w:rsidRPr="008E2F54" w:rsidRDefault="00E9180D" w:rsidP="00C33250">
            <w:pPr>
              <w:spacing w:after="0" w:line="240" w:lineRule="auto"/>
              <w:jc w:val="center"/>
            </w:pPr>
            <w:r>
              <w:rPr>
                <w:noProof/>
                <w:lang w:val="en-US"/>
              </w:rPr>
              <w:drawing>
                <wp:anchor distT="152400" distB="152400" distL="152400" distR="152400" simplePos="0" relativeHeight="251660288" behindDoc="0" locked="0" layoutInCell="1" allowOverlap="1" wp14:anchorId="2EF29F3C" wp14:editId="2CD38D73">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E9180D" w:rsidRPr="0034575F" w:rsidTr="0034575F">
        <w:trPr>
          <w:trHeight w:val="451"/>
        </w:trPr>
        <w:tc>
          <w:tcPr>
            <w:tcW w:w="365" w:type="dxa"/>
          </w:tcPr>
          <w:p w:rsidR="00E9180D" w:rsidRPr="008E2F54" w:rsidRDefault="00E9180D" w:rsidP="00C33250">
            <w:pPr>
              <w:spacing w:after="0" w:line="240" w:lineRule="auto"/>
              <w:rPr>
                <w:rFonts w:ascii="Arial" w:hAnsi="Arial" w:cs="Arial"/>
              </w:rPr>
            </w:pPr>
          </w:p>
        </w:tc>
        <w:tc>
          <w:tcPr>
            <w:tcW w:w="1085" w:type="dxa"/>
            <w:noWrap/>
            <w:tcMar>
              <w:left w:w="0" w:type="dxa"/>
              <w:right w:w="0" w:type="dxa"/>
            </w:tcMar>
          </w:tcPr>
          <w:p w:rsidR="00E9180D" w:rsidRPr="0034575F" w:rsidRDefault="00E9180D" w:rsidP="00C33250">
            <w:pPr>
              <w:spacing w:after="0" w:line="240" w:lineRule="auto"/>
              <w:rPr>
                <w:rFonts w:ascii="Arial" w:hAnsi="Arial" w:cs="Arial"/>
                <w:sz w:val="18"/>
                <w:szCs w:val="18"/>
                <w:lang w:val="sr-Cyrl-RS"/>
              </w:rPr>
            </w:pPr>
            <w:r w:rsidRPr="008E2F54">
              <w:rPr>
                <w:rFonts w:ascii="Arial" w:hAnsi="Arial" w:cs="Arial"/>
                <w:sz w:val="18"/>
                <w:szCs w:val="18"/>
              </w:rPr>
              <w:t xml:space="preserve">    </w:t>
            </w:r>
            <w:r w:rsidRPr="008E2F54">
              <w:rPr>
                <w:rFonts w:ascii="Arial" w:hAnsi="Arial" w:cs="Arial"/>
                <w:sz w:val="18"/>
                <w:szCs w:val="18"/>
                <w:lang w:val="sr-Latn-CS"/>
              </w:rPr>
              <w:t xml:space="preserve"> </w:t>
            </w:r>
            <w:r w:rsidR="00811BA2">
              <w:rPr>
                <w:rFonts w:ascii="Arial" w:hAnsi="Arial" w:cs="Arial"/>
                <w:sz w:val="18"/>
                <w:szCs w:val="18"/>
                <w:lang w:val="sr-Cyrl-RS"/>
              </w:rPr>
              <w:t>ТП</w:t>
            </w:r>
            <w:r w:rsidR="0034575F" w:rsidRPr="0034575F">
              <w:rPr>
                <w:rFonts w:ascii="Arial" w:hAnsi="Arial" w:cs="Arial"/>
                <w:sz w:val="18"/>
                <w:szCs w:val="18"/>
                <w:lang w:val="sr-Cyrl-RS"/>
              </w:rPr>
              <w:t xml:space="preserve"> </w:t>
            </w:r>
          </w:p>
          <w:p w:rsidR="00E9180D" w:rsidRPr="00811BA2" w:rsidRDefault="00811BA2" w:rsidP="00811BA2">
            <w:pPr>
              <w:spacing w:after="0" w:line="240" w:lineRule="auto"/>
              <w:rPr>
                <w:rFonts w:ascii="Arial" w:hAnsi="Arial" w:cs="Arial"/>
                <w:sz w:val="18"/>
                <w:szCs w:val="18"/>
                <w:lang w:val="sr-Cyrl-RS"/>
              </w:rPr>
            </w:pPr>
            <w:r>
              <w:rPr>
                <w:rFonts w:ascii="Arial" w:hAnsi="Arial" w:cs="Arial"/>
                <w:sz w:val="18"/>
                <w:szCs w:val="18"/>
                <w:lang w:val="sr-Cyrl-RS"/>
              </w:rPr>
              <w:t>90</w:t>
            </w:r>
            <w:r w:rsidR="00E9180D" w:rsidRPr="0034575F">
              <w:rPr>
                <w:rFonts w:ascii="Arial" w:hAnsi="Arial" w:cs="Arial"/>
                <w:sz w:val="18"/>
                <w:szCs w:val="18"/>
              </w:rPr>
              <w:t>/20</w:t>
            </w:r>
            <w:r w:rsidR="00E56802" w:rsidRPr="0034575F">
              <w:rPr>
                <w:rFonts w:ascii="Arial" w:hAnsi="Arial" w:cs="Arial"/>
                <w:sz w:val="18"/>
                <w:szCs w:val="18"/>
                <w:lang w:val="sr-Latn-RS"/>
              </w:rPr>
              <w:t>2</w:t>
            </w:r>
            <w:r>
              <w:rPr>
                <w:rFonts w:ascii="Arial" w:hAnsi="Arial" w:cs="Arial"/>
                <w:sz w:val="18"/>
                <w:szCs w:val="18"/>
                <w:lang w:val="sr-Cyrl-RS"/>
              </w:rPr>
              <w:t>1</w:t>
            </w:r>
          </w:p>
        </w:tc>
        <w:tc>
          <w:tcPr>
            <w:tcW w:w="764" w:type="dxa"/>
          </w:tcPr>
          <w:p w:rsidR="00E9180D" w:rsidRPr="0034575F" w:rsidRDefault="00E9180D" w:rsidP="00C33250">
            <w:pPr>
              <w:spacing w:after="0" w:line="240" w:lineRule="auto"/>
              <w:rPr>
                <w:rFonts w:ascii="Arial" w:hAnsi="Arial" w:cs="Arial"/>
                <w:sz w:val="18"/>
                <w:szCs w:val="18"/>
              </w:rPr>
            </w:pPr>
          </w:p>
        </w:tc>
        <w:tc>
          <w:tcPr>
            <w:tcW w:w="3713" w:type="dxa"/>
          </w:tcPr>
          <w:p w:rsidR="00E9180D" w:rsidRPr="0034575F" w:rsidRDefault="00E9180D" w:rsidP="00C33250">
            <w:pPr>
              <w:spacing w:after="0" w:line="240" w:lineRule="auto"/>
            </w:pPr>
          </w:p>
        </w:tc>
        <w:tc>
          <w:tcPr>
            <w:tcW w:w="3553" w:type="dxa"/>
          </w:tcPr>
          <w:p w:rsidR="00E9180D" w:rsidRPr="0034575F" w:rsidRDefault="00E9180D" w:rsidP="00C33250">
            <w:pPr>
              <w:spacing w:after="0" w:line="240" w:lineRule="auto"/>
              <w:jc w:val="center"/>
            </w:pPr>
          </w:p>
        </w:tc>
      </w:tr>
    </w:tbl>
    <w:p w:rsidR="00E9180D" w:rsidRPr="00E56802" w:rsidRDefault="00E9180D" w:rsidP="00C33250">
      <w:pPr>
        <w:pStyle w:val="FreeFormAA"/>
        <w:rPr>
          <w:rFonts w:ascii="Arial" w:hAnsi="Arial" w:cs="Arial"/>
          <w:spacing w:val="-1"/>
          <w:sz w:val="20"/>
          <w:lang w:val="sr-Cyrl-RS"/>
        </w:rPr>
      </w:pPr>
      <w:r w:rsidRPr="0034575F">
        <w:rPr>
          <w:rFonts w:ascii="Arial" w:hAnsi="Arial" w:cs="Arial"/>
          <w:spacing w:val="-1"/>
          <w:sz w:val="20"/>
          <w:lang w:val="sr-Cyrl-CS"/>
        </w:rPr>
        <w:t>бр</w:t>
      </w:r>
      <w:r w:rsidRPr="0034575F">
        <w:rPr>
          <w:rFonts w:ascii="Arial" w:hAnsi="Arial" w:cs="Arial"/>
          <w:spacing w:val="-1"/>
          <w:sz w:val="20"/>
          <w:lang w:val="sr-Latn-CS"/>
        </w:rPr>
        <w:t>.</w:t>
      </w:r>
      <w:r w:rsidR="00A76A7A">
        <w:rPr>
          <w:rFonts w:ascii="Arial" w:hAnsi="Arial" w:cs="Arial"/>
          <w:spacing w:val="-1"/>
          <w:sz w:val="20"/>
          <w:lang w:val="sr-Cyrl-RS"/>
        </w:rPr>
        <w:t xml:space="preserve"> </w:t>
      </w:r>
      <w:r w:rsidR="00811BA2">
        <w:rPr>
          <w:rFonts w:ascii="Arial" w:hAnsi="Arial" w:cs="Arial"/>
          <w:spacing w:val="-1"/>
          <w:sz w:val="20"/>
          <w:lang w:val="sr-Cyrl-RS"/>
        </w:rPr>
        <w:t>021-01-29/2021-02</w:t>
      </w:r>
      <w:r w:rsidR="000C5621" w:rsidRPr="0034575F">
        <w:rPr>
          <w:rFonts w:ascii="Arial" w:hAnsi="Arial" w:cs="Arial"/>
          <w:spacing w:val="-1"/>
          <w:sz w:val="20"/>
          <w:lang w:val="sr-Cyrl-CS"/>
        </w:rPr>
        <w:t xml:space="preserve">          датум:</w:t>
      </w:r>
      <w:r w:rsidR="00646635">
        <w:rPr>
          <w:rFonts w:ascii="Arial" w:hAnsi="Arial" w:cs="Arial"/>
          <w:spacing w:val="-1"/>
          <w:sz w:val="20"/>
          <w:lang w:val="sr-Cyrl-CS"/>
        </w:rPr>
        <w:t>18</w:t>
      </w:r>
      <w:r w:rsidR="00E56802" w:rsidRPr="0034575F">
        <w:rPr>
          <w:rFonts w:ascii="Arial" w:hAnsi="Arial" w:cs="Arial"/>
          <w:spacing w:val="-1"/>
          <w:sz w:val="20"/>
          <w:lang w:val="sr-Cyrl-CS"/>
        </w:rPr>
        <w:t xml:space="preserve">. </w:t>
      </w:r>
      <w:r w:rsidR="0047345A">
        <w:rPr>
          <w:rFonts w:ascii="Arial" w:hAnsi="Arial" w:cs="Arial"/>
          <w:spacing w:val="-1"/>
          <w:sz w:val="20"/>
          <w:lang w:val="sr-Cyrl-CS"/>
        </w:rPr>
        <w:t>фебруар</w:t>
      </w:r>
      <w:r w:rsidR="00E56802" w:rsidRPr="0034575F">
        <w:rPr>
          <w:rFonts w:ascii="Arial" w:hAnsi="Arial" w:cs="Arial"/>
          <w:spacing w:val="-1"/>
          <w:sz w:val="20"/>
          <w:lang w:val="sr-Cyrl-CS"/>
        </w:rPr>
        <w:t xml:space="preserve"> </w:t>
      </w:r>
      <w:r w:rsidR="00E56802" w:rsidRPr="0034575F">
        <w:rPr>
          <w:rFonts w:ascii="Arial" w:hAnsi="Arial" w:cs="Arial"/>
          <w:spacing w:val="-1"/>
          <w:sz w:val="20"/>
          <w:lang w:val="sr-Latn-RS"/>
        </w:rPr>
        <w:t>202</w:t>
      </w:r>
      <w:r w:rsidR="0047345A">
        <w:rPr>
          <w:rFonts w:ascii="Arial" w:hAnsi="Arial" w:cs="Arial"/>
          <w:spacing w:val="-1"/>
          <w:sz w:val="20"/>
          <w:lang w:val="sr-Cyrl-RS"/>
        </w:rPr>
        <w:t>1</w:t>
      </w:r>
      <w:r w:rsidRPr="0034575F">
        <w:rPr>
          <w:rFonts w:ascii="Arial" w:hAnsi="Arial" w:cs="Arial"/>
          <w:spacing w:val="-1"/>
          <w:sz w:val="20"/>
        </w:rPr>
        <w:t>.</w:t>
      </w:r>
      <w:r w:rsidR="00E56802" w:rsidRPr="0034575F">
        <w:rPr>
          <w:rFonts w:ascii="Arial" w:hAnsi="Arial" w:cs="Arial"/>
          <w:spacing w:val="-1"/>
          <w:sz w:val="20"/>
        </w:rPr>
        <w:t xml:space="preserve"> </w:t>
      </w:r>
      <w:r w:rsidR="00E56802" w:rsidRPr="0034575F">
        <w:rPr>
          <w:rFonts w:ascii="Arial" w:hAnsi="Arial" w:cs="Arial"/>
          <w:spacing w:val="-1"/>
          <w:sz w:val="20"/>
          <w:lang w:val="sr-Cyrl-RS"/>
        </w:rPr>
        <w:t>године</w:t>
      </w:r>
    </w:p>
    <w:p w:rsidR="00E9180D" w:rsidRPr="008E2F54" w:rsidRDefault="00E9180D" w:rsidP="00C33250">
      <w:pPr>
        <w:spacing w:after="0" w:line="240" w:lineRule="auto"/>
        <w:jc w:val="both"/>
        <w:rPr>
          <w:rFonts w:ascii="Arial" w:hAnsi="Arial" w:cs="Arial"/>
        </w:rPr>
      </w:pPr>
    </w:p>
    <w:p w:rsidR="00253D0E" w:rsidRDefault="00253D0E" w:rsidP="00C33250">
      <w:pPr>
        <w:spacing w:after="0" w:line="240" w:lineRule="auto"/>
        <w:jc w:val="both"/>
        <w:rPr>
          <w:rFonts w:ascii="Arial" w:hAnsi="Arial" w:cs="Arial"/>
        </w:rPr>
      </w:pPr>
    </w:p>
    <w:p w:rsidR="0047345A" w:rsidRPr="0047345A" w:rsidRDefault="00E9180D" w:rsidP="0047345A">
      <w:pPr>
        <w:spacing w:after="0" w:line="240" w:lineRule="auto"/>
        <w:jc w:val="both"/>
        <w:rPr>
          <w:rFonts w:ascii="Arial" w:hAnsi="Arial" w:cs="Arial"/>
        </w:rPr>
      </w:pPr>
      <w:r w:rsidRPr="008E2F54">
        <w:rPr>
          <w:rFonts w:ascii="Arial" w:hAnsi="Arial" w:cs="Arial"/>
        </w:rPr>
        <w:t>Поступајући у оквиру законом прописане надлежности</w:t>
      </w:r>
      <w:r w:rsidRPr="008E2F54">
        <w:rPr>
          <w:rStyle w:val="FootnoteReference"/>
          <w:rFonts w:ascii="Arial" w:hAnsi="Arial" w:cs="Arial"/>
        </w:rPr>
        <w:footnoteReference w:id="1"/>
      </w:r>
      <w:r w:rsidRPr="008E2F54">
        <w:rPr>
          <w:rFonts w:ascii="Arial" w:hAnsi="Arial" w:cs="Arial"/>
        </w:rPr>
        <w:t xml:space="preserve"> да прати спровођење закона који се тичу забране дискриминације и препоручује органима јавне власти и другим лицима мере за остваривање равноправности, Повереник за заштиту равноправности упућује </w:t>
      </w:r>
      <w:r w:rsidR="0047345A" w:rsidRPr="0047345A">
        <w:rPr>
          <w:rFonts w:ascii="Arial" w:hAnsi="Arial" w:cs="Arial"/>
          <w:lang w:val="sr-Cyrl-RS"/>
        </w:rPr>
        <w:t xml:space="preserve">Министарству </w:t>
      </w:r>
      <w:r w:rsidR="000B14FC">
        <w:rPr>
          <w:rFonts w:ascii="Arial" w:hAnsi="Arial" w:cs="Arial"/>
          <w:lang w:val="sr-Cyrl-RS"/>
        </w:rPr>
        <w:t>здравља</w:t>
      </w:r>
    </w:p>
    <w:p w:rsidR="00E9180D" w:rsidRPr="00E56802" w:rsidRDefault="00E9180D" w:rsidP="00E56802">
      <w:pPr>
        <w:spacing w:after="0" w:line="240" w:lineRule="auto"/>
        <w:jc w:val="both"/>
        <w:rPr>
          <w:rFonts w:ascii="Arial" w:hAnsi="Arial" w:cs="Arial"/>
          <w:lang w:val="sr-Cyrl-RS"/>
        </w:rPr>
      </w:pPr>
    </w:p>
    <w:p w:rsidR="00E9180D" w:rsidRPr="00E9180D" w:rsidRDefault="00E9180D" w:rsidP="00C33250">
      <w:pPr>
        <w:spacing w:after="0" w:line="240" w:lineRule="auto"/>
        <w:jc w:val="both"/>
        <w:rPr>
          <w:rFonts w:ascii="Arial" w:hAnsi="Arial" w:cs="Arial"/>
          <w:b/>
          <w:sz w:val="28"/>
          <w:szCs w:val="28"/>
        </w:rPr>
      </w:pPr>
    </w:p>
    <w:p w:rsidR="00253D0E" w:rsidRDefault="00253D0E" w:rsidP="00C33250">
      <w:pPr>
        <w:spacing w:after="0" w:line="240" w:lineRule="auto"/>
        <w:jc w:val="center"/>
        <w:rPr>
          <w:rFonts w:ascii="Arial" w:hAnsi="Arial" w:cs="Arial"/>
          <w:b/>
          <w:sz w:val="28"/>
          <w:szCs w:val="28"/>
        </w:rPr>
      </w:pPr>
    </w:p>
    <w:p w:rsidR="00E9180D" w:rsidRPr="008E2F54" w:rsidRDefault="00E9180D" w:rsidP="00C33250">
      <w:pPr>
        <w:spacing w:after="0" w:line="240" w:lineRule="auto"/>
        <w:jc w:val="center"/>
        <w:rPr>
          <w:rFonts w:ascii="Arial" w:eastAsia="Times New Roman" w:hAnsi="Arial" w:cs="Arial"/>
          <w:b/>
          <w:sz w:val="28"/>
          <w:szCs w:val="28"/>
        </w:rPr>
      </w:pPr>
      <w:r w:rsidRPr="008E2F54">
        <w:rPr>
          <w:rFonts w:ascii="Arial" w:hAnsi="Arial" w:cs="Arial"/>
          <w:b/>
          <w:sz w:val="28"/>
          <w:szCs w:val="28"/>
        </w:rPr>
        <w:t>ПРЕПОРУКУ</w:t>
      </w:r>
      <w:r w:rsidRPr="008E2F54">
        <w:rPr>
          <w:rFonts w:ascii="Arial" w:eastAsia="Times New Roman" w:hAnsi="Arial" w:cs="Arial"/>
          <w:b/>
          <w:sz w:val="28"/>
          <w:szCs w:val="28"/>
        </w:rPr>
        <w:t xml:space="preserve"> МЕРА ЗА ОСТВАРИВАЊЕ РАВНОПРАВНОСТИ</w:t>
      </w:r>
    </w:p>
    <w:p w:rsidR="00E9180D" w:rsidRPr="008E2F54" w:rsidRDefault="00E9180D" w:rsidP="00C33250">
      <w:pPr>
        <w:spacing w:after="0" w:line="240" w:lineRule="auto"/>
        <w:rPr>
          <w:rFonts w:ascii="Arial" w:eastAsia="Times New Roman" w:hAnsi="Arial" w:cs="Arial"/>
        </w:rPr>
      </w:pPr>
    </w:p>
    <w:p w:rsidR="00E9180D" w:rsidRPr="008E2F54" w:rsidRDefault="00E9180D" w:rsidP="00C33250">
      <w:pPr>
        <w:spacing w:after="0" w:line="240" w:lineRule="auto"/>
        <w:rPr>
          <w:rFonts w:ascii="Arial" w:eastAsia="Times New Roman" w:hAnsi="Arial" w:cs="Arial"/>
        </w:rPr>
      </w:pPr>
      <w:r w:rsidRPr="008E2F54">
        <w:rPr>
          <w:rFonts w:ascii="Arial" w:eastAsia="Times New Roman" w:hAnsi="Arial" w:cs="Arial"/>
        </w:rPr>
        <w:t xml:space="preserve">      </w:t>
      </w:r>
    </w:p>
    <w:p w:rsidR="00E9180D" w:rsidRPr="00265665" w:rsidRDefault="00E9180D" w:rsidP="00A224B9">
      <w:pPr>
        <w:spacing w:after="0" w:line="240" w:lineRule="auto"/>
        <w:jc w:val="both"/>
        <w:rPr>
          <w:rFonts w:ascii="Arial" w:hAnsi="Arial" w:cs="Arial"/>
          <w:lang w:val="sr-Cyrl-RS"/>
        </w:rPr>
      </w:pPr>
      <w:r w:rsidRPr="008E2F54">
        <w:rPr>
          <w:rFonts w:ascii="Arial" w:eastAsia="Times New Roman" w:hAnsi="Arial" w:cs="Arial"/>
        </w:rPr>
        <w:t>Повереник за заштиту равноправности препоручује</w:t>
      </w:r>
      <w:r w:rsidR="00E56802">
        <w:rPr>
          <w:rFonts w:ascii="Arial" w:eastAsia="Times New Roman" w:hAnsi="Arial" w:cs="Arial"/>
          <w:lang w:val="sr-Cyrl-RS"/>
        </w:rPr>
        <w:t xml:space="preserve"> </w:t>
      </w:r>
      <w:r w:rsidR="0047345A" w:rsidRPr="0047345A">
        <w:rPr>
          <w:rFonts w:ascii="Arial" w:eastAsia="Times New Roman" w:hAnsi="Arial" w:cs="Arial"/>
          <w:lang w:val="sr-Cyrl-RS"/>
        </w:rPr>
        <w:t xml:space="preserve">Министарству </w:t>
      </w:r>
      <w:r w:rsidR="000B14FC">
        <w:rPr>
          <w:rFonts w:ascii="Arial" w:eastAsia="Times New Roman" w:hAnsi="Arial" w:cs="Arial"/>
          <w:lang w:val="sr-Cyrl-RS"/>
        </w:rPr>
        <w:t>здравља</w:t>
      </w:r>
      <w:r w:rsidR="0047345A" w:rsidRPr="0047345A">
        <w:rPr>
          <w:rFonts w:ascii="Arial" w:eastAsia="Times New Roman" w:hAnsi="Arial" w:cs="Arial"/>
          <w:lang w:val="sr-Latn-RS"/>
        </w:rPr>
        <w:t xml:space="preserve"> </w:t>
      </w:r>
      <w:r w:rsidR="00265665">
        <w:rPr>
          <w:rFonts w:ascii="Arial" w:eastAsia="Times New Roman" w:hAnsi="Arial" w:cs="Arial"/>
          <w:lang w:val="sr-Cyrl-RS"/>
        </w:rPr>
        <w:t>да:</w:t>
      </w:r>
    </w:p>
    <w:p w:rsidR="00E9180D" w:rsidRPr="00E9180D" w:rsidRDefault="00E9180D" w:rsidP="00A224B9">
      <w:pPr>
        <w:spacing w:after="0" w:line="240" w:lineRule="auto"/>
        <w:jc w:val="both"/>
        <w:rPr>
          <w:rFonts w:ascii="Arial" w:hAnsi="Arial" w:cs="Arial"/>
        </w:rPr>
      </w:pPr>
    </w:p>
    <w:p w:rsidR="00A224B9" w:rsidRPr="00A224B9" w:rsidRDefault="00A224B9" w:rsidP="00A224B9">
      <w:pPr>
        <w:tabs>
          <w:tab w:val="left" w:pos="450"/>
        </w:tabs>
        <w:autoSpaceDE w:val="0"/>
        <w:autoSpaceDN w:val="0"/>
        <w:adjustRightInd w:val="0"/>
        <w:spacing w:after="120" w:line="240" w:lineRule="auto"/>
        <w:jc w:val="both"/>
        <w:rPr>
          <w:rFonts w:ascii="Arial" w:hAnsi="Arial" w:cs="Arial"/>
          <w:sz w:val="24"/>
          <w:szCs w:val="24"/>
          <w:lang w:val="sr-Cyrl-RS"/>
        </w:rPr>
      </w:pPr>
      <w:r>
        <w:rPr>
          <w:rFonts w:ascii="Arial" w:hAnsi="Arial" w:cs="Arial"/>
          <w:lang w:val="sr-Cyrl-RS"/>
        </w:rPr>
        <w:t xml:space="preserve">- </w:t>
      </w:r>
      <w:r w:rsidR="0047345A" w:rsidRPr="00A224B9">
        <w:rPr>
          <w:rFonts w:ascii="Arial" w:hAnsi="Arial" w:cs="Arial"/>
          <w:lang w:val="sr-Cyrl-RS"/>
        </w:rPr>
        <w:t xml:space="preserve">у сарадњи са </w:t>
      </w:r>
      <w:r w:rsidR="00514B18" w:rsidRPr="00A224B9">
        <w:rPr>
          <w:rFonts w:ascii="Arial" w:hAnsi="Arial" w:cs="Arial"/>
          <w:lang w:val="sr-Cyrl-RS"/>
        </w:rPr>
        <w:t xml:space="preserve">Министарством </w:t>
      </w:r>
      <w:r w:rsidR="000B14FC" w:rsidRPr="00A224B9">
        <w:rPr>
          <w:rFonts w:ascii="Arial" w:hAnsi="Arial" w:cs="Arial"/>
          <w:lang w:val="sr-Cyrl-RS"/>
        </w:rPr>
        <w:t>за рад, запошљавање, борачка и социјална питања</w:t>
      </w:r>
      <w:r w:rsidR="00514B18" w:rsidRPr="00A224B9">
        <w:rPr>
          <w:rFonts w:ascii="Arial" w:hAnsi="Arial" w:cs="Arial"/>
          <w:lang w:val="sr-Cyrl-RS"/>
        </w:rPr>
        <w:t xml:space="preserve"> и </w:t>
      </w:r>
      <w:r w:rsidR="0047345A" w:rsidRPr="00A224B9">
        <w:rPr>
          <w:rFonts w:ascii="Arial" w:hAnsi="Arial" w:cs="Arial"/>
          <w:lang w:val="sr-Cyrl-RS"/>
        </w:rPr>
        <w:t>стручњацима</w:t>
      </w:r>
      <w:r w:rsidR="00F53E2E">
        <w:rPr>
          <w:rFonts w:ascii="Arial" w:hAnsi="Arial" w:cs="Arial"/>
          <w:lang w:val="sr-Cyrl-RS"/>
        </w:rPr>
        <w:t>/професионалцима</w:t>
      </w:r>
      <w:r w:rsidR="0047345A" w:rsidRPr="00A224B9">
        <w:rPr>
          <w:rFonts w:ascii="Arial" w:hAnsi="Arial" w:cs="Arial"/>
          <w:lang w:val="sr-Cyrl-RS"/>
        </w:rPr>
        <w:t xml:space="preserve"> из одговарајућих области </w:t>
      </w:r>
      <w:r w:rsidR="00514B18" w:rsidRPr="00A224B9">
        <w:rPr>
          <w:rFonts w:ascii="Arial" w:hAnsi="Arial" w:cs="Arial"/>
          <w:lang w:val="sr-Cyrl-RS"/>
        </w:rPr>
        <w:t>сагледа</w:t>
      </w:r>
      <w:r w:rsidR="0047345A" w:rsidRPr="00A224B9">
        <w:rPr>
          <w:rFonts w:ascii="Arial" w:hAnsi="Arial" w:cs="Arial"/>
          <w:lang w:val="sr-Cyrl-RS"/>
        </w:rPr>
        <w:t xml:space="preserve"> </w:t>
      </w:r>
      <w:r w:rsidR="0095664E" w:rsidRPr="00A224B9">
        <w:rPr>
          <w:rFonts w:ascii="Arial" w:hAnsi="Arial" w:cs="Arial"/>
          <w:lang w:val="sr-Cyrl-RS"/>
        </w:rPr>
        <w:t>стање</w:t>
      </w:r>
      <w:r w:rsidR="0047345A" w:rsidRPr="00A224B9">
        <w:rPr>
          <w:rFonts w:ascii="Arial" w:hAnsi="Arial" w:cs="Arial"/>
          <w:lang w:val="sr-Cyrl-RS"/>
        </w:rPr>
        <w:t xml:space="preserve"> и</w:t>
      </w:r>
      <w:r w:rsidR="00514B18" w:rsidRPr="00A224B9">
        <w:rPr>
          <w:rFonts w:ascii="Arial" w:hAnsi="Arial" w:cs="Arial"/>
          <w:lang w:val="sr-Cyrl-RS"/>
        </w:rPr>
        <w:t xml:space="preserve"> </w:t>
      </w:r>
      <w:r w:rsidR="0047345A" w:rsidRPr="00A224B9">
        <w:rPr>
          <w:rFonts w:ascii="Arial" w:hAnsi="Arial" w:cs="Arial"/>
          <w:lang w:val="sr-Cyrl-RS"/>
        </w:rPr>
        <w:t>последице</w:t>
      </w:r>
      <w:r w:rsidR="00F53E2E">
        <w:rPr>
          <w:rFonts w:ascii="Arial" w:hAnsi="Arial" w:cs="Arial"/>
          <w:lang w:val="sr-Cyrl-RS"/>
        </w:rPr>
        <w:t xml:space="preserve"> и да</w:t>
      </w:r>
      <w:r w:rsidR="0047345A" w:rsidRPr="00A224B9">
        <w:rPr>
          <w:rFonts w:ascii="Arial" w:hAnsi="Arial" w:cs="Arial"/>
          <w:lang w:val="sr-Cyrl-RS"/>
        </w:rPr>
        <w:t xml:space="preserve"> у складу са одговарајућим мерама заштите</w:t>
      </w:r>
      <w:r w:rsidR="00F53E2E">
        <w:rPr>
          <w:rFonts w:ascii="Arial" w:hAnsi="Arial" w:cs="Arial"/>
          <w:lang w:val="sr-Cyrl-RS"/>
        </w:rPr>
        <w:t xml:space="preserve"> против ширења Ковид-19 вируса</w:t>
      </w:r>
      <w:r w:rsidR="0047345A" w:rsidRPr="00A224B9">
        <w:rPr>
          <w:rFonts w:ascii="Arial" w:hAnsi="Arial" w:cs="Arial"/>
          <w:lang w:val="sr-Cyrl-RS"/>
        </w:rPr>
        <w:t xml:space="preserve"> у околностима</w:t>
      </w:r>
      <w:r w:rsidRPr="00A224B9">
        <w:rPr>
          <w:rFonts w:ascii="Arial" w:hAnsi="Arial" w:cs="Arial"/>
          <w:lang w:val="sr-Cyrl-RS"/>
        </w:rPr>
        <w:t xml:space="preserve"> масовне имунизације</w:t>
      </w:r>
      <w:r w:rsidR="0047345A" w:rsidRPr="00A224B9">
        <w:rPr>
          <w:rFonts w:ascii="Arial" w:hAnsi="Arial" w:cs="Arial"/>
          <w:lang w:val="sr-Cyrl-RS"/>
        </w:rPr>
        <w:t xml:space="preserve">, </w:t>
      </w:r>
      <w:r w:rsidR="00514B18" w:rsidRPr="00A224B9">
        <w:rPr>
          <w:rFonts w:ascii="Arial" w:hAnsi="Arial" w:cs="Arial"/>
          <w:lang w:val="sr-Cyrl-RS"/>
        </w:rPr>
        <w:t xml:space="preserve">размотри </w:t>
      </w:r>
      <w:r w:rsidR="0047345A" w:rsidRPr="00A224B9">
        <w:rPr>
          <w:rFonts w:ascii="Arial" w:hAnsi="Arial" w:cs="Arial"/>
          <w:lang w:val="sr-Cyrl-RS"/>
        </w:rPr>
        <w:t>измен</w:t>
      </w:r>
      <w:r w:rsidR="00C16908" w:rsidRPr="00A224B9">
        <w:rPr>
          <w:rFonts w:ascii="Arial" w:hAnsi="Arial" w:cs="Arial"/>
          <w:lang w:val="sr-Cyrl-RS"/>
        </w:rPr>
        <w:t>у</w:t>
      </w:r>
      <w:r w:rsidR="0047345A" w:rsidRPr="00A224B9">
        <w:rPr>
          <w:rFonts w:ascii="Arial" w:hAnsi="Arial" w:cs="Arial"/>
          <w:lang w:val="sr-Cyrl-RS"/>
        </w:rPr>
        <w:t xml:space="preserve"> режима забране посета и ограничења кретања у установа</w:t>
      </w:r>
      <w:r w:rsidR="00F53E2E">
        <w:rPr>
          <w:rFonts w:ascii="Arial" w:hAnsi="Arial" w:cs="Arial"/>
          <w:lang w:val="sr-Cyrl-RS"/>
        </w:rPr>
        <w:t>ма</w:t>
      </w:r>
      <w:r w:rsidR="0047345A" w:rsidRPr="00A224B9">
        <w:rPr>
          <w:rFonts w:ascii="Arial" w:hAnsi="Arial" w:cs="Arial"/>
          <w:lang w:val="sr-Cyrl-RS"/>
        </w:rPr>
        <w:t xml:space="preserve"> за смештај старијих лица.</w:t>
      </w:r>
      <w:r w:rsidR="006B7A36" w:rsidRPr="00A224B9">
        <w:rPr>
          <w:rFonts w:ascii="Arial" w:hAnsi="Arial" w:cs="Arial"/>
          <w:lang w:val="sr-Cyrl-RS"/>
        </w:rPr>
        <w:t xml:space="preserve">  </w:t>
      </w:r>
    </w:p>
    <w:p w:rsidR="00A224B9" w:rsidRPr="00A224B9" w:rsidRDefault="00A224B9" w:rsidP="00A224B9">
      <w:pPr>
        <w:tabs>
          <w:tab w:val="left" w:pos="450"/>
        </w:tabs>
        <w:autoSpaceDE w:val="0"/>
        <w:autoSpaceDN w:val="0"/>
        <w:adjustRightInd w:val="0"/>
        <w:spacing w:after="120" w:line="240" w:lineRule="auto"/>
        <w:jc w:val="both"/>
        <w:rPr>
          <w:rFonts w:ascii="Arial" w:hAnsi="Arial" w:cs="Arial"/>
          <w:lang w:val="sr-Cyrl-RS"/>
        </w:rPr>
      </w:pPr>
      <w:r w:rsidRPr="00A224B9">
        <w:rPr>
          <w:rFonts w:ascii="Arial" w:hAnsi="Arial" w:cs="Arial"/>
          <w:lang w:val="sr-Cyrl-RS"/>
        </w:rPr>
        <w:t xml:space="preserve">Министарство здравља ће обавестити Повереника за заштиту равноправности о планираним мерама у циљу спровођења ове препоруке, у року од 30 дана од дана пријема препоруке мера за остваривање равноправности. </w:t>
      </w:r>
    </w:p>
    <w:p w:rsidR="00726306" w:rsidRPr="008E2F54" w:rsidRDefault="00726306" w:rsidP="00A224B9">
      <w:pPr>
        <w:spacing w:line="240" w:lineRule="auto"/>
        <w:jc w:val="both"/>
        <w:rPr>
          <w:rFonts w:ascii="Arial" w:hAnsi="Arial"/>
        </w:rPr>
      </w:pPr>
      <w:r w:rsidRPr="008E2F54">
        <w:rPr>
          <w:rFonts w:ascii="Arial" w:hAnsi="Arial"/>
        </w:rPr>
        <w:t xml:space="preserve">Против ове препоруке мера за остваривање равноправности </w:t>
      </w:r>
      <w:r w:rsidRPr="008E2F54">
        <w:rPr>
          <w:rFonts w:ascii="Arial" w:hAnsi="Arial" w:cs="Arial"/>
        </w:rPr>
        <w:t>у складу са законом,</w:t>
      </w:r>
      <w:r w:rsidRPr="008E2F54">
        <w:rPr>
          <w:rFonts w:ascii="Arial" w:hAnsi="Arial"/>
        </w:rPr>
        <w:t xml:space="preserve"> није допуштена жалба нити било које друго правно средство. </w:t>
      </w:r>
    </w:p>
    <w:p w:rsidR="00E9180D" w:rsidRPr="008E2F54" w:rsidRDefault="00E9180D" w:rsidP="00C33250">
      <w:pPr>
        <w:spacing w:after="0" w:line="240" w:lineRule="auto"/>
        <w:jc w:val="both"/>
        <w:rPr>
          <w:rFonts w:ascii="Arial" w:hAnsi="Arial"/>
        </w:rPr>
      </w:pPr>
    </w:p>
    <w:p w:rsidR="00E9180D" w:rsidRPr="008E2F54" w:rsidRDefault="00E9180D" w:rsidP="00C33250">
      <w:pPr>
        <w:pStyle w:val="ListParagraph"/>
        <w:ind w:left="0"/>
        <w:jc w:val="center"/>
        <w:rPr>
          <w:rFonts w:ascii="Arial" w:hAnsi="Arial" w:cs="Arial"/>
          <w:b/>
          <w:color w:val="000000"/>
          <w:sz w:val="22"/>
          <w:szCs w:val="22"/>
          <w:lang w:val="sr-Cyrl-CS"/>
        </w:rPr>
      </w:pPr>
      <w:r w:rsidRPr="008E2F54">
        <w:rPr>
          <w:rFonts w:ascii="Arial" w:hAnsi="Arial" w:cs="Arial"/>
          <w:b/>
          <w:color w:val="000000"/>
          <w:sz w:val="22"/>
          <w:szCs w:val="22"/>
          <w:lang w:val="sr-Cyrl-CS"/>
        </w:rPr>
        <w:t>Образложење</w:t>
      </w:r>
    </w:p>
    <w:p w:rsidR="00E9180D" w:rsidRPr="008E2F54" w:rsidRDefault="00E9180D" w:rsidP="00C33250">
      <w:pPr>
        <w:pStyle w:val="ListParagraph"/>
        <w:ind w:left="0"/>
        <w:jc w:val="both"/>
        <w:rPr>
          <w:rFonts w:ascii="Arial" w:hAnsi="Arial" w:cs="Arial"/>
          <w:b/>
          <w:color w:val="000000"/>
          <w:sz w:val="22"/>
          <w:szCs w:val="22"/>
          <w:lang w:val="sr-Cyrl-CS"/>
        </w:rPr>
      </w:pPr>
    </w:p>
    <w:p w:rsidR="0064636E" w:rsidRDefault="0047345A" w:rsidP="00646635">
      <w:pPr>
        <w:spacing w:line="240" w:lineRule="auto"/>
        <w:jc w:val="both"/>
        <w:rPr>
          <w:rFonts w:ascii="Arial" w:hAnsi="Arial" w:cs="Arial"/>
          <w:lang w:val="sr-Cyrl-RS"/>
        </w:rPr>
      </w:pPr>
      <w:r w:rsidRPr="0047345A">
        <w:rPr>
          <w:rFonts w:ascii="Arial" w:hAnsi="Arial" w:cs="Arial"/>
          <w:lang w:val="sr-Cyrl-RS"/>
        </w:rPr>
        <w:t>Поверенику за заштиту равноправности обратил</w:t>
      </w:r>
      <w:r w:rsidR="000F4138">
        <w:rPr>
          <w:rFonts w:ascii="Arial" w:hAnsi="Arial" w:cs="Arial"/>
          <w:lang w:val="sr-Cyrl-RS"/>
        </w:rPr>
        <w:t>и су се грађани и</w:t>
      </w:r>
      <w:r w:rsidRPr="0047345A">
        <w:rPr>
          <w:rFonts w:ascii="Arial" w:hAnsi="Arial" w:cs="Arial"/>
          <w:lang w:val="sr-Cyrl-RS"/>
        </w:rPr>
        <w:t xml:space="preserve"> </w:t>
      </w:r>
      <w:r w:rsidRPr="0047345A">
        <w:rPr>
          <w:rFonts w:ascii="Arial" w:hAnsi="Arial" w:cs="Arial"/>
        </w:rPr>
        <w:t xml:space="preserve">Удружење грађана </w:t>
      </w:r>
      <w:r w:rsidR="000F4138">
        <w:rPr>
          <w:rFonts w:ascii="Arial" w:hAnsi="Arial" w:cs="Arial"/>
          <w:lang w:val="sr-Cyrl-RS"/>
        </w:rPr>
        <w:t>С</w:t>
      </w:r>
      <w:r w:rsidR="001B5007">
        <w:rPr>
          <w:rFonts w:ascii="Arial" w:hAnsi="Arial" w:cs="Arial"/>
          <w:lang w:val="sr-Cyrl-RS"/>
        </w:rPr>
        <w:t>.П.-А.</w:t>
      </w:r>
      <w:r w:rsidRPr="0047345A">
        <w:rPr>
          <w:rFonts w:ascii="Arial" w:hAnsi="Arial" w:cs="Arial"/>
        </w:rPr>
        <w:t>,</w:t>
      </w:r>
      <w:r w:rsidRPr="0047345A">
        <w:rPr>
          <w:rFonts w:ascii="Arial" w:hAnsi="Arial" w:cs="Arial"/>
          <w:lang w:val="sr-Cyrl-RS"/>
        </w:rPr>
        <w:t xml:space="preserve"> указујући на велики проблем са којим се у условима пандемије суочавају старије особе</w:t>
      </w:r>
      <w:r w:rsidR="000F4138">
        <w:rPr>
          <w:rFonts w:ascii="Arial" w:hAnsi="Arial" w:cs="Arial"/>
          <w:lang w:val="sr-Cyrl-RS"/>
        </w:rPr>
        <w:t xml:space="preserve"> које бораве у установама социјалне заштите за смештај старих лица</w:t>
      </w:r>
      <w:r w:rsidR="00813C10">
        <w:rPr>
          <w:rFonts w:ascii="Arial" w:hAnsi="Arial" w:cs="Arial"/>
          <w:lang w:val="sr-Cyrl-RS"/>
        </w:rPr>
        <w:t>.</w:t>
      </w:r>
      <w:r w:rsidR="000F4138">
        <w:rPr>
          <w:rFonts w:ascii="Arial" w:hAnsi="Arial" w:cs="Arial"/>
          <w:lang w:val="sr-Cyrl-RS"/>
        </w:rPr>
        <w:t xml:space="preserve"> </w:t>
      </w:r>
      <w:r w:rsidR="0064636E">
        <w:rPr>
          <w:rFonts w:ascii="Arial" w:hAnsi="Arial" w:cs="Arial"/>
          <w:lang w:val="sr-Cyrl-RS"/>
        </w:rPr>
        <w:t xml:space="preserve">Наиме, уочи проглашења ванредног стања донета је </w:t>
      </w:r>
      <w:r w:rsidR="0064636E" w:rsidRPr="0064636E">
        <w:rPr>
          <w:rFonts w:ascii="Arial" w:hAnsi="Arial" w:cs="Arial"/>
          <w:lang w:val="sr-Cyrl-RS"/>
        </w:rPr>
        <w:t>Наредб</w:t>
      </w:r>
      <w:r w:rsidR="0064636E">
        <w:rPr>
          <w:rFonts w:ascii="Arial" w:hAnsi="Arial" w:cs="Arial"/>
          <w:lang w:val="sr-Cyrl-RS"/>
        </w:rPr>
        <w:t>а</w:t>
      </w:r>
      <w:r w:rsidR="0064636E" w:rsidRPr="0064636E">
        <w:rPr>
          <w:rFonts w:ascii="Arial" w:hAnsi="Arial" w:cs="Arial"/>
          <w:lang w:val="sr-Cyrl-RS"/>
        </w:rPr>
        <w:t xml:space="preserve"> о забрани посета и ограничењу кретања у објектима за смештај старих лица</w:t>
      </w:r>
      <w:r w:rsidR="0064636E" w:rsidRPr="0064636E">
        <w:rPr>
          <w:rFonts w:ascii="Arial" w:hAnsi="Arial" w:cs="Arial"/>
          <w:vertAlign w:val="superscript"/>
          <w:lang w:val="sr-Cyrl-RS"/>
        </w:rPr>
        <w:footnoteReference w:id="2"/>
      </w:r>
      <w:r w:rsidR="0064636E">
        <w:rPr>
          <w:rFonts w:ascii="Arial" w:hAnsi="Arial" w:cs="Arial"/>
          <w:lang w:val="sr-Cyrl-RS"/>
        </w:rPr>
        <w:t xml:space="preserve"> којом се забрањују посете и напуштање установа од стране корисника. Ова наредба је у неколико наврата мењана, нека ограничења су ублажавана, али је и даље на снази забрана изласка корисника из установа. У обраћањима Поверенику је подвучен</w:t>
      </w:r>
      <w:r w:rsidR="0019092F">
        <w:rPr>
          <w:rFonts w:ascii="Arial" w:hAnsi="Arial" w:cs="Arial"/>
          <w:lang w:val="sr-Cyrl-RS"/>
        </w:rPr>
        <w:t>о постојање</w:t>
      </w:r>
      <w:r w:rsidR="0064636E">
        <w:rPr>
          <w:rFonts w:ascii="Arial" w:hAnsi="Arial" w:cs="Arial"/>
          <w:lang w:val="sr-Cyrl-RS"/>
        </w:rPr>
        <w:t xml:space="preserve"> свест</w:t>
      </w:r>
      <w:r w:rsidR="0019092F">
        <w:rPr>
          <w:rFonts w:ascii="Arial" w:hAnsi="Arial" w:cs="Arial"/>
          <w:lang w:val="sr-Cyrl-RS"/>
        </w:rPr>
        <w:t>и</w:t>
      </w:r>
      <w:r w:rsidR="0064636E">
        <w:rPr>
          <w:rFonts w:ascii="Arial" w:hAnsi="Arial" w:cs="Arial"/>
          <w:lang w:val="sr-Cyrl-RS"/>
        </w:rPr>
        <w:t xml:space="preserve"> о високој ризичности старијих лица и разумевање предузетих епидемиолошких мера, али је истовремено указано и на велик</w:t>
      </w:r>
      <w:r w:rsidR="0019092F">
        <w:rPr>
          <w:rFonts w:ascii="Arial" w:hAnsi="Arial" w:cs="Arial"/>
          <w:lang w:val="sr-Cyrl-RS"/>
        </w:rPr>
        <w:t>е</w:t>
      </w:r>
      <w:r w:rsidR="0064636E">
        <w:rPr>
          <w:rFonts w:ascii="Arial" w:hAnsi="Arial" w:cs="Arial"/>
          <w:lang w:val="sr-Cyrl-RS"/>
        </w:rPr>
        <w:t xml:space="preserve"> здравствен</w:t>
      </w:r>
      <w:r w:rsidR="0019092F">
        <w:rPr>
          <w:rFonts w:ascii="Arial" w:hAnsi="Arial" w:cs="Arial"/>
          <w:lang w:val="sr-Cyrl-RS"/>
        </w:rPr>
        <w:t>е</w:t>
      </w:r>
      <w:r w:rsidR="0064636E">
        <w:rPr>
          <w:rFonts w:ascii="Arial" w:hAnsi="Arial" w:cs="Arial"/>
          <w:lang w:val="sr-Cyrl-RS"/>
        </w:rPr>
        <w:t xml:space="preserve"> ризик</w:t>
      </w:r>
      <w:r w:rsidR="0019092F">
        <w:rPr>
          <w:rFonts w:ascii="Arial" w:hAnsi="Arial" w:cs="Arial"/>
          <w:lang w:val="sr-Cyrl-RS"/>
        </w:rPr>
        <w:t>е</w:t>
      </w:r>
      <w:r w:rsidR="0064636E">
        <w:rPr>
          <w:rFonts w:ascii="Arial" w:hAnsi="Arial" w:cs="Arial"/>
          <w:lang w:val="sr-Cyrl-RS"/>
        </w:rPr>
        <w:t>,</w:t>
      </w:r>
      <w:r w:rsidR="0019092F">
        <w:rPr>
          <w:rFonts w:ascii="Arial" w:hAnsi="Arial" w:cs="Arial"/>
          <w:lang w:val="sr-Cyrl-RS"/>
        </w:rPr>
        <w:t xml:space="preserve"> попут </w:t>
      </w:r>
      <w:bookmarkStart w:id="0" w:name="_GoBack"/>
      <w:r w:rsidR="0019092F">
        <w:rPr>
          <w:rFonts w:ascii="Arial" w:hAnsi="Arial" w:cs="Arial"/>
          <w:lang w:val="sr-Cyrl-RS"/>
        </w:rPr>
        <w:t>повећања</w:t>
      </w:r>
      <w:r w:rsidR="0064636E">
        <w:rPr>
          <w:rFonts w:ascii="Arial" w:hAnsi="Arial" w:cs="Arial"/>
          <w:lang w:val="sr-Cyrl-RS"/>
        </w:rPr>
        <w:t xml:space="preserve"> депресије</w:t>
      </w:r>
      <w:bookmarkEnd w:id="0"/>
      <w:r w:rsidR="0064636E">
        <w:rPr>
          <w:rFonts w:ascii="Arial" w:hAnsi="Arial" w:cs="Arial"/>
          <w:lang w:val="sr-Cyrl-RS"/>
        </w:rPr>
        <w:t>, анксиозности и когнитивн</w:t>
      </w:r>
      <w:r w:rsidR="0019092F">
        <w:rPr>
          <w:rFonts w:ascii="Arial" w:hAnsi="Arial" w:cs="Arial"/>
          <w:lang w:val="sr-Cyrl-RS"/>
        </w:rPr>
        <w:t>их</w:t>
      </w:r>
      <w:r w:rsidR="0064636E">
        <w:rPr>
          <w:rFonts w:ascii="Arial" w:hAnsi="Arial" w:cs="Arial"/>
          <w:lang w:val="sr-Cyrl-RS"/>
        </w:rPr>
        <w:t xml:space="preserve"> оштећења/деменције</w:t>
      </w:r>
      <w:r w:rsidR="0019092F">
        <w:rPr>
          <w:rFonts w:ascii="Arial" w:hAnsi="Arial" w:cs="Arial"/>
          <w:lang w:val="sr-Cyrl-RS"/>
        </w:rPr>
        <w:t xml:space="preserve"> које носи</w:t>
      </w:r>
      <w:r w:rsidR="0019092F" w:rsidRPr="0019092F">
        <w:rPr>
          <w:rFonts w:ascii="Arial" w:hAnsi="Arial" w:cs="Arial"/>
          <w:lang w:val="sr-Cyrl-RS"/>
        </w:rPr>
        <w:t xml:space="preserve"> </w:t>
      </w:r>
      <w:r w:rsidR="0019092F">
        <w:rPr>
          <w:rFonts w:ascii="Arial" w:hAnsi="Arial" w:cs="Arial"/>
          <w:lang w:val="sr-Cyrl-RS"/>
        </w:rPr>
        <w:t>дуготрајна изолација и усамљеност код старијих.</w:t>
      </w:r>
    </w:p>
    <w:p w:rsidR="0019092F" w:rsidRPr="0019092F" w:rsidRDefault="0019092F" w:rsidP="0019092F">
      <w:pPr>
        <w:spacing w:line="240" w:lineRule="auto"/>
        <w:jc w:val="both"/>
        <w:rPr>
          <w:rFonts w:ascii="Arial" w:hAnsi="Arial" w:cs="Arial"/>
          <w:lang w:val="sr-Cyrl-RS"/>
        </w:rPr>
      </w:pPr>
      <w:r w:rsidRPr="0019092F">
        <w:rPr>
          <w:rFonts w:ascii="Arial" w:hAnsi="Arial" w:cs="Arial"/>
        </w:rPr>
        <w:lastRenderedPageBreak/>
        <w:t xml:space="preserve">Повереник за заштиту равноправности најпре указује </w:t>
      </w:r>
      <w:r w:rsidRPr="0019092F">
        <w:rPr>
          <w:rFonts w:ascii="Arial" w:hAnsi="Arial" w:cs="Arial" w:hint="cs"/>
        </w:rPr>
        <w:t>на</w:t>
      </w:r>
      <w:r w:rsidRPr="0019092F">
        <w:rPr>
          <w:rFonts w:ascii="Arial" w:hAnsi="Arial" w:cs="Arial"/>
        </w:rPr>
        <w:t xml:space="preserve"> </w:t>
      </w:r>
      <w:r w:rsidRPr="0019092F">
        <w:rPr>
          <w:rFonts w:ascii="Arial" w:hAnsi="Arial" w:cs="Arial" w:hint="cs"/>
        </w:rPr>
        <w:t>кључне</w:t>
      </w:r>
      <w:r w:rsidRPr="0019092F">
        <w:rPr>
          <w:rFonts w:ascii="Arial" w:hAnsi="Arial" w:cs="Arial"/>
        </w:rPr>
        <w:t xml:space="preserve"> </w:t>
      </w:r>
      <w:r w:rsidRPr="0019092F">
        <w:rPr>
          <w:rFonts w:ascii="Arial" w:hAnsi="Arial" w:cs="Arial" w:hint="cs"/>
        </w:rPr>
        <w:t>акте</w:t>
      </w:r>
      <w:r w:rsidRPr="0019092F">
        <w:rPr>
          <w:rFonts w:ascii="Arial" w:hAnsi="Arial" w:cs="Arial"/>
        </w:rPr>
        <w:t xml:space="preserve"> </w:t>
      </w:r>
      <w:r w:rsidRPr="0019092F">
        <w:rPr>
          <w:rFonts w:ascii="Arial" w:hAnsi="Arial" w:cs="Arial" w:hint="cs"/>
        </w:rPr>
        <w:t>који</w:t>
      </w:r>
      <w:r w:rsidRPr="0019092F">
        <w:rPr>
          <w:rFonts w:ascii="Arial" w:hAnsi="Arial" w:cs="Arial"/>
        </w:rPr>
        <w:t xml:space="preserve"> </w:t>
      </w:r>
      <w:r w:rsidRPr="0019092F">
        <w:rPr>
          <w:rFonts w:ascii="Arial" w:hAnsi="Arial" w:cs="Arial"/>
          <w:lang w:val="sr-Cyrl-RS"/>
        </w:rPr>
        <w:t>се односе на ову материју.</w:t>
      </w:r>
    </w:p>
    <w:p w:rsidR="0019092F" w:rsidRPr="0019092F" w:rsidRDefault="0019092F" w:rsidP="0019092F">
      <w:pPr>
        <w:spacing w:line="240" w:lineRule="auto"/>
        <w:jc w:val="both"/>
        <w:rPr>
          <w:rFonts w:ascii="Arial" w:hAnsi="Arial" w:cs="Arial"/>
          <w:lang w:val="sr-Cyrl-RS"/>
        </w:rPr>
      </w:pPr>
      <w:r w:rsidRPr="0019092F">
        <w:rPr>
          <w:rFonts w:ascii="Arial" w:hAnsi="Arial" w:cs="Arial"/>
          <w:lang w:val="sr-Cyrl-RS"/>
        </w:rPr>
        <w:t>Устав Републике Србије</w:t>
      </w:r>
      <w:r w:rsidRPr="0019092F">
        <w:rPr>
          <w:rFonts w:ascii="Arial" w:hAnsi="Arial" w:cs="Arial"/>
          <w:vertAlign w:val="superscript"/>
          <w:lang w:val="sr-Cyrl-RS"/>
        </w:rPr>
        <w:footnoteReference w:id="3"/>
      </w:r>
      <w:r w:rsidRPr="0019092F">
        <w:rPr>
          <w:rFonts w:ascii="Arial" w:hAnsi="Arial" w:cs="Arial"/>
          <w:lang w:val="sr-Cyrl-RS"/>
        </w:rPr>
        <w:t>, у члану 21. утврђује забрану дискриминације, непосредне или посредне, по било ком основу, док је одредбом из члана 69. прописано да грађани и породице којима је неопходна друштвена помоћ ради савладавања социјалних и животних тешкоћа и стварања услова за задовољавање основних животних потреба, имају право на социјалну заштиту, чије се пружање заснива на начелима социјалне правде, хуманизма и поштовања људског достојанства.</w:t>
      </w:r>
    </w:p>
    <w:p w:rsidR="0019092F" w:rsidRDefault="0019092F" w:rsidP="0019092F">
      <w:pPr>
        <w:spacing w:line="240" w:lineRule="auto"/>
        <w:jc w:val="both"/>
        <w:rPr>
          <w:rFonts w:ascii="Arial" w:hAnsi="Arial" w:cs="Arial"/>
          <w:lang w:val="sr-Cyrl-RS"/>
        </w:rPr>
      </w:pPr>
      <w:r w:rsidRPr="0019092F">
        <w:rPr>
          <w:rFonts w:ascii="Arial" w:hAnsi="Arial" w:cs="Arial"/>
          <w:lang w:val="sr-Cyrl-RS"/>
        </w:rPr>
        <w:t>Уставна забрана дискриминације ближе је разрађена Законом о забрани дискриминације, који у члану 2. став 1. тачка 1. забрањује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Pr>
          <w:rFonts w:ascii="Arial" w:hAnsi="Arial" w:cs="Arial"/>
          <w:lang w:val="sr-Cyrl-RS"/>
        </w:rPr>
        <w:t xml:space="preserve"> Одредбом члана 23. овог закона прописано је да је забрањено дискриминисати лица на основу старосног доба, те да стари имају право на достојанствене услове живота без дискриминације, а посебно право на једнак приступ и заштиту од занемаривања и узнемиравања у коришћењу здравствених и других јавних услуга.</w:t>
      </w:r>
    </w:p>
    <w:p w:rsidR="000439B5" w:rsidRPr="000439B5" w:rsidRDefault="000439B5" w:rsidP="000439B5">
      <w:pPr>
        <w:spacing w:line="240" w:lineRule="auto"/>
        <w:jc w:val="both"/>
        <w:rPr>
          <w:rFonts w:ascii="Arial" w:hAnsi="Arial" w:cs="Arial"/>
          <w:lang w:val="sr-Cyrl-RS"/>
        </w:rPr>
      </w:pPr>
      <w:r w:rsidRPr="000439B5">
        <w:rPr>
          <w:rFonts w:ascii="Arial" w:hAnsi="Arial" w:cs="Arial"/>
          <w:bCs/>
        </w:rPr>
        <w:t xml:space="preserve">Такође, </w:t>
      </w:r>
      <w:r w:rsidRPr="000439B5">
        <w:rPr>
          <w:rFonts w:ascii="Arial" w:hAnsi="Arial" w:cs="Arial"/>
          <w:lang w:val="sr-Cyrl-RS"/>
        </w:rPr>
        <w:t xml:space="preserve">Законом о социјалној заштити у члану 25. је утврђено начело забране дискриминације </w:t>
      </w:r>
      <w:r>
        <w:rPr>
          <w:rFonts w:ascii="Arial" w:hAnsi="Arial" w:cs="Arial"/>
          <w:lang w:val="sr-Cyrl-RS"/>
        </w:rPr>
        <w:t xml:space="preserve">и </w:t>
      </w:r>
      <w:r w:rsidRPr="000439B5">
        <w:rPr>
          <w:rFonts w:ascii="Arial" w:hAnsi="Arial" w:cs="Arial"/>
          <w:lang w:val="sr-Cyrl-RS"/>
        </w:rPr>
        <w:t xml:space="preserve">прописано да је забрањена дискриминација корисника социјалне заштите по основу расе, пола, старости, националне припадности, социјалног порекла, сексуалне оријентације, вероисповести, политичког, синдикалног или другог опредељења, имовног стања, културе, језика, инвалидитета, природе социјалне искључености или другог личног својства. </w:t>
      </w:r>
    </w:p>
    <w:p w:rsidR="007E7776" w:rsidRPr="00646635" w:rsidRDefault="000F4138" w:rsidP="00646635">
      <w:pPr>
        <w:spacing w:line="240" w:lineRule="auto"/>
        <w:jc w:val="both"/>
        <w:rPr>
          <w:rFonts w:ascii="Arial" w:hAnsi="Arial" w:cs="Arial"/>
          <w:bCs/>
          <w:lang w:val="sr-Cyrl-RS"/>
        </w:rPr>
      </w:pPr>
      <w:r>
        <w:rPr>
          <w:rFonts w:ascii="Arial" w:hAnsi="Arial" w:cs="Arial"/>
          <w:lang w:val="sr-Cyrl-RS"/>
        </w:rPr>
        <w:t>У складу са одредбама Наредбе о забрани посета и ограничењу кретања у објектима за смештај старих лица</w:t>
      </w:r>
      <w:r>
        <w:rPr>
          <w:rStyle w:val="FootnoteReference"/>
          <w:rFonts w:ascii="Arial" w:hAnsi="Arial" w:cs="Arial"/>
          <w:lang w:val="sr-Cyrl-RS"/>
        </w:rPr>
        <w:footnoteReference w:id="4"/>
      </w:r>
      <w:r>
        <w:rPr>
          <w:rFonts w:ascii="Arial" w:hAnsi="Arial" w:cs="Arial"/>
          <w:lang w:val="sr-Cyrl-RS"/>
        </w:rPr>
        <w:t xml:space="preserve"> потпуно су забрањене посете свим установама</w:t>
      </w:r>
      <w:r w:rsidRPr="000F4138">
        <w:rPr>
          <w:rFonts w:ascii="Arial" w:hAnsi="Arial" w:cs="Arial"/>
          <w:lang w:val="sr-Cyrl-RS"/>
        </w:rPr>
        <w:t xml:space="preserve"> социјалне заштите за смештај старих лица</w:t>
      </w:r>
      <w:r>
        <w:rPr>
          <w:rFonts w:ascii="Arial" w:hAnsi="Arial" w:cs="Arial"/>
          <w:lang w:val="sr-Cyrl-RS"/>
        </w:rPr>
        <w:t xml:space="preserve"> изузев унапред заказаних посета уколико у установи нема потврђених случајева заразне болести Ковид-19 и код запослених и код корисника у периоду од 14 дана до дана када је посета заказана или у случају да је корисник коме је посета заказана комплетно вакцинисан и да је од последње дозе прошло најмање седам дана. Овом наредбом је корисницима потпуно забрањено напуштање установа.</w:t>
      </w:r>
      <w:r w:rsidR="0064636E">
        <w:rPr>
          <w:rFonts w:ascii="Arial" w:hAnsi="Arial" w:cs="Arial"/>
          <w:lang w:val="sr-Cyrl-RS"/>
        </w:rPr>
        <w:t xml:space="preserve"> </w:t>
      </w:r>
    </w:p>
    <w:p w:rsidR="0095664E" w:rsidRDefault="000439B5" w:rsidP="0095664E">
      <w:pPr>
        <w:spacing w:line="240" w:lineRule="auto"/>
        <w:jc w:val="both"/>
        <w:rPr>
          <w:rFonts w:ascii="Arial" w:hAnsi="Arial" w:cs="Arial"/>
          <w:bCs/>
          <w:lang w:val="sr-Latn-RS"/>
        </w:rPr>
      </w:pPr>
      <w:r w:rsidRPr="000439B5">
        <w:rPr>
          <w:rFonts w:ascii="Arial" w:hAnsi="Arial" w:cs="Arial"/>
          <w:bCs/>
        </w:rPr>
        <w:t xml:space="preserve">Приликом разматрања конкретног проблема на који је указано у </w:t>
      </w:r>
      <w:r w:rsidR="00F53E2E">
        <w:rPr>
          <w:rFonts w:ascii="Arial" w:hAnsi="Arial" w:cs="Arial"/>
          <w:bCs/>
          <w:lang w:val="sr-Cyrl-RS"/>
        </w:rPr>
        <w:t>обраћањима</w:t>
      </w:r>
      <w:r w:rsidRPr="000439B5">
        <w:rPr>
          <w:rFonts w:ascii="Arial" w:hAnsi="Arial" w:cs="Arial"/>
          <w:bCs/>
        </w:rPr>
        <w:t>, Повереник</w:t>
      </w:r>
      <w:r>
        <w:rPr>
          <w:rFonts w:ascii="Arial" w:hAnsi="Arial" w:cs="Arial"/>
          <w:bCs/>
          <w:lang w:val="sr-Cyrl-RS"/>
        </w:rPr>
        <w:t xml:space="preserve"> је имао у виду </w:t>
      </w:r>
      <w:r w:rsidR="0095664E">
        <w:rPr>
          <w:rFonts w:ascii="Arial" w:hAnsi="Arial" w:cs="Arial"/>
          <w:bCs/>
          <w:lang w:val="sr-Cyrl-RS"/>
        </w:rPr>
        <w:t>да је а</w:t>
      </w:r>
      <w:r w:rsidR="0095664E" w:rsidRPr="0095664E">
        <w:rPr>
          <w:rFonts w:ascii="Arial" w:hAnsi="Arial" w:cs="Arial"/>
          <w:bCs/>
          <w:lang w:val="sr-Cyrl-RS"/>
        </w:rPr>
        <w:t>ктуелн</w:t>
      </w:r>
      <w:r w:rsidR="0095664E" w:rsidRPr="0095664E">
        <w:rPr>
          <w:rFonts w:ascii="Arial" w:hAnsi="Arial" w:cs="Arial"/>
          <w:bCs/>
          <w:lang w:val="sr-Latn-RS"/>
        </w:rPr>
        <w:t>a</w:t>
      </w:r>
      <w:r w:rsidR="0095664E" w:rsidRPr="0095664E">
        <w:rPr>
          <w:rFonts w:ascii="Arial" w:hAnsi="Arial" w:cs="Arial"/>
          <w:bCs/>
          <w:lang w:val="sr-Cyrl-RS"/>
        </w:rPr>
        <w:t xml:space="preserve"> ситуациј</w:t>
      </w:r>
      <w:r w:rsidR="0095664E" w:rsidRPr="0095664E">
        <w:rPr>
          <w:rFonts w:ascii="Arial" w:hAnsi="Arial" w:cs="Arial"/>
          <w:bCs/>
          <w:lang w:val="sr-Latn-RS"/>
        </w:rPr>
        <w:t>a</w:t>
      </w:r>
      <w:r w:rsidR="0095664E" w:rsidRPr="0095664E">
        <w:rPr>
          <w:rFonts w:ascii="Arial" w:hAnsi="Arial" w:cs="Arial"/>
          <w:bCs/>
          <w:lang w:val="sr-Cyrl-RS"/>
        </w:rPr>
        <w:t xml:space="preserve"> пандемије вирусом Ковид-19 на светском нивоу током 2020. године </w:t>
      </w:r>
      <w:r w:rsidR="0095664E" w:rsidRPr="0095664E">
        <w:rPr>
          <w:rFonts w:ascii="Arial" w:hAnsi="Arial" w:cs="Arial"/>
          <w:bCs/>
          <w:lang w:val="sr-Latn-RS"/>
        </w:rPr>
        <w:t>указала на</w:t>
      </w:r>
      <w:r w:rsidR="0095664E" w:rsidRPr="0095664E">
        <w:rPr>
          <w:rFonts w:ascii="Arial" w:hAnsi="Arial" w:cs="Arial"/>
          <w:bCs/>
          <w:lang w:val="sr-Cyrl-RS"/>
        </w:rPr>
        <w:t xml:space="preserve"> потребу успостављања равнотеже између заштите здравља становништва, поштовања људских права и минимизирања различитих последица које је здравствена криза изазвала</w:t>
      </w:r>
      <w:r w:rsidR="002D7BFC">
        <w:rPr>
          <w:rFonts w:ascii="Arial" w:hAnsi="Arial" w:cs="Arial"/>
          <w:bCs/>
          <w:lang w:val="sr-Cyrl-RS"/>
        </w:rPr>
        <w:t>, на шта т</w:t>
      </w:r>
      <w:r w:rsidR="0095664E">
        <w:rPr>
          <w:rFonts w:ascii="Arial" w:hAnsi="Arial" w:cs="Arial"/>
          <w:bCs/>
          <w:lang w:val="sr-Cyrl-RS"/>
        </w:rPr>
        <w:t>оком актуелне кризе</w:t>
      </w:r>
      <w:r w:rsidR="0095664E" w:rsidRPr="0095664E">
        <w:rPr>
          <w:rFonts w:ascii="Arial" w:hAnsi="Arial" w:cs="Arial"/>
          <w:color w:val="000000"/>
          <w:lang w:val="sr-Cyrl-RS"/>
        </w:rPr>
        <w:t xml:space="preserve"> </w:t>
      </w:r>
      <w:r w:rsidR="002D7BFC">
        <w:rPr>
          <w:rFonts w:ascii="Arial" w:hAnsi="Arial" w:cs="Arial"/>
          <w:color w:val="000000"/>
          <w:lang w:val="sr-Cyrl-RS"/>
        </w:rPr>
        <w:t xml:space="preserve">указују </w:t>
      </w:r>
      <w:r w:rsidR="0095664E" w:rsidRPr="0095664E">
        <w:rPr>
          <w:rFonts w:ascii="Arial" w:hAnsi="Arial" w:cs="Arial"/>
          <w:bCs/>
          <w:lang w:val="sr-Cyrl-RS"/>
        </w:rPr>
        <w:t>бројни органи и организације широм света</w:t>
      </w:r>
      <w:r w:rsidR="0095664E">
        <w:rPr>
          <w:rFonts w:ascii="Arial" w:hAnsi="Arial" w:cs="Arial"/>
          <w:bCs/>
          <w:lang w:val="sr-Cyrl-RS"/>
        </w:rPr>
        <w:t>, али и код нас</w:t>
      </w:r>
      <w:r w:rsidR="002D7BFC">
        <w:rPr>
          <w:rFonts w:ascii="Arial" w:hAnsi="Arial" w:cs="Arial"/>
          <w:bCs/>
          <w:lang w:val="sr-Cyrl-RS"/>
        </w:rPr>
        <w:t>. П</w:t>
      </w:r>
      <w:r w:rsidR="0095664E" w:rsidRPr="0095664E">
        <w:rPr>
          <w:rFonts w:ascii="Arial" w:hAnsi="Arial" w:cs="Arial"/>
          <w:bCs/>
          <w:lang w:val="sr-Cyrl-RS"/>
        </w:rPr>
        <w:t>осебн</w:t>
      </w:r>
      <w:r w:rsidR="002D7BFC">
        <w:rPr>
          <w:rFonts w:ascii="Arial" w:hAnsi="Arial" w:cs="Arial"/>
          <w:bCs/>
          <w:lang w:val="sr-Cyrl-RS"/>
        </w:rPr>
        <w:t>а</w:t>
      </w:r>
      <w:r w:rsidR="0095664E" w:rsidRPr="0095664E">
        <w:rPr>
          <w:rFonts w:ascii="Arial" w:hAnsi="Arial" w:cs="Arial"/>
          <w:bCs/>
          <w:lang w:val="sr-Cyrl-RS"/>
        </w:rPr>
        <w:t xml:space="preserve"> пажњ</w:t>
      </w:r>
      <w:r w:rsidR="002D7BFC">
        <w:rPr>
          <w:rFonts w:ascii="Arial" w:hAnsi="Arial" w:cs="Arial"/>
          <w:bCs/>
          <w:lang w:val="sr-Cyrl-RS"/>
        </w:rPr>
        <w:t>а</w:t>
      </w:r>
      <w:r w:rsidR="0095664E" w:rsidRPr="0095664E">
        <w:rPr>
          <w:rFonts w:ascii="Arial" w:hAnsi="Arial" w:cs="Arial"/>
          <w:bCs/>
          <w:lang w:val="sr-Cyrl-RS"/>
        </w:rPr>
        <w:t xml:space="preserve"> </w:t>
      </w:r>
      <w:r w:rsidR="002D7BFC">
        <w:rPr>
          <w:rFonts w:ascii="Arial" w:hAnsi="Arial" w:cs="Arial"/>
          <w:bCs/>
          <w:lang w:val="sr-Cyrl-RS"/>
        </w:rPr>
        <w:t>је</w:t>
      </w:r>
      <w:r w:rsidR="0095664E">
        <w:rPr>
          <w:rFonts w:ascii="Arial" w:hAnsi="Arial" w:cs="Arial"/>
          <w:bCs/>
          <w:lang w:val="sr-Cyrl-RS"/>
        </w:rPr>
        <w:t xml:space="preserve"> </w:t>
      </w:r>
      <w:r w:rsidR="0095664E" w:rsidRPr="0095664E">
        <w:rPr>
          <w:rFonts w:ascii="Arial" w:hAnsi="Arial" w:cs="Arial"/>
          <w:bCs/>
          <w:lang w:val="sr-Cyrl-RS"/>
        </w:rPr>
        <w:t>посве</w:t>
      </w:r>
      <w:r w:rsidR="002D7BFC">
        <w:rPr>
          <w:rFonts w:ascii="Arial" w:hAnsi="Arial" w:cs="Arial"/>
          <w:bCs/>
          <w:lang w:val="sr-Cyrl-RS"/>
        </w:rPr>
        <w:t>ћена</w:t>
      </w:r>
      <w:r w:rsidR="0095664E" w:rsidRPr="0095664E">
        <w:rPr>
          <w:rFonts w:ascii="Arial" w:hAnsi="Arial" w:cs="Arial"/>
          <w:bCs/>
          <w:lang w:val="sr-Cyrl-RS"/>
        </w:rPr>
        <w:t xml:space="preserve"> положају угрожених група становништва</w:t>
      </w:r>
      <w:r w:rsidR="002D7BFC">
        <w:rPr>
          <w:rFonts w:ascii="Arial" w:hAnsi="Arial" w:cs="Arial"/>
          <w:bCs/>
          <w:lang w:val="sr-Cyrl-RS"/>
        </w:rPr>
        <w:t>,</w:t>
      </w:r>
      <w:r w:rsidR="0095664E" w:rsidRPr="0095664E">
        <w:rPr>
          <w:rFonts w:ascii="Arial" w:hAnsi="Arial" w:cs="Arial"/>
          <w:bCs/>
          <w:lang w:val="sr-Cyrl-RS"/>
        </w:rPr>
        <w:t xml:space="preserve"> </w:t>
      </w:r>
      <w:r w:rsidR="0095664E">
        <w:rPr>
          <w:rFonts w:ascii="Arial" w:hAnsi="Arial" w:cs="Arial"/>
          <w:bCs/>
          <w:lang w:val="sr-Cyrl-RS"/>
        </w:rPr>
        <w:t>а к</w:t>
      </w:r>
      <w:r w:rsidR="0095664E" w:rsidRPr="0095664E">
        <w:rPr>
          <w:rFonts w:ascii="Arial" w:hAnsi="Arial" w:cs="Arial"/>
          <w:bCs/>
          <w:lang w:val="sr-Cyrl-RS"/>
        </w:rPr>
        <w:t>ао једн</w:t>
      </w:r>
      <w:r w:rsidR="0095664E">
        <w:rPr>
          <w:rFonts w:ascii="Arial" w:hAnsi="Arial" w:cs="Arial"/>
          <w:bCs/>
          <w:lang w:val="sr-Cyrl-RS"/>
        </w:rPr>
        <w:t>а</w:t>
      </w:r>
      <w:r w:rsidR="0095664E" w:rsidRPr="0095664E">
        <w:rPr>
          <w:rFonts w:ascii="Arial" w:hAnsi="Arial" w:cs="Arial"/>
          <w:bCs/>
          <w:lang w:val="sr-Cyrl-RS"/>
        </w:rPr>
        <w:t xml:space="preserve"> од најугроженијих група препознати су старији грађани</w:t>
      </w:r>
      <w:r w:rsidR="0095664E">
        <w:rPr>
          <w:rFonts w:ascii="Arial" w:hAnsi="Arial" w:cs="Arial"/>
          <w:bCs/>
          <w:lang w:val="sr-Cyrl-RS"/>
        </w:rPr>
        <w:t xml:space="preserve">, према којима су </w:t>
      </w:r>
      <w:r w:rsidR="002D7BFC" w:rsidRPr="0095664E">
        <w:rPr>
          <w:rFonts w:ascii="Arial" w:hAnsi="Arial" w:cs="Arial"/>
          <w:bCs/>
          <w:lang w:val="sr-Cyrl-RS"/>
        </w:rPr>
        <w:t>због рањивости и подложности зарази</w:t>
      </w:r>
      <w:r w:rsidR="002D7BFC">
        <w:rPr>
          <w:rFonts w:ascii="Arial" w:hAnsi="Arial" w:cs="Arial"/>
          <w:bCs/>
          <w:lang w:val="sr-Cyrl-RS"/>
        </w:rPr>
        <w:t xml:space="preserve"> </w:t>
      </w:r>
      <w:r w:rsidR="0095664E">
        <w:rPr>
          <w:rFonts w:ascii="Arial" w:hAnsi="Arial" w:cs="Arial"/>
          <w:bCs/>
          <w:lang w:val="sr-Cyrl-RS"/>
        </w:rPr>
        <w:t xml:space="preserve">и спровођене </w:t>
      </w:r>
      <w:r w:rsidR="002D7BFC">
        <w:rPr>
          <w:rFonts w:ascii="Arial" w:hAnsi="Arial" w:cs="Arial"/>
          <w:bCs/>
          <w:lang w:val="sr-Cyrl-RS"/>
        </w:rPr>
        <w:t xml:space="preserve">рестриктивне </w:t>
      </w:r>
      <w:r w:rsidR="0095664E">
        <w:rPr>
          <w:rFonts w:ascii="Arial" w:hAnsi="Arial" w:cs="Arial"/>
          <w:bCs/>
          <w:lang w:val="sr-Cyrl-RS"/>
        </w:rPr>
        <w:t>мере</w:t>
      </w:r>
      <w:r w:rsidR="0095664E" w:rsidRPr="0095664E">
        <w:rPr>
          <w:rFonts w:ascii="Arial" w:hAnsi="Arial" w:cs="Arial"/>
          <w:color w:val="000000"/>
          <w:lang w:val="sr-Cyrl-RS"/>
        </w:rPr>
        <w:t xml:space="preserve"> </w:t>
      </w:r>
      <w:r w:rsidR="0095664E">
        <w:rPr>
          <w:rFonts w:ascii="Arial" w:hAnsi="Arial" w:cs="Arial"/>
          <w:color w:val="000000"/>
          <w:lang w:val="sr-Cyrl-RS"/>
        </w:rPr>
        <w:t xml:space="preserve">и </w:t>
      </w:r>
      <w:r w:rsidR="0095664E" w:rsidRPr="0095664E">
        <w:rPr>
          <w:rFonts w:ascii="Arial" w:hAnsi="Arial" w:cs="Arial"/>
          <w:bCs/>
          <w:lang w:val="sr-Cyrl-RS"/>
        </w:rPr>
        <w:t>огранич</w:t>
      </w:r>
      <w:r w:rsidR="0095664E">
        <w:rPr>
          <w:rFonts w:ascii="Arial" w:hAnsi="Arial" w:cs="Arial"/>
          <w:bCs/>
          <w:lang w:val="sr-Cyrl-RS"/>
        </w:rPr>
        <w:t>аван</w:t>
      </w:r>
      <w:r w:rsidR="0095664E" w:rsidRPr="0095664E">
        <w:rPr>
          <w:rFonts w:ascii="Arial" w:hAnsi="Arial" w:cs="Arial"/>
          <w:bCs/>
          <w:lang w:val="sr-Cyrl-RS"/>
        </w:rPr>
        <w:t xml:space="preserve">о или забрањено кретање. </w:t>
      </w:r>
      <w:r w:rsidR="0095664E">
        <w:rPr>
          <w:rFonts w:ascii="Arial" w:hAnsi="Arial" w:cs="Arial"/>
          <w:bCs/>
          <w:lang w:val="sr-Cyrl-RS"/>
        </w:rPr>
        <w:t xml:space="preserve">Тако је </w:t>
      </w:r>
      <w:r w:rsidR="0095664E" w:rsidRPr="0095664E">
        <w:rPr>
          <w:rFonts w:ascii="Arial" w:hAnsi="Arial" w:cs="Arial"/>
          <w:bCs/>
          <w:lang w:val="sr-Cyrl-RS"/>
        </w:rPr>
        <w:t xml:space="preserve">Одељењe за економска и социјална питања УН (УНДЕСА) издало документ </w:t>
      </w:r>
      <w:r w:rsidR="0095664E" w:rsidRPr="0095664E">
        <w:rPr>
          <w:rFonts w:ascii="Arial" w:hAnsi="Arial" w:cs="Arial"/>
          <w:bCs/>
          <w:i/>
          <w:lang w:val="sr-Cyrl-RS"/>
        </w:rPr>
        <w:t xml:space="preserve">Кратко издање о старијим </w:t>
      </w:r>
      <w:r w:rsidR="0095664E" w:rsidRPr="0095664E">
        <w:rPr>
          <w:rFonts w:ascii="Arial" w:hAnsi="Arial" w:cs="Arial"/>
          <w:bCs/>
          <w:i/>
          <w:lang w:val="sr-Cyrl-RS"/>
        </w:rPr>
        <w:lastRenderedPageBreak/>
        <w:t>особама и КОВИД-19</w:t>
      </w:r>
      <w:r w:rsidR="0095664E" w:rsidRPr="0095664E">
        <w:rPr>
          <w:rFonts w:ascii="Arial" w:hAnsi="Arial" w:cs="Arial"/>
          <w:bCs/>
          <w:i/>
          <w:lang w:val="en-US"/>
        </w:rPr>
        <w:t xml:space="preserve">: </w:t>
      </w:r>
      <w:r w:rsidR="0095664E" w:rsidRPr="0095664E">
        <w:rPr>
          <w:rFonts w:ascii="Arial" w:hAnsi="Arial" w:cs="Arial"/>
          <w:bCs/>
          <w:i/>
          <w:lang w:val="sr-Cyrl-RS"/>
        </w:rPr>
        <w:t>тренутак за информисање, инклузивни и циљани одговор</w:t>
      </w:r>
      <w:r w:rsidR="0095664E" w:rsidRPr="0095664E">
        <w:rPr>
          <w:rFonts w:ascii="Arial" w:hAnsi="Arial" w:cs="Arial"/>
          <w:bCs/>
          <w:i/>
          <w:vertAlign w:val="superscript"/>
          <w:lang w:val="sr-Cyrl-RS"/>
        </w:rPr>
        <w:footnoteReference w:id="5"/>
      </w:r>
      <w:r w:rsidR="0095664E" w:rsidRPr="0095664E">
        <w:rPr>
          <w:rFonts w:ascii="Arial" w:hAnsi="Arial" w:cs="Arial"/>
          <w:bCs/>
          <w:lang w:val="sr-Cyrl-RS"/>
        </w:rPr>
        <w:t xml:space="preserve">, </w:t>
      </w:r>
      <w:r w:rsidR="0095664E">
        <w:rPr>
          <w:rFonts w:ascii="Arial" w:hAnsi="Arial" w:cs="Arial"/>
          <w:bCs/>
          <w:lang w:val="sr-Cyrl-RS"/>
        </w:rPr>
        <w:t xml:space="preserve">у коме је, између осталог наведено да </w:t>
      </w:r>
      <w:r w:rsidR="0095664E" w:rsidRPr="0095664E">
        <w:rPr>
          <w:rFonts w:ascii="Arial" w:hAnsi="Arial" w:cs="Arial"/>
          <w:bCs/>
          <w:lang w:val="sr-Cyrl-RS"/>
        </w:rPr>
        <w:t>много старијих особа живи у установама за дуготрајно збрињавање где постоји већи ризик од заразе и због чега се уводи политика забране посета и групних активности што може имати негативан утицај на физичко и ментално здравље и добробит корисника</w:t>
      </w:r>
      <w:r w:rsidR="0095664E">
        <w:rPr>
          <w:rFonts w:ascii="Arial" w:hAnsi="Arial" w:cs="Arial"/>
          <w:bCs/>
          <w:lang w:val="sr-Cyrl-RS"/>
        </w:rPr>
        <w:t xml:space="preserve">. У овој публикацији је указано да је </w:t>
      </w:r>
      <w:r w:rsidR="0095664E" w:rsidRPr="0095664E">
        <w:rPr>
          <w:rFonts w:ascii="Arial" w:hAnsi="Arial" w:cs="Arial"/>
          <w:bCs/>
          <w:lang w:val="sr-Cyrl-RS"/>
        </w:rPr>
        <w:t>важно уравнотежити заштиту старијих и ризичних становника са њиховим потребама за породицом и повезаношћу са заједницом.</w:t>
      </w:r>
      <w:r w:rsidR="0095664E" w:rsidRPr="0095664E">
        <w:rPr>
          <w:rFonts w:ascii="Arial" w:hAnsi="Arial" w:cs="Arial"/>
          <w:bCs/>
          <w:lang w:val="en-US"/>
        </w:rPr>
        <w:t xml:space="preserve"> </w:t>
      </w:r>
      <w:r w:rsidR="0095664E" w:rsidRPr="001A4A5E">
        <w:rPr>
          <w:rFonts w:ascii="Arial" w:hAnsi="Arial" w:cs="Arial"/>
          <w:bCs/>
          <w:lang w:val="sr-Cyrl-RS"/>
        </w:rPr>
        <w:t>Старије особе, нарочито у изолацији и особе са когнитивним падом, деменцијом и особе које су високо зависне од туђе неге, могу трпети додатне последице изолације, због чега сви актери у друштву морају свесно радити на обезбеђивању континуитета практичне и емоционалне подршке кроз неформалне мреже, пре свега породице, здравствене раднике, неговатеље и волонтере, наведено је у овом документу.</w:t>
      </w:r>
    </w:p>
    <w:p w:rsidR="002D7BFC" w:rsidRPr="002D7BFC" w:rsidRDefault="002D7BFC" w:rsidP="002D7BFC">
      <w:pPr>
        <w:spacing w:line="240" w:lineRule="auto"/>
        <w:jc w:val="both"/>
        <w:rPr>
          <w:rFonts w:ascii="Arial" w:hAnsi="Arial" w:cs="Arial"/>
          <w:bCs/>
          <w:lang w:val="sr-Cyrl-RS"/>
        </w:rPr>
      </w:pPr>
      <w:r>
        <w:rPr>
          <w:rFonts w:ascii="Arial" w:hAnsi="Arial" w:cs="Arial"/>
          <w:bCs/>
          <w:lang w:val="sr-Cyrl-RS"/>
        </w:rPr>
        <w:t xml:space="preserve">Такође, </w:t>
      </w:r>
      <w:r w:rsidRPr="002D7BFC">
        <w:rPr>
          <w:rFonts w:ascii="Arial" w:hAnsi="Arial" w:cs="Arial"/>
          <w:bCs/>
          <w:lang w:val="sr-Cyrl-RS"/>
        </w:rPr>
        <w:t xml:space="preserve">Уједињене нације су у документу </w:t>
      </w:r>
      <w:r w:rsidRPr="002D7BFC">
        <w:rPr>
          <w:rFonts w:ascii="Arial" w:hAnsi="Arial" w:cs="Arial"/>
          <w:bCs/>
          <w:i/>
          <w:lang w:val="en-US"/>
        </w:rPr>
        <w:t>Policy Brief: The Impact of COVID-19 on older persons</w:t>
      </w:r>
      <w:r w:rsidRPr="002D7BFC">
        <w:rPr>
          <w:rFonts w:ascii="Arial" w:hAnsi="Arial" w:cs="Arial"/>
          <w:bCs/>
          <w:i/>
          <w:vertAlign w:val="superscript"/>
          <w:lang w:val="en-US"/>
        </w:rPr>
        <w:footnoteReference w:id="6"/>
      </w:r>
      <w:r w:rsidRPr="002D7BFC">
        <w:rPr>
          <w:rFonts w:ascii="Arial" w:hAnsi="Arial" w:cs="Arial"/>
          <w:bCs/>
          <w:lang w:val="sr-Cyrl-RS"/>
        </w:rPr>
        <w:t>, између осталог, указале да је битно потпуно интегрисање фокуса на старије особе у друштвено-економском и хуманитарном одговору на Ковид-19 током кризе али и у фази опоравка,</w:t>
      </w:r>
      <w:r w:rsidRPr="002D7BFC">
        <w:rPr>
          <w:rFonts w:ascii="Arial" w:hAnsi="Arial" w:cs="Arial"/>
        </w:rPr>
        <w:t xml:space="preserve"> </w:t>
      </w:r>
      <w:r w:rsidRPr="002D7BFC">
        <w:rPr>
          <w:rFonts w:ascii="Arial" w:hAnsi="Arial" w:cs="Arial"/>
          <w:lang w:val="sr-Cyrl-RS"/>
        </w:rPr>
        <w:t>те да</w:t>
      </w:r>
      <w:r w:rsidRPr="002D7BFC">
        <w:rPr>
          <w:rFonts w:ascii="Arial" w:hAnsi="Arial" w:cs="Arial"/>
          <w:bCs/>
          <w:lang w:val="sr-Cyrl-RS"/>
        </w:rPr>
        <w:t xml:space="preserve"> ниједна особа, млада или стара, није потрошна</w:t>
      </w:r>
      <w:r>
        <w:rPr>
          <w:rFonts w:ascii="Arial" w:hAnsi="Arial" w:cs="Arial"/>
          <w:bCs/>
          <w:lang w:val="sr-Cyrl-RS"/>
        </w:rPr>
        <w:t>, као и да с</w:t>
      </w:r>
      <w:r w:rsidRPr="002D7BFC">
        <w:rPr>
          <w:rFonts w:ascii="Arial" w:hAnsi="Arial" w:cs="Arial"/>
          <w:bCs/>
          <w:lang w:val="sr-Cyrl-RS"/>
        </w:rPr>
        <w:t>тарији људи имају иста права на живот и здравље као и сви други.</w:t>
      </w:r>
      <w:r>
        <w:rPr>
          <w:rFonts w:ascii="Arial" w:hAnsi="Arial" w:cs="Arial"/>
          <w:bCs/>
          <w:lang w:val="sr-Cyrl-RS"/>
        </w:rPr>
        <w:t xml:space="preserve"> И</w:t>
      </w:r>
      <w:r w:rsidRPr="002D7BFC">
        <w:rPr>
          <w:rFonts w:ascii="Arial" w:hAnsi="Arial" w:cs="Arial"/>
          <w:bCs/>
          <w:lang w:val="sr-Cyrl-RS"/>
        </w:rPr>
        <w:t xml:space="preserve">ако је физичко дистанцирање </w:t>
      </w:r>
      <w:r>
        <w:rPr>
          <w:rFonts w:ascii="Arial" w:hAnsi="Arial" w:cs="Arial"/>
          <w:bCs/>
          <w:lang w:val="sr-Cyrl-RS"/>
        </w:rPr>
        <w:t xml:space="preserve">током пандемије </w:t>
      </w:r>
      <w:r w:rsidRPr="002D7BFC">
        <w:rPr>
          <w:rFonts w:ascii="Arial" w:hAnsi="Arial" w:cs="Arial"/>
          <w:bCs/>
          <w:lang w:val="sr-Cyrl-RS"/>
        </w:rPr>
        <w:t xml:space="preserve">пресудно, </w:t>
      </w:r>
      <w:r>
        <w:rPr>
          <w:rFonts w:ascii="Arial" w:hAnsi="Arial" w:cs="Arial"/>
          <w:bCs/>
          <w:lang w:val="sr-Cyrl-RS"/>
        </w:rPr>
        <w:t>сви</w:t>
      </w:r>
      <w:r w:rsidRPr="002D7BFC">
        <w:rPr>
          <w:rFonts w:ascii="Arial" w:hAnsi="Arial" w:cs="Arial"/>
          <w:bCs/>
          <w:lang w:val="sr-Cyrl-RS"/>
        </w:rPr>
        <w:t xml:space="preserve"> смо једна заједница и припадамо једни другима</w:t>
      </w:r>
      <w:r>
        <w:rPr>
          <w:rFonts w:ascii="Arial" w:hAnsi="Arial" w:cs="Arial"/>
          <w:bCs/>
          <w:lang w:val="sr-Cyrl-RS"/>
        </w:rPr>
        <w:t>, због чега је нарочито старијима п</w:t>
      </w:r>
      <w:r w:rsidRPr="002D7BFC">
        <w:rPr>
          <w:rFonts w:ascii="Arial" w:hAnsi="Arial" w:cs="Arial"/>
          <w:bCs/>
          <w:lang w:val="sr-Cyrl-RS"/>
        </w:rPr>
        <w:t xml:space="preserve">отребна </w:t>
      </w:r>
      <w:r>
        <w:rPr>
          <w:rFonts w:ascii="Arial" w:hAnsi="Arial" w:cs="Arial"/>
          <w:bCs/>
          <w:lang w:val="sr-Cyrl-RS"/>
        </w:rPr>
        <w:t>додатна</w:t>
      </w:r>
      <w:r w:rsidRPr="002D7BFC">
        <w:rPr>
          <w:rFonts w:ascii="Arial" w:hAnsi="Arial" w:cs="Arial"/>
          <w:bCs/>
          <w:lang w:val="sr-Cyrl-RS"/>
        </w:rPr>
        <w:t xml:space="preserve"> социјална подршка </w:t>
      </w:r>
      <w:r>
        <w:rPr>
          <w:rFonts w:ascii="Arial" w:hAnsi="Arial" w:cs="Arial"/>
          <w:bCs/>
          <w:lang w:val="sr-Cyrl-RS"/>
        </w:rPr>
        <w:t xml:space="preserve">што је за њих од </w:t>
      </w:r>
      <w:r w:rsidRPr="002D7BFC">
        <w:rPr>
          <w:rFonts w:ascii="Arial" w:hAnsi="Arial" w:cs="Arial"/>
          <w:bCs/>
          <w:lang w:val="sr-Cyrl-RS"/>
        </w:rPr>
        <w:t>витално</w:t>
      </w:r>
      <w:r>
        <w:rPr>
          <w:rFonts w:ascii="Arial" w:hAnsi="Arial" w:cs="Arial"/>
          <w:bCs/>
          <w:lang w:val="sr-Cyrl-RS"/>
        </w:rPr>
        <w:t xml:space="preserve">г интереса јер </w:t>
      </w:r>
      <w:r w:rsidRPr="002D7BFC">
        <w:rPr>
          <w:rFonts w:ascii="Arial" w:hAnsi="Arial" w:cs="Arial"/>
          <w:bCs/>
          <w:lang w:val="sr-Cyrl-RS"/>
        </w:rPr>
        <w:t>се</w:t>
      </w:r>
      <w:r>
        <w:rPr>
          <w:rFonts w:ascii="Arial" w:hAnsi="Arial" w:cs="Arial"/>
          <w:bCs/>
          <w:lang w:val="sr-Cyrl-RS"/>
        </w:rPr>
        <w:t xml:space="preserve"> током изолације</w:t>
      </w:r>
      <w:r w:rsidRPr="002D7BFC">
        <w:rPr>
          <w:rFonts w:ascii="Arial" w:hAnsi="Arial" w:cs="Arial"/>
          <w:bCs/>
          <w:lang w:val="sr-Cyrl-RS"/>
        </w:rPr>
        <w:t xml:space="preserve"> могу суоч</w:t>
      </w:r>
      <w:r>
        <w:rPr>
          <w:rFonts w:ascii="Arial" w:hAnsi="Arial" w:cs="Arial"/>
          <w:bCs/>
          <w:lang w:val="sr-Cyrl-RS"/>
        </w:rPr>
        <w:t>ава</w:t>
      </w:r>
      <w:r w:rsidRPr="002D7BFC">
        <w:rPr>
          <w:rFonts w:ascii="Arial" w:hAnsi="Arial" w:cs="Arial"/>
          <w:bCs/>
          <w:lang w:val="sr-Cyrl-RS"/>
        </w:rPr>
        <w:t>ти са великом патњом</w:t>
      </w:r>
      <w:r>
        <w:rPr>
          <w:rFonts w:ascii="Arial" w:hAnsi="Arial" w:cs="Arial"/>
          <w:bCs/>
          <w:lang w:val="sr-Cyrl-RS"/>
        </w:rPr>
        <w:t>, наведено је у овом документу</w:t>
      </w:r>
      <w:r w:rsidRPr="002D7BFC">
        <w:rPr>
          <w:rFonts w:ascii="Arial" w:hAnsi="Arial" w:cs="Arial"/>
          <w:bCs/>
          <w:lang w:val="sr-Cyrl-RS"/>
        </w:rPr>
        <w:t>.</w:t>
      </w:r>
    </w:p>
    <w:p w:rsidR="002D7BFC" w:rsidRDefault="00243076" w:rsidP="00514B18">
      <w:pPr>
        <w:spacing w:line="240" w:lineRule="auto"/>
        <w:jc w:val="both"/>
        <w:rPr>
          <w:rFonts w:ascii="Arial" w:hAnsi="Arial" w:cs="Arial"/>
          <w:bCs/>
          <w:lang w:val="sr-Cyrl-RS"/>
        </w:rPr>
      </w:pPr>
      <w:r>
        <w:rPr>
          <w:rFonts w:ascii="Arial" w:hAnsi="Arial" w:cs="Arial"/>
          <w:bCs/>
          <w:lang w:val="sr-Cyrl-RS"/>
        </w:rPr>
        <w:t>Приликом сагледавања проблема и могућих начина решавања, сагледана је</w:t>
      </w:r>
      <w:r w:rsidR="002D7BFC">
        <w:rPr>
          <w:rFonts w:ascii="Arial" w:hAnsi="Arial" w:cs="Arial"/>
          <w:bCs/>
          <w:lang w:val="sr-Cyrl-RS"/>
        </w:rPr>
        <w:t xml:space="preserve"> и упоредн</w:t>
      </w:r>
      <w:r>
        <w:rPr>
          <w:rFonts w:ascii="Arial" w:hAnsi="Arial" w:cs="Arial"/>
          <w:bCs/>
          <w:lang w:val="sr-Cyrl-RS"/>
        </w:rPr>
        <w:t>а</w:t>
      </w:r>
      <w:r w:rsidR="002D7BFC">
        <w:rPr>
          <w:rFonts w:ascii="Arial" w:hAnsi="Arial" w:cs="Arial"/>
          <w:bCs/>
          <w:lang w:val="sr-Cyrl-RS"/>
        </w:rPr>
        <w:t xml:space="preserve"> пракс</w:t>
      </w:r>
      <w:r>
        <w:rPr>
          <w:rFonts w:ascii="Arial" w:hAnsi="Arial" w:cs="Arial"/>
          <w:bCs/>
          <w:lang w:val="sr-Cyrl-RS"/>
        </w:rPr>
        <w:t>а</w:t>
      </w:r>
      <w:r w:rsidR="002D7BFC">
        <w:rPr>
          <w:rFonts w:ascii="Arial" w:hAnsi="Arial" w:cs="Arial"/>
          <w:bCs/>
          <w:lang w:val="sr-Cyrl-RS"/>
        </w:rPr>
        <w:t xml:space="preserve"> у појединим земљама у окружењу</w:t>
      </w:r>
      <w:r w:rsidR="009B1F91">
        <w:rPr>
          <w:rFonts w:ascii="Arial" w:hAnsi="Arial" w:cs="Arial"/>
          <w:bCs/>
          <w:lang w:val="sr-Cyrl-RS"/>
        </w:rPr>
        <w:t xml:space="preserve"> у којима се</w:t>
      </w:r>
      <w:r w:rsidR="009B1F91" w:rsidRPr="009B1F91">
        <w:rPr>
          <w:rFonts w:ascii="Arial" w:hAnsi="Arial" w:cs="Arial"/>
          <w:bCs/>
          <w:lang w:val="sr-Cyrl-RS"/>
        </w:rPr>
        <w:t xml:space="preserve"> </w:t>
      </w:r>
      <w:r w:rsidR="009B1F91">
        <w:rPr>
          <w:rFonts w:ascii="Arial" w:hAnsi="Arial" w:cs="Arial"/>
          <w:bCs/>
          <w:lang w:val="sr-Cyrl-RS"/>
        </w:rPr>
        <w:t>омогућавају посете корисницима у спољним просторима пружаоца услуга, као и у унутрашњим просторијама уколико из објективних разлога није могуће организовати посету у спољним просторима. Такође, корисницима је омогућен изалазак изван просторија пружалаца смештаја у случају вишедневног одласка у породицу у трајању од пет или више дана уз предузимање и придржавање прописаних мера сузбијања и спречавања епидемије. Ограничавање и услови за изласке се не односе на особе којима је прошло 14 дана од друге дозе вакцине као и особе које су прележале Ковид-19 у оквиру 90 дана од почетка болести.</w:t>
      </w:r>
      <w:r>
        <w:rPr>
          <w:rStyle w:val="FootnoteReference"/>
          <w:rFonts w:ascii="Arial" w:hAnsi="Arial" w:cs="Arial"/>
          <w:bCs/>
          <w:lang w:val="sr-Cyrl-RS"/>
        </w:rPr>
        <w:footnoteReference w:id="7"/>
      </w:r>
      <w:r>
        <w:rPr>
          <w:rFonts w:ascii="Arial" w:hAnsi="Arial" w:cs="Arial"/>
          <w:bCs/>
          <w:lang w:val="sr-Cyrl-RS"/>
        </w:rPr>
        <w:t xml:space="preserve"> </w:t>
      </w:r>
    </w:p>
    <w:p w:rsidR="000439B5" w:rsidRDefault="00243076" w:rsidP="00813C10">
      <w:pPr>
        <w:spacing w:line="240" w:lineRule="auto"/>
        <w:jc w:val="both"/>
        <w:rPr>
          <w:rFonts w:ascii="Arial" w:hAnsi="Arial" w:cs="Arial"/>
          <w:bCs/>
          <w:lang w:val="sr-Cyrl-RS"/>
        </w:rPr>
      </w:pPr>
      <w:r w:rsidRPr="00243076">
        <w:rPr>
          <w:rFonts w:ascii="Arial" w:hAnsi="Arial" w:cs="Arial"/>
          <w:bCs/>
          <w:lang w:val="sr-Cyrl-RS"/>
        </w:rPr>
        <w:t xml:space="preserve">Такође, Повереник је имао у виду </w:t>
      </w:r>
      <w:r w:rsidR="000439B5">
        <w:rPr>
          <w:rFonts w:ascii="Arial" w:hAnsi="Arial" w:cs="Arial"/>
          <w:bCs/>
          <w:lang w:val="sr-Cyrl-RS"/>
        </w:rPr>
        <w:t xml:space="preserve">и чињеницу да је вакцинација у установама социјалне заштите за смештај старих лица почела још крајем 2020. године, као и да је у Републици Србији у току масовна имунизација, те да је већ </w:t>
      </w:r>
      <w:r w:rsidR="0095664E">
        <w:rPr>
          <w:rFonts w:ascii="Arial" w:hAnsi="Arial" w:cs="Arial"/>
          <w:bCs/>
          <w:lang w:val="sr-Cyrl-RS"/>
        </w:rPr>
        <w:t xml:space="preserve">вакцинисано </w:t>
      </w:r>
      <w:r w:rsidR="000439B5">
        <w:rPr>
          <w:rFonts w:ascii="Arial" w:hAnsi="Arial" w:cs="Arial"/>
          <w:bCs/>
          <w:lang w:val="sr-Cyrl-RS"/>
        </w:rPr>
        <w:t xml:space="preserve">готово милион грађана. </w:t>
      </w:r>
    </w:p>
    <w:p w:rsidR="00514B18" w:rsidRPr="00514B18" w:rsidRDefault="00514B18" w:rsidP="00514B18">
      <w:pPr>
        <w:spacing w:line="240" w:lineRule="auto"/>
        <w:jc w:val="both"/>
        <w:rPr>
          <w:rFonts w:ascii="Arial" w:hAnsi="Arial" w:cs="Arial"/>
          <w:lang w:val="sr-Cyrl-RS"/>
        </w:rPr>
      </w:pPr>
      <w:r>
        <w:rPr>
          <w:rFonts w:ascii="Arial" w:hAnsi="Arial" w:cs="Arial"/>
          <w:lang w:val="sr-Cyrl-RS"/>
        </w:rPr>
        <w:t>Имајући у виду да је</w:t>
      </w:r>
      <w:r w:rsidRPr="00514B18">
        <w:rPr>
          <w:rFonts w:ascii="Arial" w:eastAsia="Times New Roman" w:hAnsi="Arial" w:cs="Arial"/>
          <w:lang w:val="sr-Cyrl-RS"/>
        </w:rPr>
        <w:t xml:space="preserve"> </w:t>
      </w:r>
      <w:r w:rsidRPr="00514B18">
        <w:rPr>
          <w:rFonts w:ascii="Arial" w:hAnsi="Arial" w:cs="Arial"/>
          <w:lang w:val="sr-Cyrl-RS"/>
        </w:rPr>
        <w:t>Наредб</w:t>
      </w:r>
      <w:r>
        <w:rPr>
          <w:rFonts w:ascii="Arial" w:hAnsi="Arial" w:cs="Arial"/>
          <w:lang w:val="sr-Cyrl-RS"/>
        </w:rPr>
        <w:t>у</w:t>
      </w:r>
      <w:r w:rsidRPr="00514B18">
        <w:rPr>
          <w:rFonts w:ascii="Arial" w:hAnsi="Arial" w:cs="Arial"/>
          <w:lang w:val="sr-Cyrl-RS"/>
        </w:rPr>
        <w:t xml:space="preserve"> о забрани посета и ограничењу кретања у објектима за смештај старих лица</w:t>
      </w:r>
      <w:r w:rsidRPr="00514B18">
        <w:rPr>
          <w:rFonts w:ascii="Arial" w:hAnsi="Arial" w:cs="Arial"/>
        </w:rPr>
        <w:t xml:space="preserve"> </w:t>
      </w:r>
      <w:r>
        <w:rPr>
          <w:rFonts w:ascii="Arial" w:hAnsi="Arial" w:cs="Arial"/>
          <w:lang w:val="sr-Cyrl-RS"/>
        </w:rPr>
        <w:t xml:space="preserve">донео министар здравља </w:t>
      </w:r>
      <w:r w:rsidRPr="00514B18">
        <w:rPr>
          <w:rFonts w:ascii="Arial" w:hAnsi="Arial" w:cs="Arial"/>
          <w:lang w:val="sr-Cyrl-RS"/>
        </w:rPr>
        <w:t xml:space="preserve">на предлог Републичке стручне комисије за заштиту становништва од заразних болести и Института за јавно здравље Србије </w:t>
      </w:r>
      <w:r>
        <w:rPr>
          <w:rFonts w:ascii="Arial" w:hAnsi="Arial" w:cs="Arial"/>
          <w:lang w:val="sr-Cyrl-RS"/>
        </w:rPr>
        <w:t>„</w:t>
      </w:r>
      <w:r w:rsidRPr="00514B18">
        <w:rPr>
          <w:rFonts w:ascii="Arial" w:hAnsi="Arial" w:cs="Arial"/>
          <w:lang w:val="sr-Cyrl-RS"/>
        </w:rPr>
        <w:t>Др Милан Јовановић Батут</w:t>
      </w:r>
      <w:r>
        <w:rPr>
          <w:rFonts w:ascii="Arial" w:hAnsi="Arial" w:cs="Arial"/>
          <w:lang w:val="sr-Cyrl-RS"/>
        </w:rPr>
        <w:t xml:space="preserve">“, </w:t>
      </w:r>
      <w:r w:rsidR="000B14FC">
        <w:rPr>
          <w:rFonts w:ascii="Arial" w:hAnsi="Arial" w:cs="Arial"/>
          <w:lang w:val="sr-Cyrl-RS"/>
        </w:rPr>
        <w:t xml:space="preserve">као и да су домови за старе установе социјалне заштите, </w:t>
      </w:r>
      <w:r w:rsidRPr="00514B18">
        <w:rPr>
          <w:rFonts w:ascii="Arial" w:hAnsi="Arial" w:cs="Arial"/>
        </w:rPr>
        <w:t xml:space="preserve">Повереник за заштиту равноправности </w:t>
      </w:r>
      <w:r>
        <w:rPr>
          <w:rFonts w:ascii="Arial" w:hAnsi="Arial" w:cs="Arial"/>
          <w:lang w:val="sr-Cyrl-RS"/>
        </w:rPr>
        <w:t>ј</w:t>
      </w:r>
      <w:r w:rsidRPr="00514B18">
        <w:rPr>
          <w:rFonts w:ascii="Arial" w:hAnsi="Arial" w:cs="Arial"/>
        </w:rPr>
        <w:t xml:space="preserve">е </w:t>
      </w:r>
      <w:r>
        <w:rPr>
          <w:rFonts w:ascii="Arial" w:hAnsi="Arial" w:cs="Arial"/>
          <w:lang w:val="sr-Cyrl-RS"/>
        </w:rPr>
        <w:t xml:space="preserve">и Министарству </w:t>
      </w:r>
      <w:r w:rsidR="000B14FC">
        <w:rPr>
          <w:rFonts w:ascii="Arial" w:hAnsi="Arial" w:cs="Arial"/>
          <w:lang w:val="sr-Cyrl-RS"/>
        </w:rPr>
        <w:t xml:space="preserve">за рад, запошљавање, борачка и социјална питања </w:t>
      </w:r>
      <w:r w:rsidRPr="00514B18">
        <w:rPr>
          <w:rFonts w:ascii="Arial" w:hAnsi="Arial" w:cs="Arial"/>
        </w:rPr>
        <w:t>упути</w:t>
      </w:r>
      <w:r>
        <w:rPr>
          <w:rFonts w:ascii="Arial" w:hAnsi="Arial" w:cs="Arial"/>
          <w:lang w:val="sr-Cyrl-RS"/>
        </w:rPr>
        <w:t>о</w:t>
      </w:r>
      <w:r w:rsidRPr="00514B18">
        <w:rPr>
          <w:rFonts w:ascii="Arial" w:hAnsi="Arial" w:cs="Arial"/>
        </w:rPr>
        <w:t xml:space="preserve"> препоруку мера</w:t>
      </w:r>
      <w:r>
        <w:rPr>
          <w:rFonts w:ascii="Arial" w:hAnsi="Arial" w:cs="Arial"/>
          <w:lang w:val="sr-Cyrl-RS"/>
        </w:rPr>
        <w:t xml:space="preserve"> да у сарадњи са </w:t>
      </w:r>
      <w:r w:rsidRPr="00514B18">
        <w:rPr>
          <w:rFonts w:ascii="Arial" w:hAnsi="Arial" w:cs="Arial"/>
          <w:lang w:val="sr-Cyrl-RS"/>
        </w:rPr>
        <w:t>Министарств</w:t>
      </w:r>
      <w:r>
        <w:rPr>
          <w:rFonts w:ascii="Arial" w:hAnsi="Arial" w:cs="Arial"/>
          <w:lang w:val="sr-Cyrl-RS"/>
        </w:rPr>
        <w:t>ом</w:t>
      </w:r>
      <w:r w:rsidRPr="00514B18">
        <w:rPr>
          <w:rFonts w:ascii="Arial" w:hAnsi="Arial" w:cs="Arial"/>
          <w:lang w:val="sr-Cyrl-RS"/>
        </w:rPr>
        <w:t xml:space="preserve"> </w:t>
      </w:r>
      <w:r w:rsidR="000B14FC">
        <w:rPr>
          <w:rFonts w:ascii="Arial" w:hAnsi="Arial" w:cs="Arial"/>
          <w:lang w:val="sr-Cyrl-RS"/>
        </w:rPr>
        <w:t>здравља</w:t>
      </w:r>
      <w:r w:rsidRPr="00514B18">
        <w:rPr>
          <w:rFonts w:ascii="Arial" w:hAnsi="Arial" w:cs="Arial"/>
          <w:lang w:val="sr-Cyrl-RS"/>
        </w:rPr>
        <w:t xml:space="preserve"> и стручњацима из одговарајућих области</w:t>
      </w:r>
      <w:r w:rsidR="00FD3E6F" w:rsidRPr="00FD3E6F">
        <w:rPr>
          <w:rFonts w:ascii="Arial" w:hAnsi="Arial" w:cs="Arial"/>
          <w:lang w:val="sr-Cyrl-RS"/>
        </w:rPr>
        <w:t xml:space="preserve"> размотри могућност измене режима забране посета и ограничења кретања у објектима установа за смештај старијих лица</w:t>
      </w:r>
      <w:r w:rsidR="00FD3E6F">
        <w:rPr>
          <w:rFonts w:ascii="Arial" w:hAnsi="Arial" w:cs="Arial"/>
          <w:lang w:val="sr-Cyrl-RS"/>
        </w:rPr>
        <w:t>.</w:t>
      </w:r>
    </w:p>
    <w:p w:rsidR="006B7A36" w:rsidRDefault="00E9180D" w:rsidP="00514B18">
      <w:pPr>
        <w:spacing w:before="120" w:line="240" w:lineRule="auto"/>
        <w:jc w:val="both"/>
        <w:rPr>
          <w:rFonts w:ascii="Arial" w:hAnsi="Arial" w:cs="Arial"/>
          <w:lang w:val="sr-Cyrl-RS"/>
        </w:rPr>
      </w:pPr>
      <w:r w:rsidRPr="008E2F54">
        <w:rPr>
          <w:rFonts w:ascii="Arial" w:hAnsi="Arial" w:cs="Arial"/>
        </w:rPr>
        <w:t xml:space="preserve">Сагледавајући све околности, Повереник за заштиту равноправности, поступајући у складу са чланом 33. тачка 9. Закона о забрани дискриминације, </w:t>
      </w:r>
      <w:r w:rsidRPr="008E2F54">
        <w:rPr>
          <w:rFonts w:ascii="Arial" w:eastAsia="Times New Roman" w:hAnsi="Arial" w:cs="Arial" w:hint="cs"/>
        </w:rPr>
        <w:t>упућује</w:t>
      </w:r>
      <w:r w:rsidRPr="008E2F54">
        <w:rPr>
          <w:rFonts w:ascii="Arial" w:eastAsia="Times New Roman" w:hAnsi="Arial" w:cs="Arial"/>
        </w:rPr>
        <w:t xml:space="preserve"> </w:t>
      </w:r>
      <w:r w:rsidRPr="008E2F54">
        <w:rPr>
          <w:rFonts w:ascii="Arial" w:eastAsia="Times New Roman" w:hAnsi="Arial" w:cs="Arial" w:hint="cs"/>
        </w:rPr>
        <w:t>препоруку</w:t>
      </w:r>
      <w:r w:rsidRPr="008E2F54">
        <w:rPr>
          <w:rFonts w:ascii="Arial" w:eastAsia="Times New Roman" w:hAnsi="Arial" w:cs="Arial"/>
        </w:rPr>
        <w:t xml:space="preserve"> мера </w:t>
      </w:r>
      <w:r w:rsidRPr="008E2F54">
        <w:rPr>
          <w:rFonts w:ascii="Arial" w:eastAsia="Times New Roman" w:hAnsi="Arial" w:cs="Arial"/>
        </w:rPr>
        <w:lastRenderedPageBreak/>
        <w:t>за остваривање равноправности</w:t>
      </w:r>
      <w:r w:rsidR="00243076">
        <w:rPr>
          <w:rFonts w:ascii="Arial" w:eastAsia="Times New Roman" w:hAnsi="Arial" w:cs="Arial"/>
          <w:lang w:val="sr-Cyrl-RS"/>
        </w:rPr>
        <w:t xml:space="preserve"> Министарству </w:t>
      </w:r>
      <w:r w:rsidR="000B14FC">
        <w:rPr>
          <w:rFonts w:ascii="Arial" w:eastAsia="Times New Roman" w:hAnsi="Arial" w:cs="Arial"/>
          <w:lang w:val="sr-Cyrl-RS"/>
        </w:rPr>
        <w:t>здравља</w:t>
      </w:r>
      <w:r w:rsidR="00243076" w:rsidRPr="00243076">
        <w:rPr>
          <w:rFonts w:ascii="Arial" w:eastAsia="Times New Roman" w:hAnsi="Arial" w:cs="Arial"/>
          <w:lang w:val="sr-Latn-RS"/>
        </w:rPr>
        <w:t xml:space="preserve"> </w:t>
      </w:r>
      <w:r w:rsidR="00243076" w:rsidRPr="00243076">
        <w:rPr>
          <w:rFonts w:ascii="Arial" w:eastAsia="Times New Roman" w:hAnsi="Arial" w:cs="Arial"/>
          <w:lang w:val="sr-Cyrl-RS"/>
        </w:rPr>
        <w:t>да</w:t>
      </w:r>
      <w:r w:rsidR="00243076">
        <w:rPr>
          <w:rFonts w:ascii="Arial" w:eastAsia="Times New Roman" w:hAnsi="Arial" w:cs="Arial"/>
          <w:lang w:val="sr-Cyrl-RS"/>
        </w:rPr>
        <w:t xml:space="preserve"> </w:t>
      </w:r>
      <w:r w:rsidR="00514B18" w:rsidRPr="00514B18">
        <w:rPr>
          <w:rFonts w:ascii="Arial" w:hAnsi="Arial" w:cs="Arial"/>
          <w:lang w:val="sr-Cyrl-RS"/>
        </w:rPr>
        <w:t xml:space="preserve">у сарадњи са Министарством </w:t>
      </w:r>
      <w:r w:rsidR="000B14FC" w:rsidRPr="000B14FC">
        <w:rPr>
          <w:rFonts w:ascii="Arial" w:hAnsi="Arial" w:cs="Arial"/>
          <w:lang w:val="sr-Cyrl-RS"/>
        </w:rPr>
        <w:t>за рад, запошљавање, борачка и социјална питања</w:t>
      </w:r>
      <w:r w:rsidR="00514B18" w:rsidRPr="00514B18">
        <w:rPr>
          <w:rFonts w:ascii="Arial" w:hAnsi="Arial" w:cs="Arial"/>
          <w:lang w:val="sr-Cyrl-RS"/>
        </w:rPr>
        <w:t xml:space="preserve"> и стручњацима из одговарајућих</w:t>
      </w:r>
      <w:r w:rsidR="00514B18">
        <w:rPr>
          <w:rFonts w:ascii="Arial" w:hAnsi="Arial" w:cs="Arial"/>
          <w:lang w:val="sr-Cyrl-RS"/>
        </w:rPr>
        <w:t xml:space="preserve"> </w:t>
      </w:r>
      <w:r w:rsidR="003C0C14">
        <w:rPr>
          <w:rFonts w:ascii="Arial" w:hAnsi="Arial" w:cs="Arial"/>
          <w:lang w:val="sr-Cyrl-RS"/>
        </w:rPr>
        <w:t xml:space="preserve">области </w:t>
      </w:r>
      <w:r w:rsidR="00514B18" w:rsidRPr="00514B18">
        <w:rPr>
          <w:rFonts w:ascii="Arial" w:hAnsi="Arial" w:cs="Arial"/>
          <w:lang w:val="sr-Cyrl-RS"/>
        </w:rPr>
        <w:t>сагледа стање и последице</w:t>
      </w:r>
      <w:r w:rsidR="00F53E2E">
        <w:rPr>
          <w:rFonts w:ascii="Arial" w:hAnsi="Arial" w:cs="Arial"/>
          <w:lang w:val="sr-Cyrl-RS"/>
        </w:rPr>
        <w:t xml:space="preserve"> које могу настати</w:t>
      </w:r>
      <w:r w:rsidR="00514B18" w:rsidRPr="00514B18">
        <w:rPr>
          <w:rFonts w:ascii="Arial" w:hAnsi="Arial" w:cs="Arial"/>
          <w:lang w:val="sr-Cyrl-RS"/>
        </w:rPr>
        <w:t>, те у складу са одговарајућим мерама заштите у новонасталим околностима, размотри могућност измене режима забране посета и ограничења кретања у установа</w:t>
      </w:r>
      <w:r w:rsidR="00F53E2E">
        <w:rPr>
          <w:rFonts w:ascii="Arial" w:hAnsi="Arial" w:cs="Arial"/>
          <w:lang w:val="sr-Cyrl-RS"/>
        </w:rPr>
        <w:t>ма</w:t>
      </w:r>
      <w:r w:rsidR="00514B18" w:rsidRPr="00514B18">
        <w:rPr>
          <w:rFonts w:ascii="Arial" w:hAnsi="Arial" w:cs="Arial"/>
          <w:lang w:val="sr-Cyrl-RS"/>
        </w:rPr>
        <w:t xml:space="preserve"> за смештај старијих лица.</w:t>
      </w:r>
      <w:r w:rsidR="006B7A36" w:rsidRPr="00514B18">
        <w:rPr>
          <w:rFonts w:ascii="Arial" w:hAnsi="Arial" w:cs="Arial"/>
          <w:lang w:val="sr-Cyrl-RS"/>
        </w:rPr>
        <w:t xml:space="preserve">  </w:t>
      </w:r>
    </w:p>
    <w:p w:rsidR="006B7A36" w:rsidRPr="00514B18" w:rsidRDefault="006B7A36" w:rsidP="00FD3E6F">
      <w:pPr>
        <w:spacing w:before="120" w:line="240" w:lineRule="auto"/>
        <w:jc w:val="both"/>
        <w:rPr>
          <w:rFonts w:ascii="Arial" w:hAnsi="Arial" w:cs="Arial"/>
          <w:lang w:val="sr-Cyrl-RS"/>
        </w:rPr>
      </w:pPr>
    </w:p>
    <w:p w:rsidR="00EA1EAF" w:rsidRPr="008E2F54" w:rsidRDefault="00EA1EAF" w:rsidP="00C33250">
      <w:pPr>
        <w:pStyle w:val="ListParagraph"/>
        <w:tabs>
          <w:tab w:val="left" w:pos="450"/>
        </w:tabs>
        <w:ind w:left="0"/>
        <w:jc w:val="both"/>
        <w:rPr>
          <w:rFonts w:ascii="Arial" w:hAnsi="Arial" w:cs="Arial"/>
          <w:sz w:val="22"/>
          <w:szCs w:val="22"/>
          <w:lang w:val="sr-Cyrl-CS"/>
        </w:rPr>
      </w:pPr>
    </w:p>
    <w:tbl>
      <w:tblPr>
        <w:tblW w:w="9129" w:type="dxa"/>
        <w:tblLook w:val="04A0" w:firstRow="1" w:lastRow="0" w:firstColumn="1" w:lastColumn="0" w:noHBand="0" w:noVBand="1"/>
      </w:tblPr>
      <w:tblGrid>
        <w:gridCol w:w="5070"/>
        <w:gridCol w:w="4059"/>
      </w:tblGrid>
      <w:tr w:rsidR="00E9180D" w:rsidRPr="00E26BC4" w:rsidTr="00D16FCE">
        <w:trPr>
          <w:trHeight w:val="503"/>
        </w:trPr>
        <w:tc>
          <w:tcPr>
            <w:tcW w:w="5070" w:type="dxa"/>
          </w:tcPr>
          <w:p w:rsidR="00E9180D" w:rsidRPr="008E2F54" w:rsidRDefault="00E9180D" w:rsidP="00C33250">
            <w:pPr>
              <w:pStyle w:val="Body"/>
              <w:tabs>
                <w:tab w:val="left" w:pos="1134"/>
              </w:tabs>
              <w:rPr>
                <w:rFonts w:ascii="Arial" w:eastAsia="Times New Roman" w:hAnsi="Arial" w:cs="Arial"/>
                <w:color w:val="auto"/>
                <w:sz w:val="22"/>
                <w:szCs w:val="22"/>
                <w:lang w:val="sr-Cyrl-CS"/>
              </w:rPr>
            </w:pPr>
          </w:p>
        </w:tc>
        <w:tc>
          <w:tcPr>
            <w:tcW w:w="4059" w:type="dxa"/>
          </w:tcPr>
          <w:p w:rsidR="00253D0E" w:rsidRDefault="00E9180D" w:rsidP="00C33250">
            <w:pPr>
              <w:pStyle w:val="Body"/>
              <w:tabs>
                <w:tab w:val="left" w:pos="1134"/>
              </w:tabs>
              <w:jc w:val="center"/>
              <w:rPr>
                <w:rFonts w:ascii="Arial" w:eastAsia="Times New Roman" w:hAnsi="Arial" w:cs="Arial"/>
                <w:b/>
                <w:color w:val="auto"/>
                <w:szCs w:val="24"/>
                <w:lang w:val="sr-Cyrl-CS"/>
              </w:rPr>
            </w:pPr>
            <w:r w:rsidRPr="008E2F54">
              <w:rPr>
                <w:rFonts w:ascii="Arial" w:eastAsia="Times New Roman" w:hAnsi="Arial" w:cs="Arial"/>
                <w:b/>
                <w:color w:val="auto"/>
                <w:szCs w:val="24"/>
                <w:lang w:val="sr-Cyrl-CS"/>
              </w:rPr>
              <w:t xml:space="preserve">ПОВЕРЕНИЦА ЗА ЗАШТИТУ     РАВНОПРАВНОСТИ </w:t>
            </w:r>
          </w:p>
          <w:p w:rsidR="00253D0E" w:rsidRDefault="00253D0E" w:rsidP="00C33250">
            <w:pPr>
              <w:pStyle w:val="Body"/>
              <w:tabs>
                <w:tab w:val="left" w:pos="1134"/>
              </w:tabs>
              <w:jc w:val="center"/>
              <w:rPr>
                <w:rFonts w:ascii="Arial" w:eastAsia="Times New Roman" w:hAnsi="Arial" w:cs="Arial"/>
                <w:b/>
                <w:color w:val="auto"/>
                <w:szCs w:val="24"/>
                <w:lang w:val="sr-Cyrl-CS"/>
              </w:rPr>
            </w:pPr>
          </w:p>
          <w:p w:rsidR="00E9180D" w:rsidRPr="00E26BC4" w:rsidRDefault="00E9180D" w:rsidP="00C33250">
            <w:pPr>
              <w:pStyle w:val="Body"/>
              <w:tabs>
                <w:tab w:val="left" w:pos="1134"/>
              </w:tabs>
              <w:jc w:val="center"/>
              <w:rPr>
                <w:rFonts w:ascii="Arial" w:eastAsia="Times New Roman" w:hAnsi="Arial" w:cs="Arial"/>
                <w:b/>
                <w:color w:val="auto"/>
                <w:szCs w:val="24"/>
                <w:lang w:val="sr-Cyrl-CS"/>
              </w:rPr>
            </w:pPr>
            <w:r w:rsidRPr="008E2F54">
              <w:rPr>
                <w:rFonts w:ascii="Arial" w:eastAsia="Times New Roman" w:hAnsi="Arial" w:cs="Arial"/>
                <w:b/>
                <w:color w:val="auto"/>
                <w:szCs w:val="24"/>
                <w:lang w:val="sr-Cyrl-CS"/>
              </w:rPr>
              <w:t>Бранкица Јанковић</w:t>
            </w:r>
          </w:p>
        </w:tc>
      </w:tr>
    </w:tbl>
    <w:p w:rsidR="00D16FCE" w:rsidRDefault="00D16FCE" w:rsidP="00C33250">
      <w:pPr>
        <w:spacing w:line="240" w:lineRule="auto"/>
      </w:pPr>
    </w:p>
    <w:sectPr w:rsidR="00D16FCE" w:rsidSect="00707E3B">
      <w:footerReference w:type="default" r:id="rId11"/>
      <w:footerReference w:type="first" r:id="rId12"/>
      <w:pgSz w:w="11906" w:h="16838"/>
      <w:pgMar w:top="993"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3C" w:rsidRDefault="00DC0B3C" w:rsidP="00E9180D">
      <w:pPr>
        <w:spacing w:after="0" w:line="240" w:lineRule="auto"/>
      </w:pPr>
      <w:r>
        <w:separator/>
      </w:r>
    </w:p>
  </w:endnote>
  <w:endnote w:type="continuationSeparator" w:id="0">
    <w:p w:rsidR="00DC0B3C" w:rsidRDefault="00DC0B3C" w:rsidP="00E9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CE" w:rsidRDefault="00135C6D">
    <w:pPr>
      <w:pStyle w:val="Footer"/>
    </w:pPr>
    <w:r>
      <w:rPr>
        <w:noProof/>
        <w:lang w:val="en-US"/>
      </w:rPr>
      <mc:AlternateContent>
        <mc:Choice Requires="wps">
          <w:drawing>
            <wp:anchor distT="152400" distB="152400" distL="152400" distR="152400" simplePos="0" relativeHeight="251659264" behindDoc="0" locked="0" layoutInCell="1" allowOverlap="1" wp14:anchorId="6D0AB412" wp14:editId="4EAB0163">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за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1"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Pr>
                              <w:lang w:val="sr-Cyrl-CS"/>
                            </w:rPr>
                            <w:tab/>
                          </w:r>
                          <w:r w:rsidR="00362C40"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362C40" w:rsidRPr="00721C4C">
                            <w:rPr>
                              <w:rFonts w:ascii="Arial" w:hAnsi="Arial" w:cs="Arial"/>
                              <w:sz w:val="16"/>
                              <w:szCs w:val="16"/>
                            </w:rPr>
                            <w:fldChar w:fldCharType="separate"/>
                          </w:r>
                          <w:r w:rsidR="001B5007">
                            <w:rPr>
                              <w:rFonts w:ascii="Arial" w:hAnsi="Arial" w:cs="Arial"/>
                              <w:noProof/>
                              <w:sz w:val="16"/>
                              <w:szCs w:val="16"/>
                            </w:rPr>
                            <w:t>4</w:t>
                          </w:r>
                          <w:r w:rsidR="00362C40"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за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3"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Pr>
                        <w:lang w:val="sr-Cyrl-CS"/>
                      </w:rPr>
                      <w:tab/>
                    </w:r>
                    <w:r w:rsidR="00362C40"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362C40" w:rsidRPr="00721C4C">
                      <w:rPr>
                        <w:rFonts w:ascii="Arial" w:hAnsi="Arial" w:cs="Arial"/>
                        <w:sz w:val="16"/>
                        <w:szCs w:val="16"/>
                      </w:rPr>
                      <w:fldChar w:fldCharType="separate"/>
                    </w:r>
                    <w:r w:rsidR="001B5007">
                      <w:rPr>
                        <w:rFonts w:ascii="Arial" w:hAnsi="Arial" w:cs="Arial"/>
                        <w:noProof/>
                        <w:sz w:val="16"/>
                        <w:szCs w:val="16"/>
                      </w:rPr>
                      <w:t>4</w:t>
                    </w:r>
                    <w:r w:rsidR="00362C40" w:rsidRPr="00721C4C">
                      <w:rPr>
                        <w:rFonts w:ascii="Arial" w:hAnsi="Arial" w:cs="Arial"/>
                        <w:sz w:val="16"/>
                        <w:szCs w:val="16"/>
                      </w:rPr>
                      <w:fldChar w:fldCharType="end"/>
                    </w:r>
                  </w:p>
                </w:txbxContent>
              </v:textbox>
              <w10:wrap type="square" anchorx="page" anchory="page"/>
            </v:rect>
          </w:pict>
        </mc:Fallback>
      </mc:AlternateContent>
    </w:r>
    <w:r w:rsidR="00E9180D">
      <w:rPr>
        <w:noProof/>
        <w:lang w:val="en-US"/>
      </w:rPr>
      <w:drawing>
        <wp:anchor distT="0" distB="0" distL="114300" distR="114300" simplePos="0" relativeHeight="251660288" behindDoc="0" locked="0" layoutInCell="1" allowOverlap="1" wp14:anchorId="11610D8E" wp14:editId="5351CB37">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CE" w:rsidRDefault="00E9180D">
    <w:pPr>
      <w:pStyle w:val="Footer"/>
    </w:pPr>
    <w:r>
      <w:rPr>
        <w:noProof/>
        <w:lang w:val="en-US"/>
      </w:rPr>
      <w:drawing>
        <wp:anchor distT="0" distB="0" distL="114300" distR="114300" simplePos="0" relativeHeight="251662336" behindDoc="0" locked="0" layoutInCell="1" allowOverlap="1" wp14:anchorId="03EDD387" wp14:editId="55D88DA6">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135C6D">
      <w:rPr>
        <w:noProof/>
        <w:lang w:val="en-US"/>
      </w:rPr>
      <mc:AlternateContent>
        <mc:Choice Requires="wps">
          <w:drawing>
            <wp:anchor distT="152400" distB="152400" distL="152400" distR="152400" simplePos="0" relativeHeight="251661312" behindDoc="0" locked="0" layoutInCell="1" allowOverlap="1" wp14:anchorId="6FBF0E91" wp14:editId="0F9EB4C9">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за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3C" w:rsidRDefault="00DC0B3C" w:rsidP="00E9180D">
      <w:pPr>
        <w:spacing w:after="0" w:line="240" w:lineRule="auto"/>
      </w:pPr>
      <w:r>
        <w:separator/>
      </w:r>
    </w:p>
  </w:footnote>
  <w:footnote w:type="continuationSeparator" w:id="0">
    <w:p w:rsidR="00DC0B3C" w:rsidRDefault="00DC0B3C" w:rsidP="00E9180D">
      <w:pPr>
        <w:spacing w:after="0" w:line="240" w:lineRule="auto"/>
      </w:pPr>
      <w:r>
        <w:continuationSeparator/>
      </w:r>
    </w:p>
  </w:footnote>
  <w:footnote w:id="1">
    <w:p w:rsidR="00E9180D" w:rsidRPr="000F4138" w:rsidRDefault="00E9180D" w:rsidP="00E9180D">
      <w:pPr>
        <w:pStyle w:val="FootnoteText"/>
        <w:jc w:val="both"/>
        <w:rPr>
          <w:rFonts w:ascii="Arial" w:hAnsi="Arial" w:cs="Arial"/>
          <w:sz w:val="16"/>
          <w:szCs w:val="16"/>
          <w:lang w:val="sr-Latn-CS"/>
        </w:rPr>
      </w:pPr>
      <w:r w:rsidRPr="000F4138">
        <w:rPr>
          <w:rStyle w:val="FootnoteReference"/>
          <w:rFonts w:ascii="Arial" w:hAnsi="Arial" w:cs="Arial"/>
          <w:sz w:val="16"/>
          <w:szCs w:val="16"/>
        </w:rPr>
        <w:footnoteRef/>
      </w:r>
      <w:r w:rsidRPr="000F4138">
        <w:rPr>
          <w:rFonts w:ascii="Arial" w:hAnsi="Arial" w:cs="Arial"/>
          <w:sz w:val="16"/>
          <w:szCs w:val="16"/>
        </w:rPr>
        <w:t xml:space="preserve"> Закон о забрани дискриминације</w:t>
      </w:r>
      <w:r w:rsidRPr="000F4138">
        <w:rPr>
          <w:rFonts w:ascii="Arial" w:hAnsi="Arial" w:cs="Arial"/>
          <w:sz w:val="16"/>
          <w:szCs w:val="16"/>
          <w:lang w:val="sr-Latn-CS"/>
        </w:rPr>
        <w:t xml:space="preserve"> (</w:t>
      </w:r>
      <w:r w:rsidRPr="000F4138">
        <w:rPr>
          <w:rFonts w:ascii="Arial" w:hAnsi="Arial" w:cs="Arial"/>
          <w:sz w:val="16"/>
          <w:szCs w:val="16"/>
        </w:rPr>
        <w:t>„Службени гласник РС“, број 22/09</w:t>
      </w:r>
      <w:r w:rsidRPr="000F4138">
        <w:rPr>
          <w:rFonts w:ascii="Arial" w:hAnsi="Arial" w:cs="Arial"/>
          <w:sz w:val="16"/>
          <w:szCs w:val="16"/>
          <w:lang w:val="sr-Latn-CS"/>
        </w:rPr>
        <w:t>),</w:t>
      </w:r>
      <w:r w:rsidRPr="000F4138">
        <w:rPr>
          <w:rFonts w:ascii="Arial" w:hAnsi="Arial" w:cs="Arial"/>
          <w:sz w:val="16"/>
          <w:szCs w:val="16"/>
        </w:rPr>
        <w:t xml:space="preserve"> члан 33. став 1. тaч</w:t>
      </w:r>
      <w:r w:rsidR="00D01F80" w:rsidRPr="000F4138">
        <w:rPr>
          <w:rFonts w:ascii="Arial" w:hAnsi="Arial" w:cs="Arial"/>
          <w:sz w:val="16"/>
          <w:szCs w:val="16"/>
          <w:lang w:val="sr-Cyrl-RS"/>
        </w:rPr>
        <w:t>ка</w:t>
      </w:r>
      <w:r w:rsidRPr="000F4138">
        <w:rPr>
          <w:rFonts w:ascii="Arial" w:hAnsi="Arial" w:cs="Arial"/>
          <w:sz w:val="16"/>
          <w:szCs w:val="16"/>
        </w:rPr>
        <w:t xml:space="preserve"> 9.</w:t>
      </w:r>
    </w:p>
  </w:footnote>
  <w:footnote w:id="2">
    <w:p w:rsidR="0064636E" w:rsidRPr="000F4138" w:rsidRDefault="0064636E" w:rsidP="0064636E">
      <w:pPr>
        <w:pStyle w:val="FootnoteText"/>
        <w:rPr>
          <w:rFonts w:ascii="Arial" w:hAnsi="Arial" w:cs="Arial"/>
          <w:sz w:val="16"/>
          <w:szCs w:val="16"/>
          <w:lang w:val="sr-Cyrl-RS"/>
        </w:rPr>
      </w:pPr>
      <w:r w:rsidRPr="000F4138">
        <w:rPr>
          <w:rStyle w:val="FootnoteReference"/>
          <w:rFonts w:ascii="Arial" w:hAnsi="Arial" w:cs="Arial"/>
          <w:sz w:val="16"/>
          <w:szCs w:val="16"/>
        </w:rPr>
        <w:footnoteRef/>
      </w:r>
      <w:r w:rsidRPr="000F4138">
        <w:rPr>
          <w:rFonts w:ascii="Arial" w:hAnsi="Arial" w:cs="Arial"/>
          <w:sz w:val="16"/>
          <w:szCs w:val="16"/>
        </w:rPr>
        <w:t xml:space="preserve"> </w:t>
      </w:r>
      <w:r w:rsidRPr="000F4138">
        <w:rPr>
          <w:rFonts w:ascii="Arial" w:hAnsi="Arial" w:cs="Arial"/>
          <w:sz w:val="16"/>
          <w:szCs w:val="16"/>
          <w:lang w:val="sr-Cyrl-CS"/>
        </w:rPr>
        <w:t>„Службени гласник РС“, бр. 28/20, 66/20, 87/20 и 7/21</w:t>
      </w:r>
    </w:p>
  </w:footnote>
  <w:footnote w:id="3">
    <w:p w:rsidR="0019092F" w:rsidRDefault="0019092F" w:rsidP="0019092F">
      <w:pPr>
        <w:pStyle w:val="FootnoteText"/>
        <w:rPr>
          <w:rFonts w:ascii="Arial" w:hAnsi="Arial" w:cs="Arial"/>
          <w:sz w:val="16"/>
          <w:szCs w:val="16"/>
          <w:lang w:val="sr-Cyrl-RS"/>
        </w:rPr>
      </w:pPr>
      <w:r>
        <w:rPr>
          <w:rStyle w:val="FootnoteReference"/>
          <w:rFonts w:ascii="Arial" w:hAnsi="Arial" w:cs="Arial"/>
          <w:sz w:val="16"/>
          <w:szCs w:val="16"/>
        </w:rPr>
        <w:footnoteRef/>
      </w:r>
      <w:r>
        <w:rPr>
          <w:rFonts w:ascii="Arial" w:hAnsi="Arial" w:cs="Arial"/>
          <w:sz w:val="16"/>
          <w:szCs w:val="16"/>
          <w:lang w:val="sr-Cyrl-RS"/>
        </w:rPr>
        <w:t xml:space="preserve"> Устав Републике Србије („Службени гласник РС”, број 98/06)</w:t>
      </w:r>
    </w:p>
  </w:footnote>
  <w:footnote w:id="4">
    <w:p w:rsidR="000F4138" w:rsidRPr="000F4138" w:rsidRDefault="000F4138">
      <w:pPr>
        <w:pStyle w:val="FootnoteText"/>
        <w:rPr>
          <w:rFonts w:ascii="Arial" w:hAnsi="Arial" w:cs="Arial"/>
          <w:sz w:val="16"/>
          <w:szCs w:val="16"/>
          <w:lang w:val="sr-Cyrl-RS"/>
        </w:rPr>
      </w:pPr>
      <w:r w:rsidRPr="000F4138">
        <w:rPr>
          <w:rStyle w:val="FootnoteReference"/>
          <w:rFonts w:ascii="Arial" w:hAnsi="Arial" w:cs="Arial"/>
          <w:sz w:val="16"/>
          <w:szCs w:val="16"/>
        </w:rPr>
        <w:footnoteRef/>
      </w:r>
      <w:r w:rsidRPr="000F4138">
        <w:rPr>
          <w:rFonts w:ascii="Arial" w:hAnsi="Arial" w:cs="Arial"/>
          <w:sz w:val="16"/>
          <w:szCs w:val="16"/>
        </w:rPr>
        <w:t xml:space="preserve"> </w:t>
      </w:r>
      <w:r w:rsidRPr="000F4138">
        <w:rPr>
          <w:rFonts w:ascii="Arial" w:hAnsi="Arial" w:cs="Arial"/>
          <w:sz w:val="16"/>
          <w:szCs w:val="16"/>
          <w:lang w:val="sr-Cyrl-CS"/>
        </w:rPr>
        <w:t>„Службени гласник РС“, бр. 28/20, 66/20, 87/20 и 7/21</w:t>
      </w:r>
    </w:p>
  </w:footnote>
  <w:footnote w:id="5">
    <w:p w:rsidR="0095664E" w:rsidRPr="000A43EB" w:rsidRDefault="0095664E" w:rsidP="0095664E">
      <w:pPr>
        <w:pStyle w:val="FootnoteText"/>
        <w:rPr>
          <w:rFonts w:ascii="Arial" w:hAnsi="Arial" w:cs="Arial"/>
          <w:b/>
          <w:i/>
          <w:sz w:val="16"/>
          <w:szCs w:val="16"/>
        </w:rPr>
      </w:pPr>
      <w:r w:rsidRPr="000A43EB">
        <w:rPr>
          <w:rStyle w:val="FootnoteReference"/>
          <w:rFonts w:cs="Arial"/>
          <w:sz w:val="16"/>
          <w:szCs w:val="16"/>
        </w:rPr>
        <w:footnoteRef/>
      </w:r>
      <w:r w:rsidRPr="000A43EB">
        <w:rPr>
          <w:rFonts w:ascii="Arial" w:hAnsi="Arial" w:cs="Arial"/>
          <w:sz w:val="16"/>
          <w:szCs w:val="16"/>
        </w:rPr>
        <w:t xml:space="preserve"> </w:t>
      </w:r>
      <w:r w:rsidRPr="000A43EB">
        <w:rPr>
          <w:rFonts w:ascii="Arial" w:hAnsi="Arial" w:cs="Arial"/>
          <w:i/>
          <w:sz w:val="16"/>
          <w:szCs w:val="16"/>
        </w:rPr>
        <w:t>Issue Brief on Older Persons and COVID-19: A Defining Moment for Informed, Inclusive and Targeted Response</w:t>
      </w:r>
      <w:r w:rsidRPr="000A43EB">
        <w:rPr>
          <w:rFonts w:ascii="Arial" w:hAnsi="Arial" w:cs="Arial"/>
          <w:sz w:val="16"/>
          <w:szCs w:val="16"/>
          <w:lang w:val="sr-Cyrl-RS"/>
        </w:rPr>
        <w:t>, Одељењe за економска и социјална питања УН (УНДЕСА), 2020, доступно на интернет страници:</w:t>
      </w:r>
      <w:r w:rsidRPr="000A43EB">
        <w:rPr>
          <w:rFonts w:ascii="Arial" w:hAnsi="Arial" w:cs="Arial"/>
          <w:b/>
          <w:i/>
          <w:sz w:val="16"/>
          <w:szCs w:val="16"/>
          <w:lang w:val="sr-Cyrl-RS"/>
        </w:rPr>
        <w:t xml:space="preserve"> </w:t>
      </w:r>
      <w:hyperlink r:id="rId1" w:history="1">
        <w:r w:rsidRPr="000A43EB">
          <w:rPr>
            <w:rStyle w:val="Hyperlink"/>
            <w:rFonts w:ascii="Arial" w:hAnsi="Arial" w:cs="Arial"/>
            <w:sz w:val="16"/>
            <w:szCs w:val="16"/>
          </w:rPr>
          <w:t>https://www.un.org/development/desa/ageing/wp-content/uploads/sites/24/2020/04/POLICY-BRIEF-ON-COVID19-AND-OLDER-PERSONS.pdf</w:t>
        </w:r>
      </w:hyperlink>
    </w:p>
  </w:footnote>
  <w:footnote w:id="6">
    <w:p w:rsidR="002D7BFC" w:rsidRPr="00243076" w:rsidRDefault="002D7BFC" w:rsidP="002D7BFC">
      <w:pPr>
        <w:pStyle w:val="FootnoteText"/>
        <w:rPr>
          <w:rFonts w:ascii="Arial" w:hAnsi="Arial" w:cs="Arial"/>
          <w:sz w:val="16"/>
          <w:szCs w:val="16"/>
          <w:lang w:val="sr-Cyrl-RS"/>
        </w:rPr>
      </w:pPr>
      <w:r w:rsidRPr="004F77CF">
        <w:rPr>
          <w:rStyle w:val="FootnoteReference"/>
          <w:rFonts w:cs="Arial"/>
          <w:sz w:val="16"/>
          <w:szCs w:val="16"/>
        </w:rPr>
        <w:footnoteRef/>
      </w:r>
      <w:r w:rsidRPr="004F77CF">
        <w:rPr>
          <w:rFonts w:ascii="Arial" w:hAnsi="Arial" w:cs="Arial"/>
          <w:i/>
          <w:sz w:val="16"/>
          <w:szCs w:val="16"/>
        </w:rPr>
        <w:t xml:space="preserve">Policy Brief: The Impact of COVID-19 on older persons, </w:t>
      </w:r>
      <w:r w:rsidRPr="004F77CF">
        <w:rPr>
          <w:rFonts w:ascii="Arial" w:hAnsi="Arial" w:cs="Arial"/>
          <w:sz w:val="16"/>
          <w:szCs w:val="16"/>
          <w:lang w:val="sr-Cyrl-RS"/>
        </w:rPr>
        <w:t>United nation</w:t>
      </w:r>
      <w:r w:rsidRPr="004F77CF">
        <w:rPr>
          <w:rFonts w:ascii="Arial" w:hAnsi="Arial" w:cs="Arial"/>
          <w:sz w:val="16"/>
          <w:szCs w:val="16"/>
          <w:lang w:val="sr-Latn-RS"/>
        </w:rPr>
        <w:t>s</w:t>
      </w:r>
      <w:r w:rsidRPr="004F77CF">
        <w:rPr>
          <w:rFonts w:ascii="Arial" w:hAnsi="Arial" w:cs="Arial"/>
          <w:sz w:val="16"/>
          <w:szCs w:val="16"/>
          <w:lang w:val="sr-Cyrl-RS"/>
        </w:rPr>
        <w:t>,</w:t>
      </w:r>
      <w:r w:rsidRPr="004F77CF">
        <w:rPr>
          <w:rFonts w:ascii="Arial" w:hAnsi="Arial" w:cs="Arial"/>
          <w:i/>
          <w:sz w:val="16"/>
          <w:szCs w:val="16"/>
          <w:lang w:val="sr-Cyrl-RS"/>
        </w:rPr>
        <w:t xml:space="preserve"> </w:t>
      </w:r>
      <w:r w:rsidRPr="004F77CF">
        <w:rPr>
          <w:rFonts w:ascii="Arial" w:hAnsi="Arial" w:cs="Arial"/>
          <w:sz w:val="16"/>
          <w:szCs w:val="16"/>
          <w:lang w:val="sr-Cyrl-RS"/>
        </w:rPr>
        <w:t xml:space="preserve">мај 2020, доступно на интернет страници: </w:t>
      </w:r>
      <w:r w:rsidRPr="004F77CF">
        <w:rPr>
          <w:rFonts w:ascii="Arial" w:hAnsi="Arial" w:cs="Arial"/>
          <w:sz w:val="16"/>
          <w:szCs w:val="16"/>
        </w:rPr>
        <w:t xml:space="preserve"> </w:t>
      </w:r>
      <w:hyperlink r:id="rId2" w:history="1">
        <w:r w:rsidRPr="00243076">
          <w:rPr>
            <w:rStyle w:val="Hyperlink"/>
            <w:rFonts w:ascii="Arial" w:hAnsi="Arial" w:cs="Arial"/>
            <w:sz w:val="16"/>
            <w:szCs w:val="16"/>
          </w:rPr>
          <w:t>https://www.un.org/development/desa/dspd/2020/05/covid19-older-persons/</w:t>
        </w:r>
      </w:hyperlink>
    </w:p>
  </w:footnote>
  <w:footnote w:id="7">
    <w:p w:rsidR="00243076" w:rsidRPr="00243076" w:rsidRDefault="00243076">
      <w:pPr>
        <w:pStyle w:val="FootnoteText"/>
        <w:rPr>
          <w:lang w:val="sr-Cyrl-RS"/>
        </w:rPr>
      </w:pPr>
      <w:r w:rsidRPr="00243076">
        <w:rPr>
          <w:rStyle w:val="FootnoteReference"/>
          <w:rFonts w:ascii="Arial" w:hAnsi="Arial" w:cs="Arial"/>
          <w:sz w:val="16"/>
          <w:szCs w:val="16"/>
        </w:rPr>
        <w:footnoteRef/>
      </w:r>
      <w:r w:rsidRPr="00243076">
        <w:rPr>
          <w:rFonts w:ascii="Arial" w:hAnsi="Arial" w:cs="Arial"/>
          <w:sz w:val="16"/>
          <w:szCs w:val="16"/>
        </w:rPr>
        <w:t xml:space="preserve"> </w:t>
      </w:r>
      <w:r w:rsidR="009B1F91" w:rsidRPr="009B1F91">
        <w:rPr>
          <w:rFonts w:ascii="Arial" w:hAnsi="Arial" w:cs="Arial"/>
          <w:bCs/>
          <w:sz w:val="16"/>
          <w:szCs w:val="16"/>
          <w:lang w:val="sr-Cyrl-RS"/>
        </w:rPr>
        <w:t>Упутство за спречавање и сузбијање епидемије Ковид-19 за пружаоце социјалне услуге смештаја за старије особе и особе са инвалидитетом у саставу социјалне заштите</w:t>
      </w:r>
      <w:r w:rsidR="0009290C">
        <w:rPr>
          <w:rFonts w:ascii="Arial" w:hAnsi="Arial" w:cs="Arial"/>
          <w:sz w:val="16"/>
          <w:szCs w:val="16"/>
          <w:lang w:val="sr-Cyrl-RS"/>
        </w:rPr>
        <w:t>, Република Хрватска, д</w:t>
      </w:r>
      <w:r w:rsidRPr="00243076">
        <w:rPr>
          <w:rFonts w:ascii="Arial" w:hAnsi="Arial" w:cs="Arial"/>
          <w:sz w:val="16"/>
          <w:szCs w:val="16"/>
          <w:lang w:val="sr-Cyrl-RS"/>
        </w:rPr>
        <w:t>оступно на: https://mrosp.gov.hr/pristup-informacijama-16/najcesca-pitanja-i-odgovori/socijalna-politika-11808/11808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5942"/>
    <w:multiLevelType w:val="hybridMultilevel"/>
    <w:tmpl w:val="07A45E3C"/>
    <w:lvl w:ilvl="0" w:tplc="59522EDC">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0D"/>
    <w:rsid w:val="00002FBD"/>
    <w:rsid w:val="00041ABF"/>
    <w:rsid w:val="000439B5"/>
    <w:rsid w:val="00071320"/>
    <w:rsid w:val="0009290C"/>
    <w:rsid w:val="000A391C"/>
    <w:rsid w:val="000B14FC"/>
    <w:rsid w:val="000C1766"/>
    <w:rsid w:val="000C5621"/>
    <w:rsid w:val="000D74D8"/>
    <w:rsid w:val="000E3188"/>
    <w:rsid w:val="000F4138"/>
    <w:rsid w:val="00104365"/>
    <w:rsid w:val="0012164C"/>
    <w:rsid w:val="00135C6D"/>
    <w:rsid w:val="001617F6"/>
    <w:rsid w:val="0019092F"/>
    <w:rsid w:val="00193F86"/>
    <w:rsid w:val="001A4A5E"/>
    <w:rsid w:val="001B5007"/>
    <w:rsid w:val="001D38D1"/>
    <w:rsid w:val="001D6FD9"/>
    <w:rsid w:val="001D738D"/>
    <w:rsid w:val="002033D6"/>
    <w:rsid w:val="00207AC9"/>
    <w:rsid w:val="002140DE"/>
    <w:rsid w:val="00214D34"/>
    <w:rsid w:val="00217A19"/>
    <w:rsid w:val="00217AE7"/>
    <w:rsid w:val="002339F5"/>
    <w:rsid w:val="00243076"/>
    <w:rsid w:val="00245E7D"/>
    <w:rsid w:val="00253619"/>
    <w:rsid w:val="00253D0E"/>
    <w:rsid w:val="00256DEE"/>
    <w:rsid w:val="00261570"/>
    <w:rsid w:val="00265665"/>
    <w:rsid w:val="002944E3"/>
    <w:rsid w:val="00294776"/>
    <w:rsid w:val="00296DD7"/>
    <w:rsid w:val="002A2159"/>
    <w:rsid w:val="002B46D5"/>
    <w:rsid w:val="002B6D8D"/>
    <w:rsid w:val="002D7BFC"/>
    <w:rsid w:val="003001B5"/>
    <w:rsid w:val="00311331"/>
    <w:rsid w:val="003128B7"/>
    <w:rsid w:val="0034575F"/>
    <w:rsid w:val="00362C40"/>
    <w:rsid w:val="00362F86"/>
    <w:rsid w:val="003A275D"/>
    <w:rsid w:val="003C0C14"/>
    <w:rsid w:val="003E1148"/>
    <w:rsid w:val="003E401B"/>
    <w:rsid w:val="00402334"/>
    <w:rsid w:val="004235D7"/>
    <w:rsid w:val="0043685C"/>
    <w:rsid w:val="00447571"/>
    <w:rsid w:val="0047345A"/>
    <w:rsid w:val="00485054"/>
    <w:rsid w:val="004A3321"/>
    <w:rsid w:val="004A363A"/>
    <w:rsid w:val="004A3C03"/>
    <w:rsid w:val="004A6CC4"/>
    <w:rsid w:val="004C4372"/>
    <w:rsid w:val="004C486E"/>
    <w:rsid w:val="004E46AE"/>
    <w:rsid w:val="004F778C"/>
    <w:rsid w:val="005017E7"/>
    <w:rsid w:val="00502CD1"/>
    <w:rsid w:val="00514B18"/>
    <w:rsid w:val="00514CCC"/>
    <w:rsid w:val="00517393"/>
    <w:rsid w:val="00533E99"/>
    <w:rsid w:val="0057469F"/>
    <w:rsid w:val="00574C84"/>
    <w:rsid w:val="005A2AE0"/>
    <w:rsid w:val="005A7B8D"/>
    <w:rsid w:val="005B4161"/>
    <w:rsid w:val="005B7A77"/>
    <w:rsid w:val="005C301F"/>
    <w:rsid w:val="005F4225"/>
    <w:rsid w:val="0060225D"/>
    <w:rsid w:val="00607661"/>
    <w:rsid w:val="006103F2"/>
    <w:rsid w:val="006140F7"/>
    <w:rsid w:val="00622360"/>
    <w:rsid w:val="0063680E"/>
    <w:rsid w:val="0064636E"/>
    <w:rsid w:val="00646635"/>
    <w:rsid w:val="00677053"/>
    <w:rsid w:val="0067751E"/>
    <w:rsid w:val="00681DFF"/>
    <w:rsid w:val="006900B9"/>
    <w:rsid w:val="00695653"/>
    <w:rsid w:val="006A69F8"/>
    <w:rsid w:val="006A7575"/>
    <w:rsid w:val="006B7A36"/>
    <w:rsid w:val="006E2038"/>
    <w:rsid w:val="006E2DE6"/>
    <w:rsid w:val="006F2B05"/>
    <w:rsid w:val="00703007"/>
    <w:rsid w:val="00707E3B"/>
    <w:rsid w:val="00726306"/>
    <w:rsid w:val="00740D58"/>
    <w:rsid w:val="007564A2"/>
    <w:rsid w:val="007614A0"/>
    <w:rsid w:val="00761820"/>
    <w:rsid w:val="00761E00"/>
    <w:rsid w:val="00762A83"/>
    <w:rsid w:val="00764B94"/>
    <w:rsid w:val="00783FF9"/>
    <w:rsid w:val="0078758F"/>
    <w:rsid w:val="007936BA"/>
    <w:rsid w:val="007A73BE"/>
    <w:rsid w:val="007A7824"/>
    <w:rsid w:val="007A7C44"/>
    <w:rsid w:val="007C0370"/>
    <w:rsid w:val="007C210C"/>
    <w:rsid w:val="007C33AA"/>
    <w:rsid w:val="007E7776"/>
    <w:rsid w:val="008008CD"/>
    <w:rsid w:val="0080229D"/>
    <w:rsid w:val="00811BA2"/>
    <w:rsid w:val="00813C10"/>
    <w:rsid w:val="00815D1A"/>
    <w:rsid w:val="00827378"/>
    <w:rsid w:val="00854654"/>
    <w:rsid w:val="00861864"/>
    <w:rsid w:val="00871E04"/>
    <w:rsid w:val="00882925"/>
    <w:rsid w:val="008833C1"/>
    <w:rsid w:val="00893FF8"/>
    <w:rsid w:val="008A1F82"/>
    <w:rsid w:val="008A602B"/>
    <w:rsid w:val="008B0940"/>
    <w:rsid w:val="008B21FC"/>
    <w:rsid w:val="008B68DA"/>
    <w:rsid w:val="008C126A"/>
    <w:rsid w:val="008C2611"/>
    <w:rsid w:val="008E0C7C"/>
    <w:rsid w:val="008E1B28"/>
    <w:rsid w:val="008E3750"/>
    <w:rsid w:val="00915144"/>
    <w:rsid w:val="00935014"/>
    <w:rsid w:val="00943ACC"/>
    <w:rsid w:val="00951F02"/>
    <w:rsid w:val="0095664E"/>
    <w:rsid w:val="009914DD"/>
    <w:rsid w:val="00997341"/>
    <w:rsid w:val="009A1B16"/>
    <w:rsid w:val="009A61B1"/>
    <w:rsid w:val="009B1F91"/>
    <w:rsid w:val="009B44FE"/>
    <w:rsid w:val="009B72B4"/>
    <w:rsid w:val="009D00F8"/>
    <w:rsid w:val="009E58F9"/>
    <w:rsid w:val="009F6B09"/>
    <w:rsid w:val="00A0080B"/>
    <w:rsid w:val="00A06B10"/>
    <w:rsid w:val="00A14295"/>
    <w:rsid w:val="00A224B9"/>
    <w:rsid w:val="00A30268"/>
    <w:rsid w:val="00A35598"/>
    <w:rsid w:val="00A451CC"/>
    <w:rsid w:val="00A51E57"/>
    <w:rsid w:val="00A711DF"/>
    <w:rsid w:val="00A76A7A"/>
    <w:rsid w:val="00A90713"/>
    <w:rsid w:val="00AA175C"/>
    <w:rsid w:val="00AA5238"/>
    <w:rsid w:val="00AA5528"/>
    <w:rsid w:val="00AC4C7C"/>
    <w:rsid w:val="00AD413F"/>
    <w:rsid w:val="00AE3C4D"/>
    <w:rsid w:val="00AE5EC6"/>
    <w:rsid w:val="00B05554"/>
    <w:rsid w:val="00B127B8"/>
    <w:rsid w:val="00B23FF8"/>
    <w:rsid w:val="00B374ED"/>
    <w:rsid w:val="00B415E8"/>
    <w:rsid w:val="00B43612"/>
    <w:rsid w:val="00B80AF2"/>
    <w:rsid w:val="00B84DB4"/>
    <w:rsid w:val="00B856BF"/>
    <w:rsid w:val="00B875CD"/>
    <w:rsid w:val="00B939CD"/>
    <w:rsid w:val="00BA67D2"/>
    <w:rsid w:val="00BB3227"/>
    <w:rsid w:val="00BD55AE"/>
    <w:rsid w:val="00BE3FA1"/>
    <w:rsid w:val="00C01FC5"/>
    <w:rsid w:val="00C020E0"/>
    <w:rsid w:val="00C0355D"/>
    <w:rsid w:val="00C05E0C"/>
    <w:rsid w:val="00C07848"/>
    <w:rsid w:val="00C11306"/>
    <w:rsid w:val="00C12AC4"/>
    <w:rsid w:val="00C1400F"/>
    <w:rsid w:val="00C16908"/>
    <w:rsid w:val="00C16A14"/>
    <w:rsid w:val="00C33250"/>
    <w:rsid w:val="00C4568B"/>
    <w:rsid w:val="00C6090D"/>
    <w:rsid w:val="00C64BAC"/>
    <w:rsid w:val="00C84E35"/>
    <w:rsid w:val="00CB3DDA"/>
    <w:rsid w:val="00CB4E54"/>
    <w:rsid w:val="00D01AF0"/>
    <w:rsid w:val="00D01F80"/>
    <w:rsid w:val="00D13319"/>
    <w:rsid w:val="00D15C0C"/>
    <w:rsid w:val="00D16FCE"/>
    <w:rsid w:val="00D16FFF"/>
    <w:rsid w:val="00D22B06"/>
    <w:rsid w:val="00D24FDE"/>
    <w:rsid w:val="00D45950"/>
    <w:rsid w:val="00D62AF7"/>
    <w:rsid w:val="00D6770E"/>
    <w:rsid w:val="00D73894"/>
    <w:rsid w:val="00D84947"/>
    <w:rsid w:val="00DA2975"/>
    <w:rsid w:val="00DA59A0"/>
    <w:rsid w:val="00DA7997"/>
    <w:rsid w:val="00DC0B3C"/>
    <w:rsid w:val="00DC4C1B"/>
    <w:rsid w:val="00DC4C22"/>
    <w:rsid w:val="00DC4E0D"/>
    <w:rsid w:val="00DD00DC"/>
    <w:rsid w:val="00DD23DD"/>
    <w:rsid w:val="00DD7126"/>
    <w:rsid w:val="00DE6D63"/>
    <w:rsid w:val="00DE769D"/>
    <w:rsid w:val="00DF2F85"/>
    <w:rsid w:val="00E47A02"/>
    <w:rsid w:val="00E56802"/>
    <w:rsid w:val="00E61DD2"/>
    <w:rsid w:val="00E635D6"/>
    <w:rsid w:val="00E64B97"/>
    <w:rsid w:val="00E71E5A"/>
    <w:rsid w:val="00E75A3E"/>
    <w:rsid w:val="00E875CB"/>
    <w:rsid w:val="00E9180D"/>
    <w:rsid w:val="00EA1EAF"/>
    <w:rsid w:val="00EB4714"/>
    <w:rsid w:val="00EC7943"/>
    <w:rsid w:val="00ED03B5"/>
    <w:rsid w:val="00EE035D"/>
    <w:rsid w:val="00EE1AFB"/>
    <w:rsid w:val="00EE4BEF"/>
    <w:rsid w:val="00EF1E7A"/>
    <w:rsid w:val="00F17411"/>
    <w:rsid w:val="00F35201"/>
    <w:rsid w:val="00F50959"/>
    <w:rsid w:val="00F53E2E"/>
    <w:rsid w:val="00F56D7E"/>
    <w:rsid w:val="00F80603"/>
    <w:rsid w:val="00FC06E9"/>
    <w:rsid w:val="00FC6783"/>
    <w:rsid w:val="00FD3E6F"/>
    <w:rsid w:val="00FD6223"/>
    <w:rsid w:val="00FE5D87"/>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0D"/>
    <w:rPr>
      <w:rFonts w:ascii="Calibri" w:eastAsia="Calibri" w:hAnsi="Calibri" w:cs="Times New Roman"/>
      <w:lang w:val="sr-Cyrl-CS"/>
    </w:rPr>
  </w:style>
  <w:style w:type="paragraph" w:styleId="Heading2">
    <w:name w:val="heading 2"/>
    <w:basedOn w:val="Normal"/>
    <w:next w:val="Normal"/>
    <w:link w:val="Heading2Char"/>
    <w:uiPriority w:val="9"/>
    <w:semiHidden/>
    <w:unhideWhenUsed/>
    <w:qFormat/>
    <w:rsid w:val="007C3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9180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180D"/>
    <w:rPr>
      <w:rFonts w:ascii="Calibri" w:eastAsia="Calibri" w:hAnsi="Calibri" w:cs="Times New Roman"/>
      <w:lang w:val="sr-Cyrl-CS"/>
    </w:rPr>
  </w:style>
  <w:style w:type="paragraph" w:customStyle="1" w:styleId="FreeFormAA">
    <w:name w:val="Free Form A A"/>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E9180D"/>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9180D"/>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E9180D"/>
    <w:rPr>
      <w:vertAlign w:val="superscript"/>
    </w:rPr>
  </w:style>
  <w:style w:type="paragraph" w:customStyle="1" w:styleId="Body">
    <w:name w:val="Body"/>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E9180D"/>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E9180D"/>
    <w:pPr>
      <w:spacing w:after="0" w:line="240" w:lineRule="auto"/>
    </w:pPr>
    <w:rPr>
      <w:rFonts w:ascii="Times New Roman" w:eastAsia="Times New Roman" w:hAnsi="Times New Roman" w:cs="Times New Roman"/>
      <w:sz w:val="24"/>
      <w:szCs w:val="24"/>
      <w:lang w:val="en-GB"/>
    </w:rPr>
  </w:style>
  <w:style w:type="character" w:styleId="Hyperlink">
    <w:name w:val="Hyperlink"/>
    <w:uiPriority w:val="99"/>
    <w:unhideWhenUsed/>
    <w:rsid w:val="00E9180D"/>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E9180D"/>
    <w:pPr>
      <w:spacing w:after="160" w:line="240" w:lineRule="exact"/>
    </w:pPr>
    <w:rPr>
      <w:rFonts w:asciiTheme="minorHAnsi" w:eastAsiaTheme="minorHAnsi" w:hAnsiTheme="minorHAnsi" w:cstheme="minorBidi"/>
      <w:vertAlign w:val="superscript"/>
      <w:lang w:val="sr-Latn-RS"/>
    </w:rPr>
  </w:style>
  <w:style w:type="paragraph" w:styleId="NormalWeb">
    <w:name w:val="Normal (Web)"/>
    <w:basedOn w:val="Normal"/>
    <w:uiPriority w:val="99"/>
    <w:semiHidden/>
    <w:unhideWhenUsed/>
    <w:rsid w:val="00002FBD"/>
    <w:rPr>
      <w:rFonts w:ascii="Times New Roman" w:hAnsi="Times New Roman"/>
      <w:sz w:val="24"/>
      <w:szCs w:val="24"/>
    </w:rPr>
  </w:style>
  <w:style w:type="character" w:customStyle="1" w:styleId="Heading2Char">
    <w:name w:val="Heading 2 Char"/>
    <w:basedOn w:val="DefaultParagraphFont"/>
    <w:link w:val="Heading2"/>
    <w:uiPriority w:val="9"/>
    <w:semiHidden/>
    <w:rsid w:val="007C33AA"/>
    <w:rPr>
      <w:rFonts w:asciiTheme="majorHAnsi" w:eastAsiaTheme="majorEastAsia" w:hAnsiTheme="majorHAnsi" w:cstheme="majorBidi"/>
      <w:b/>
      <w:bCs/>
      <w:color w:val="4F81BD" w:themeColor="accent1"/>
      <w:sz w:val="26"/>
      <w:szCs w:val="26"/>
      <w:lang w:val="sr-Cyrl-CS"/>
    </w:rPr>
  </w:style>
  <w:style w:type="paragraph" w:styleId="BalloonText">
    <w:name w:val="Balloon Text"/>
    <w:basedOn w:val="Normal"/>
    <w:link w:val="BalloonTextChar"/>
    <w:uiPriority w:val="99"/>
    <w:semiHidden/>
    <w:unhideWhenUsed/>
    <w:rsid w:val="0080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9D"/>
    <w:rPr>
      <w:rFonts w:ascii="Tahoma" w:eastAsia="Calibri" w:hAnsi="Tahoma" w:cs="Tahoma"/>
      <w:sz w:val="16"/>
      <w:szCs w:val="16"/>
      <w:lang w:val="sr-Cyrl-CS"/>
    </w:rPr>
  </w:style>
  <w:style w:type="character" w:styleId="FollowedHyperlink">
    <w:name w:val="FollowedHyperlink"/>
    <w:basedOn w:val="DefaultParagraphFont"/>
    <w:uiPriority w:val="99"/>
    <w:semiHidden/>
    <w:unhideWhenUsed/>
    <w:rsid w:val="009566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0D"/>
    <w:rPr>
      <w:rFonts w:ascii="Calibri" w:eastAsia="Calibri" w:hAnsi="Calibri" w:cs="Times New Roman"/>
      <w:lang w:val="sr-Cyrl-CS"/>
    </w:rPr>
  </w:style>
  <w:style w:type="paragraph" w:styleId="Heading2">
    <w:name w:val="heading 2"/>
    <w:basedOn w:val="Normal"/>
    <w:next w:val="Normal"/>
    <w:link w:val="Heading2Char"/>
    <w:uiPriority w:val="9"/>
    <w:semiHidden/>
    <w:unhideWhenUsed/>
    <w:qFormat/>
    <w:rsid w:val="007C3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9180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180D"/>
    <w:rPr>
      <w:rFonts w:ascii="Calibri" w:eastAsia="Calibri" w:hAnsi="Calibri" w:cs="Times New Roman"/>
      <w:lang w:val="sr-Cyrl-CS"/>
    </w:rPr>
  </w:style>
  <w:style w:type="paragraph" w:customStyle="1" w:styleId="FreeFormAA">
    <w:name w:val="Free Form A A"/>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E9180D"/>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9180D"/>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E9180D"/>
    <w:rPr>
      <w:vertAlign w:val="superscript"/>
    </w:rPr>
  </w:style>
  <w:style w:type="paragraph" w:customStyle="1" w:styleId="Body">
    <w:name w:val="Body"/>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E9180D"/>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E9180D"/>
    <w:pPr>
      <w:spacing w:after="0" w:line="240" w:lineRule="auto"/>
    </w:pPr>
    <w:rPr>
      <w:rFonts w:ascii="Times New Roman" w:eastAsia="Times New Roman" w:hAnsi="Times New Roman" w:cs="Times New Roman"/>
      <w:sz w:val="24"/>
      <w:szCs w:val="24"/>
      <w:lang w:val="en-GB"/>
    </w:rPr>
  </w:style>
  <w:style w:type="character" w:styleId="Hyperlink">
    <w:name w:val="Hyperlink"/>
    <w:uiPriority w:val="99"/>
    <w:unhideWhenUsed/>
    <w:rsid w:val="00E9180D"/>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E9180D"/>
    <w:pPr>
      <w:spacing w:after="160" w:line="240" w:lineRule="exact"/>
    </w:pPr>
    <w:rPr>
      <w:rFonts w:asciiTheme="minorHAnsi" w:eastAsiaTheme="minorHAnsi" w:hAnsiTheme="minorHAnsi" w:cstheme="minorBidi"/>
      <w:vertAlign w:val="superscript"/>
      <w:lang w:val="sr-Latn-RS"/>
    </w:rPr>
  </w:style>
  <w:style w:type="paragraph" w:styleId="NormalWeb">
    <w:name w:val="Normal (Web)"/>
    <w:basedOn w:val="Normal"/>
    <w:uiPriority w:val="99"/>
    <w:semiHidden/>
    <w:unhideWhenUsed/>
    <w:rsid w:val="00002FBD"/>
    <w:rPr>
      <w:rFonts w:ascii="Times New Roman" w:hAnsi="Times New Roman"/>
      <w:sz w:val="24"/>
      <w:szCs w:val="24"/>
    </w:rPr>
  </w:style>
  <w:style w:type="character" w:customStyle="1" w:styleId="Heading2Char">
    <w:name w:val="Heading 2 Char"/>
    <w:basedOn w:val="DefaultParagraphFont"/>
    <w:link w:val="Heading2"/>
    <w:uiPriority w:val="9"/>
    <w:semiHidden/>
    <w:rsid w:val="007C33AA"/>
    <w:rPr>
      <w:rFonts w:asciiTheme="majorHAnsi" w:eastAsiaTheme="majorEastAsia" w:hAnsiTheme="majorHAnsi" w:cstheme="majorBidi"/>
      <w:b/>
      <w:bCs/>
      <w:color w:val="4F81BD" w:themeColor="accent1"/>
      <w:sz w:val="26"/>
      <w:szCs w:val="26"/>
      <w:lang w:val="sr-Cyrl-CS"/>
    </w:rPr>
  </w:style>
  <w:style w:type="paragraph" w:styleId="BalloonText">
    <w:name w:val="Balloon Text"/>
    <w:basedOn w:val="Normal"/>
    <w:link w:val="BalloonTextChar"/>
    <w:uiPriority w:val="99"/>
    <w:semiHidden/>
    <w:unhideWhenUsed/>
    <w:rsid w:val="0080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9D"/>
    <w:rPr>
      <w:rFonts w:ascii="Tahoma" w:eastAsia="Calibri" w:hAnsi="Tahoma" w:cs="Tahoma"/>
      <w:sz w:val="16"/>
      <w:szCs w:val="16"/>
      <w:lang w:val="sr-Cyrl-CS"/>
    </w:rPr>
  </w:style>
  <w:style w:type="character" w:styleId="FollowedHyperlink">
    <w:name w:val="FollowedHyperlink"/>
    <w:basedOn w:val="DefaultParagraphFont"/>
    <w:uiPriority w:val="99"/>
    <w:semiHidden/>
    <w:unhideWhenUsed/>
    <w:rsid w:val="009566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814">
      <w:bodyDiv w:val="1"/>
      <w:marLeft w:val="0"/>
      <w:marRight w:val="0"/>
      <w:marTop w:val="0"/>
      <w:marBottom w:val="0"/>
      <w:divBdr>
        <w:top w:val="none" w:sz="0" w:space="0" w:color="auto"/>
        <w:left w:val="none" w:sz="0" w:space="0" w:color="auto"/>
        <w:bottom w:val="none" w:sz="0" w:space="0" w:color="auto"/>
        <w:right w:val="none" w:sz="0" w:space="0" w:color="auto"/>
      </w:divBdr>
    </w:div>
    <w:div w:id="81222917">
      <w:bodyDiv w:val="1"/>
      <w:marLeft w:val="0"/>
      <w:marRight w:val="0"/>
      <w:marTop w:val="0"/>
      <w:marBottom w:val="0"/>
      <w:divBdr>
        <w:top w:val="none" w:sz="0" w:space="0" w:color="auto"/>
        <w:left w:val="none" w:sz="0" w:space="0" w:color="auto"/>
        <w:bottom w:val="none" w:sz="0" w:space="0" w:color="auto"/>
        <w:right w:val="none" w:sz="0" w:space="0" w:color="auto"/>
      </w:divBdr>
    </w:div>
    <w:div w:id="802190532">
      <w:bodyDiv w:val="1"/>
      <w:marLeft w:val="0"/>
      <w:marRight w:val="0"/>
      <w:marTop w:val="0"/>
      <w:marBottom w:val="0"/>
      <w:divBdr>
        <w:top w:val="none" w:sz="0" w:space="0" w:color="auto"/>
        <w:left w:val="none" w:sz="0" w:space="0" w:color="auto"/>
        <w:bottom w:val="none" w:sz="0" w:space="0" w:color="auto"/>
        <w:right w:val="none" w:sz="0" w:space="0" w:color="auto"/>
      </w:divBdr>
    </w:div>
    <w:div w:id="906458006">
      <w:bodyDiv w:val="1"/>
      <w:marLeft w:val="0"/>
      <w:marRight w:val="0"/>
      <w:marTop w:val="0"/>
      <w:marBottom w:val="0"/>
      <w:divBdr>
        <w:top w:val="none" w:sz="0" w:space="0" w:color="auto"/>
        <w:left w:val="none" w:sz="0" w:space="0" w:color="auto"/>
        <w:bottom w:val="none" w:sz="0" w:space="0" w:color="auto"/>
        <w:right w:val="none" w:sz="0" w:space="0" w:color="auto"/>
      </w:divBdr>
    </w:div>
    <w:div w:id="102852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dspd/2020/05/covid19-older-persons/" TargetMode="External"/><Relationship Id="rId1" Type="http://schemas.openxmlformats.org/officeDocument/2006/relationships/hyperlink" Target="https://www.un.org/development/desa/ageing/wp-content/uploads/sites/24/2020/04/POLICY-BRIEF-ON-COVID19-AND-OLDER-PERS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56E1-5D4A-4710-B418-E9E78093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Windows User</cp:lastModifiedBy>
  <cp:revision>9</cp:revision>
  <cp:lastPrinted>2021-02-19T08:57:00Z</cp:lastPrinted>
  <dcterms:created xsi:type="dcterms:W3CDTF">2021-02-18T13:40:00Z</dcterms:created>
  <dcterms:modified xsi:type="dcterms:W3CDTF">2021-02-19T12:54:00Z</dcterms:modified>
</cp:coreProperties>
</file>