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63" w:rsidRPr="00186BA7" w:rsidRDefault="00186BA7" w:rsidP="00E05AD9">
      <w:pPr>
        <w:tabs>
          <w:tab w:val="left" w:pos="734"/>
        </w:tabs>
        <w:jc w:val="center"/>
        <w:rPr>
          <w:rFonts w:ascii="Arial" w:hAnsi="Arial" w:cs="Arial"/>
        </w:rPr>
      </w:pPr>
      <w:r w:rsidRPr="00186BA7">
        <w:rPr>
          <w:rFonts w:ascii="Arial" w:hAnsi="Arial" w:cs="Arial"/>
        </w:rPr>
        <w:t>ANEKS C: NABAVKA</w:t>
      </w:r>
    </w:p>
    <w:p w:rsidR="00186BA7" w:rsidRPr="00186BA7" w:rsidRDefault="00186BA7" w:rsidP="00E61D63">
      <w:pPr>
        <w:jc w:val="center"/>
        <w:rPr>
          <w:rFonts w:ascii="Arial" w:hAnsi="Arial" w:cs="Arial"/>
        </w:rPr>
      </w:pPr>
      <w:r w:rsidRPr="00186BA7">
        <w:rPr>
          <w:rFonts w:ascii="Arial" w:hAnsi="Arial" w:cs="Arial"/>
        </w:rPr>
        <w:t>U KONTEKSTU PROJEKTA KOJI FINANSIRA</w:t>
      </w:r>
    </w:p>
    <w:p w:rsidR="00186BA7" w:rsidRPr="00186BA7" w:rsidRDefault="00186BA7" w:rsidP="00E61D63">
      <w:pPr>
        <w:jc w:val="center"/>
        <w:rPr>
          <w:rFonts w:ascii="Arial" w:hAnsi="Arial" w:cs="Arial"/>
        </w:rPr>
      </w:pPr>
      <w:r w:rsidRPr="00186BA7">
        <w:rPr>
          <w:rFonts w:ascii="Arial" w:hAnsi="Arial" w:cs="Arial"/>
        </w:rPr>
        <w:t>MINISTARSTVO SPOLJNIH POSLOVA NORVEŠKE</w:t>
      </w:r>
    </w:p>
    <w:p w:rsidR="00186BA7" w:rsidRPr="00186BA7" w:rsidRDefault="00186BA7" w:rsidP="00E61D63">
      <w:pPr>
        <w:jc w:val="center"/>
        <w:rPr>
          <w:rFonts w:ascii="Arial" w:hAnsi="Arial" w:cs="Arial"/>
        </w:rPr>
      </w:pPr>
    </w:p>
    <w:p w:rsidR="00186BA7" w:rsidRDefault="00186BA7" w:rsidP="00186BA7">
      <w:pPr>
        <w:rPr>
          <w:rFonts w:ascii="Arial" w:hAnsi="Arial" w:cs="Arial"/>
        </w:rPr>
      </w:pPr>
      <w:r w:rsidRPr="00186BA7">
        <w:rPr>
          <w:rFonts w:ascii="Arial" w:hAnsi="Arial" w:cs="Arial"/>
        </w:rPr>
        <w:t>Partner primenjuje svoja pravila nabavke</w:t>
      </w:r>
      <w:r>
        <w:rPr>
          <w:rFonts w:ascii="Arial" w:hAnsi="Arial" w:cs="Arial"/>
        </w:rPr>
        <w:t xml:space="preserve"> ukoliko ona garantuju poštovanje međunarodno priznatih standarda. Ukoliko pravila ne pružaju ekvivalentne garancije, ili u posebnim slučajevima, MFA i Partner će se dogovoriti o primeni drugih procedura nabavke koje pružaju takve garancije. </w:t>
      </w:r>
      <w:r w:rsidR="00361557">
        <w:rPr>
          <w:rFonts w:ascii="Arial" w:hAnsi="Arial" w:cs="Arial"/>
        </w:rPr>
        <w:t>U ovom slučaju, pravila koja treba slediti su data u Ugovoru o grantu.</w:t>
      </w:r>
    </w:p>
    <w:p w:rsidR="00186BA7" w:rsidRDefault="00186BA7" w:rsidP="00186BA7">
      <w:pPr>
        <w:rPr>
          <w:rFonts w:ascii="Arial" w:hAnsi="Arial" w:cs="Arial"/>
        </w:rPr>
      </w:pPr>
      <w:r>
        <w:rPr>
          <w:rFonts w:ascii="Arial" w:hAnsi="Arial" w:cs="Arial"/>
        </w:rPr>
        <w:t>Bez obzira na navedeno, sva nabavka koju u kontekstu Projekta sprovodi Partner biće u skladu sa principima i odredbama navedenim u Aneksu C.</w:t>
      </w:r>
    </w:p>
    <w:p w:rsidR="00C00C09" w:rsidRPr="00C00C09" w:rsidRDefault="00C00C09" w:rsidP="00C00C09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C00C09">
        <w:rPr>
          <w:rFonts w:ascii="Arial" w:hAnsi="Arial" w:cs="Arial"/>
          <w:b/>
        </w:rPr>
        <w:t>UVOD</w:t>
      </w:r>
    </w:p>
    <w:p w:rsidR="00C00C09" w:rsidRDefault="00C00C09" w:rsidP="00C00C09">
      <w:pPr>
        <w:pStyle w:val="ListParagraph"/>
        <w:ind w:left="360"/>
        <w:rPr>
          <w:rFonts w:ascii="Arial" w:hAnsi="Arial" w:cs="Arial"/>
        </w:rPr>
      </w:pPr>
    </w:p>
    <w:p w:rsidR="00C00C09" w:rsidRDefault="00C00C09" w:rsidP="00C00C0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Aneks C postavlja pravila nabavke i principe koje će Partner primenjivati pri nabavci dobara, usluga ili radova vezanih za Projekat finansiran od strane Ministarstva spoljnih poslova (MFA). </w:t>
      </w:r>
      <w:r w:rsidR="003221E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ogu biti određena </w:t>
      </w:r>
      <w:r w:rsidR="003221E8">
        <w:rPr>
          <w:rFonts w:ascii="Arial" w:hAnsi="Arial" w:cs="Arial"/>
        </w:rPr>
        <w:t>s</w:t>
      </w:r>
      <w:r w:rsidR="003221E8">
        <w:rPr>
          <w:rFonts w:ascii="Arial" w:hAnsi="Arial" w:cs="Arial"/>
        </w:rPr>
        <w:t>trožija pravila</w:t>
      </w:r>
      <w:r w:rsidR="003221E8">
        <w:rPr>
          <w:rFonts w:ascii="Arial" w:hAnsi="Arial" w:cs="Arial"/>
        </w:rPr>
        <w:t>,</w:t>
      </w:r>
      <w:r w:rsidR="0032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 dopuna obavezujućih minimalnih pravila koja su postavljena Aneksom C.</w:t>
      </w:r>
    </w:p>
    <w:p w:rsidR="00C00C09" w:rsidRDefault="00C00C09" w:rsidP="00C00C09">
      <w:pPr>
        <w:pStyle w:val="ListParagraph"/>
        <w:ind w:left="792"/>
        <w:rPr>
          <w:rFonts w:ascii="Arial" w:hAnsi="Arial" w:cs="Arial"/>
        </w:rPr>
      </w:pPr>
    </w:p>
    <w:p w:rsidR="00C00C09" w:rsidRDefault="00C00C09" w:rsidP="00C00C0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MFA može izvršiti naknadne provere </w:t>
      </w:r>
      <w:r w:rsidR="00184424">
        <w:rPr>
          <w:rFonts w:ascii="Arial" w:hAnsi="Arial" w:cs="Arial"/>
        </w:rPr>
        <w:t>kako bi ustanovilo da li Partner postupa u skladu sa pravilima navedenim u Aneksu C.</w:t>
      </w:r>
    </w:p>
    <w:p w:rsidR="00184424" w:rsidRPr="00184424" w:rsidRDefault="00184424" w:rsidP="00184424">
      <w:pPr>
        <w:pStyle w:val="ListParagraph"/>
        <w:rPr>
          <w:rFonts w:ascii="Arial" w:hAnsi="Arial" w:cs="Arial"/>
        </w:rPr>
      </w:pPr>
    </w:p>
    <w:p w:rsidR="00184424" w:rsidRDefault="00184424" w:rsidP="00C00C0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Ukoliko dođe do odstupanja od pravila koja su navedena u Aneksu C, MFA neće biti odgovorno za troškove Projekta koji su nastali kao posledica tih odstupanja, što može dovesti do zadržavanja sredstava ili zahteva za povraćaj u skladu sa članom 20 Ugovora o grantu.</w:t>
      </w:r>
    </w:p>
    <w:p w:rsidR="004112A0" w:rsidRPr="004112A0" w:rsidRDefault="004112A0" w:rsidP="004112A0">
      <w:pPr>
        <w:pStyle w:val="ListParagraph"/>
        <w:rPr>
          <w:rFonts w:ascii="Arial" w:hAnsi="Arial" w:cs="Arial"/>
        </w:rPr>
      </w:pPr>
    </w:p>
    <w:p w:rsidR="004112A0" w:rsidRDefault="004112A0" w:rsidP="00C00C0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Ugovori neće biti veštački podeljeni kako bi se zaobišle granične sume predviđene procedurom nabavke. Svi novčani iznosi koji se pominju u Aneksu C su izraženi bez  poreza na dodatu vrednost (PDV).</w:t>
      </w:r>
    </w:p>
    <w:p w:rsidR="00A460CD" w:rsidRPr="00A460CD" w:rsidRDefault="00A460CD" w:rsidP="00A460CD">
      <w:pPr>
        <w:pStyle w:val="ListParagraph"/>
        <w:rPr>
          <w:rFonts w:ascii="Arial" w:hAnsi="Arial" w:cs="Arial"/>
        </w:rPr>
      </w:pPr>
    </w:p>
    <w:p w:rsidR="00A460CD" w:rsidRDefault="00A460CD" w:rsidP="00C00C0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Odredbe o nabavci će se takođe primeniti na sve nabavke koje sprovode Partnerovi saradnici ili drugi. Partner će biti odgovoran za poštovanje ovih pravila, bez obzira da li nabavku sprovodi Partner, </w:t>
      </w:r>
      <w:r w:rsidR="00190D13">
        <w:rPr>
          <w:rFonts w:ascii="Arial" w:hAnsi="Arial" w:cs="Arial"/>
        </w:rPr>
        <w:t>saradnici</w:t>
      </w:r>
      <w:r>
        <w:rPr>
          <w:rFonts w:ascii="Arial" w:hAnsi="Arial" w:cs="Arial"/>
        </w:rPr>
        <w:t xml:space="preserve"> ili ostali.</w:t>
      </w:r>
    </w:p>
    <w:p w:rsidR="00E05AD9" w:rsidRPr="00E05AD9" w:rsidRDefault="00E05AD9" w:rsidP="00E05AD9">
      <w:pPr>
        <w:pStyle w:val="ListParagraph"/>
        <w:rPr>
          <w:rFonts w:ascii="Arial" w:hAnsi="Arial" w:cs="Arial"/>
        </w:rPr>
      </w:pPr>
    </w:p>
    <w:p w:rsidR="00E05AD9" w:rsidRDefault="00E05AD9" w:rsidP="00E05AD9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OSNOVNI PRINCIPI</w:t>
      </w:r>
    </w:p>
    <w:p w:rsidR="00E05AD9" w:rsidRPr="00C00C09" w:rsidRDefault="00E05AD9" w:rsidP="00E05AD9">
      <w:pPr>
        <w:pStyle w:val="ListParagraph"/>
        <w:ind w:left="360"/>
        <w:rPr>
          <w:rFonts w:ascii="Arial" w:hAnsi="Arial" w:cs="Arial"/>
          <w:b/>
        </w:rPr>
      </w:pPr>
    </w:p>
    <w:p w:rsidR="00E05AD9" w:rsidRDefault="00E05AD9" w:rsidP="00E05AD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Ukoliko</w:t>
      </w:r>
      <w:r w:rsidR="003221E8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Projekt</w:t>
      </w:r>
      <w:r w:rsidR="003221E8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zahteva</w:t>
      </w:r>
      <w:r w:rsidR="003221E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da Partner izvrši nabavku, ugovor mora biti sklopljen u skladu sa tenderskom procedurom, sa ponuđačem koji ima ekonomski najbolju ponudu (npr. ponuđač koji ima najbolji rezultat zasnovan na odnosu cene i kvaliteta) ili ukoliko je odgovarajuće, sa ponuđačem koji je ponudio najnižu cenu. Tom prilikom, Partner će izbeći</w:t>
      </w:r>
      <w:r w:rsidR="003221E8">
        <w:rPr>
          <w:rFonts w:ascii="Arial" w:hAnsi="Arial" w:cs="Arial"/>
        </w:rPr>
        <w:t xml:space="preserve"> svaki sukob interesa i poštovat</w:t>
      </w:r>
      <w:r>
        <w:rPr>
          <w:rFonts w:ascii="Arial" w:hAnsi="Arial" w:cs="Arial"/>
        </w:rPr>
        <w:t>i sledeće osnovne principe:</w:t>
      </w:r>
    </w:p>
    <w:p w:rsidR="00E05AD9" w:rsidRDefault="00E05AD9" w:rsidP="00E05AD9">
      <w:pPr>
        <w:pStyle w:val="ListParagraph"/>
        <w:ind w:left="792"/>
        <w:rPr>
          <w:rFonts w:ascii="Arial" w:hAnsi="Arial" w:cs="Arial"/>
        </w:rPr>
      </w:pPr>
    </w:p>
    <w:p w:rsidR="00E05AD9" w:rsidRDefault="00E05AD9" w:rsidP="00E05AD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05AD9">
        <w:rPr>
          <w:rFonts w:ascii="Arial" w:hAnsi="Arial" w:cs="Arial"/>
          <w:b/>
        </w:rPr>
        <w:t>Konkurencija</w:t>
      </w:r>
      <w:r>
        <w:rPr>
          <w:rFonts w:ascii="Arial" w:hAnsi="Arial" w:cs="Arial"/>
        </w:rPr>
        <w:t>: Primenjene procedure i dodela ugovora će biti zasnovani na pravičnom</w:t>
      </w:r>
      <w:r w:rsidRPr="00E05AD9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>.</w:t>
      </w:r>
    </w:p>
    <w:p w:rsidR="00E05AD9" w:rsidRDefault="00E05AD9" w:rsidP="00E05AD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05AD9">
        <w:rPr>
          <w:rFonts w:ascii="Arial" w:hAnsi="Arial" w:cs="Arial"/>
          <w:b/>
        </w:rPr>
        <w:lastRenderedPageBreak/>
        <w:t>Jednak tretman i ne-diskriminacija</w:t>
      </w:r>
      <w:r>
        <w:rPr>
          <w:rFonts w:ascii="Arial" w:hAnsi="Arial" w:cs="Arial"/>
        </w:rPr>
        <w:t>: Pravo učešća u tenderskoj proceduri će biti otvoreno za sva fizička i pravna lica</w:t>
      </w:r>
      <w:r w:rsidR="003221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jednak način. Tokom celog procesa nabavke i dodele ugovora, Partner neće d</w:t>
      </w:r>
      <w:r w:rsidR="003221E8">
        <w:rPr>
          <w:rFonts w:ascii="Arial" w:hAnsi="Arial" w:cs="Arial"/>
        </w:rPr>
        <w:t>iskriminisati kandidate/učesnike tendera ili grupe kandidata/učesnika tendera</w:t>
      </w:r>
      <w:r>
        <w:rPr>
          <w:rFonts w:ascii="Arial" w:hAnsi="Arial" w:cs="Arial"/>
        </w:rPr>
        <w:t>.</w:t>
      </w:r>
    </w:p>
    <w:p w:rsidR="00E05AD9" w:rsidRDefault="00E05AD9" w:rsidP="00E05AD9">
      <w:pPr>
        <w:pStyle w:val="ListParagraph"/>
        <w:ind w:left="1152"/>
        <w:rPr>
          <w:rFonts w:ascii="Arial" w:hAnsi="Arial" w:cs="Arial"/>
        </w:rPr>
      </w:pPr>
    </w:p>
    <w:p w:rsidR="00E05AD9" w:rsidRDefault="00E05AD9" w:rsidP="00E05AD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3639B">
        <w:rPr>
          <w:rFonts w:ascii="Arial" w:hAnsi="Arial" w:cs="Arial"/>
          <w:b/>
        </w:rPr>
        <w:t>Transparentnos</w:t>
      </w:r>
      <w:r w:rsidR="00BB2B96" w:rsidRPr="0093639B">
        <w:rPr>
          <w:rFonts w:ascii="Arial" w:hAnsi="Arial" w:cs="Arial"/>
          <w:b/>
        </w:rPr>
        <w:t>t</w:t>
      </w:r>
      <w:r w:rsidRPr="0093639B">
        <w:rPr>
          <w:rFonts w:ascii="Arial" w:hAnsi="Arial" w:cs="Arial"/>
          <w:b/>
        </w:rPr>
        <w:t xml:space="preserve"> i </w:t>
      </w:r>
      <w:r w:rsidR="00BB2B96" w:rsidRPr="0093639B">
        <w:rPr>
          <w:rFonts w:ascii="Arial" w:hAnsi="Arial" w:cs="Arial"/>
          <w:b/>
        </w:rPr>
        <w:t>najava nabavke</w:t>
      </w:r>
      <w:r w:rsidR="0093639B">
        <w:rPr>
          <w:rFonts w:ascii="Arial" w:hAnsi="Arial" w:cs="Arial"/>
        </w:rPr>
        <w:t>: Opšte pravilo je da će tenderske procedure biti zasnovane na prethodnoj objavi. Ukoliko Partner ne započne otvorenu tendersku proceduru, biće u oba</w:t>
      </w:r>
      <w:r w:rsidR="003221E8">
        <w:rPr>
          <w:rFonts w:ascii="Arial" w:hAnsi="Arial" w:cs="Arial"/>
        </w:rPr>
        <w:t>vezi da obrazloži izbor učesnika tendera</w:t>
      </w:r>
      <w:r w:rsidR="0093639B">
        <w:rPr>
          <w:rFonts w:ascii="Arial" w:hAnsi="Arial" w:cs="Arial"/>
        </w:rPr>
        <w:t xml:space="preserve"> koji su pozvani da daju ponudu.</w:t>
      </w:r>
    </w:p>
    <w:p w:rsidR="0093639B" w:rsidRPr="0093639B" w:rsidRDefault="0093639B" w:rsidP="0093639B">
      <w:pPr>
        <w:pStyle w:val="ListParagraph"/>
        <w:rPr>
          <w:rFonts w:ascii="Arial" w:hAnsi="Arial" w:cs="Arial"/>
        </w:rPr>
      </w:pPr>
    </w:p>
    <w:p w:rsidR="0093639B" w:rsidRDefault="0093639B" w:rsidP="00E05AD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3639B">
        <w:rPr>
          <w:rFonts w:ascii="Arial" w:hAnsi="Arial" w:cs="Arial"/>
          <w:b/>
        </w:rPr>
        <w:t>Objektivni kriterijum</w:t>
      </w:r>
      <w:r>
        <w:rPr>
          <w:rFonts w:ascii="Arial" w:hAnsi="Arial" w:cs="Arial"/>
        </w:rPr>
        <w:t>: Partner će oceniti pristigle ponude na osnovu objektivnih kriterijuma, koji će omogućiti Partneru da</w:t>
      </w:r>
      <w:bookmarkStart w:id="0" w:name="_GoBack"/>
      <w:bookmarkEnd w:id="0"/>
      <w:r>
        <w:rPr>
          <w:rFonts w:ascii="Arial" w:hAnsi="Arial" w:cs="Arial"/>
        </w:rPr>
        <w:t xml:space="preserve"> izmeri kvalitet ponuda i uzme u obzir cenu (ponuda sa najnižom cenom će dobiti najvišu ocenu za kriterijum cene). Kriterijumi treba da budu unapred definisani i relevantni za ugovor koji je u pitanju.</w:t>
      </w:r>
    </w:p>
    <w:p w:rsidR="0093639B" w:rsidRPr="0093639B" w:rsidRDefault="0093639B" w:rsidP="0093639B">
      <w:pPr>
        <w:pStyle w:val="ListParagraph"/>
        <w:rPr>
          <w:rFonts w:ascii="Arial" w:hAnsi="Arial" w:cs="Arial"/>
        </w:rPr>
      </w:pPr>
    </w:p>
    <w:p w:rsidR="0093639B" w:rsidRDefault="00AA0214" w:rsidP="00E05AD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A0214">
        <w:rPr>
          <w:rFonts w:ascii="Arial" w:hAnsi="Arial" w:cs="Arial"/>
          <w:b/>
        </w:rPr>
        <w:t>Evidencija</w:t>
      </w:r>
      <w:r>
        <w:rPr>
          <w:rFonts w:ascii="Arial" w:hAnsi="Arial" w:cs="Arial"/>
        </w:rPr>
        <w:t>: Partner će čuvati dovoljan broj odgovar</w:t>
      </w:r>
      <w:r w:rsidR="005C1B2E">
        <w:rPr>
          <w:rFonts w:ascii="Arial" w:hAnsi="Arial" w:cs="Arial"/>
        </w:rPr>
        <w:t>ajućih dokumenata i drugih zapis</w:t>
      </w:r>
      <w:r>
        <w:rPr>
          <w:rFonts w:ascii="Arial" w:hAnsi="Arial" w:cs="Arial"/>
        </w:rPr>
        <w:t xml:space="preserve">a u vezi procedure, procene i odlučivanja o </w:t>
      </w:r>
      <w:r w:rsidR="00A82B22">
        <w:rPr>
          <w:rFonts w:ascii="Arial" w:hAnsi="Arial" w:cs="Arial"/>
        </w:rPr>
        <w:t>odabiru prihvaćenih ponuda</w:t>
      </w:r>
      <w:r>
        <w:rPr>
          <w:rFonts w:ascii="Arial" w:hAnsi="Arial" w:cs="Arial"/>
        </w:rPr>
        <w:t>.</w:t>
      </w:r>
    </w:p>
    <w:p w:rsidR="00AA0214" w:rsidRPr="00AA0214" w:rsidRDefault="00AA0214" w:rsidP="00AA0214">
      <w:pPr>
        <w:pStyle w:val="ListParagraph"/>
        <w:rPr>
          <w:rFonts w:ascii="Arial" w:hAnsi="Arial" w:cs="Arial"/>
        </w:rPr>
      </w:pPr>
    </w:p>
    <w:p w:rsidR="00F07A78" w:rsidRDefault="00F07A78" w:rsidP="00F07A78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KVALIFIKOVANI UČESNICI TENDERA</w:t>
      </w:r>
    </w:p>
    <w:p w:rsidR="00AA0214" w:rsidRPr="00E05AD9" w:rsidRDefault="00AA0214" w:rsidP="00AA0214">
      <w:pPr>
        <w:pStyle w:val="ListParagraph"/>
        <w:ind w:left="1152"/>
        <w:rPr>
          <w:rFonts w:ascii="Arial" w:hAnsi="Arial" w:cs="Arial"/>
        </w:rPr>
      </w:pPr>
    </w:p>
    <w:p w:rsidR="00E05AD9" w:rsidRDefault="00F07A78" w:rsidP="00E05AD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Učesnici tendera moraju da obezbede informacije o pravnom obliku i vlasničkoj strukturi.</w:t>
      </w:r>
    </w:p>
    <w:p w:rsidR="00F07A78" w:rsidRDefault="00F07A78" w:rsidP="00F07A78">
      <w:pPr>
        <w:pStyle w:val="ListParagraph"/>
        <w:ind w:left="792"/>
        <w:rPr>
          <w:rFonts w:ascii="Arial" w:hAnsi="Arial" w:cs="Arial"/>
        </w:rPr>
      </w:pPr>
    </w:p>
    <w:p w:rsidR="00F07A78" w:rsidRDefault="00F07A78" w:rsidP="00E05AD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Učesnici tendera će biti isključeni iz proced</w:t>
      </w:r>
      <w:r w:rsidR="004A5717">
        <w:rPr>
          <w:rFonts w:ascii="Arial" w:hAnsi="Arial" w:cs="Arial"/>
        </w:rPr>
        <w:t>ure nabavke ukoliko</w:t>
      </w:r>
      <w:r>
        <w:rPr>
          <w:rFonts w:ascii="Arial" w:hAnsi="Arial" w:cs="Arial"/>
        </w:rPr>
        <w:t>:</w:t>
      </w:r>
    </w:p>
    <w:p w:rsidR="004A5717" w:rsidRPr="004A5717" w:rsidRDefault="004A5717" w:rsidP="004A5717">
      <w:pPr>
        <w:pStyle w:val="ListParagraph"/>
        <w:rPr>
          <w:rFonts w:ascii="Arial" w:hAnsi="Arial" w:cs="Arial"/>
        </w:rPr>
      </w:pPr>
    </w:p>
    <w:p w:rsidR="004A5717" w:rsidRDefault="004A5717" w:rsidP="004A571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su u bankrotu ili stečaju, sudskom postupku u kome se odlučuje o njihovom poslovanju, postupku prinudne naplate, ukoliko su njihove poslovne aktivnosti suspendovane ili su u postupku koji se tiče navedenih stvari ili u sličnoj situaciji koja je proistekla iz slične procedure regulisane nacionalnim zakonskim i drugim propisima</w:t>
      </w:r>
      <w:r w:rsidR="009C41BD">
        <w:rPr>
          <w:rFonts w:ascii="Arial" w:hAnsi="Arial" w:cs="Arial"/>
        </w:rPr>
        <w:t>. Ipak, učesnici tendera koji su u ovakvoj situaciji mogu učestovati ukoliko je Partner u mogućnosti da od njih kupi predmete nabavke po izuzetno povoljnim uslovima, bilo da se radi o dobavljaču koji sigurno obnavlja svoje poslovne aktivnosti ili o poveriocu likvidacije, bankrota, prinudne naplate ili putem slične procedure definisane nacionalnim zakonodavstvom.</w:t>
      </w:r>
    </w:p>
    <w:p w:rsidR="004A5717" w:rsidRDefault="004A5717" w:rsidP="004A5717">
      <w:pPr>
        <w:pStyle w:val="ListParagraph"/>
        <w:ind w:left="1152"/>
        <w:rPr>
          <w:rFonts w:ascii="Arial" w:hAnsi="Arial" w:cs="Arial"/>
        </w:rPr>
      </w:pPr>
    </w:p>
    <w:p w:rsidR="004A5717" w:rsidRDefault="008F5EE8" w:rsidP="004A571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 oni lično ili osobe koje imaju ovlašćenje da ih zastupaju, donose odluke ili </w:t>
      </w:r>
      <w:r w:rsidR="00CB2ECC">
        <w:rPr>
          <w:rFonts w:ascii="Arial" w:hAnsi="Arial" w:cs="Arial"/>
        </w:rPr>
        <w:t>kontrolišu</w:t>
      </w:r>
      <w:r>
        <w:rPr>
          <w:rFonts w:ascii="Arial" w:hAnsi="Arial" w:cs="Arial"/>
        </w:rPr>
        <w:t>, bili pravnosnažnom presudom osuđeni za kršenje zakona zbog svog poslovnog ponašanja;</w:t>
      </w:r>
    </w:p>
    <w:p w:rsidR="008F5EE8" w:rsidRPr="008F5EE8" w:rsidRDefault="008F5EE8" w:rsidP="008F5EE8">
      <w:pPr>
        <w:pStyle w:val="ListParagraph"/>
        <w:rPr>
          <w:rFonts w:ascii="Arial" w:hAnsi="Arial" w:cs="Arial"/>
        </w:rPr>
      </w:pPr>
    </w:p>
    <w:p w:rsidR="008F5EE8" w:rsidRDefault="008F5EE8" w:rsidP="004A571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su krivi za izuzetno loše profesionalno ponašanje, što je dokazano na svaki način koji Partner može da opravda;</w:t>
      </w:r>
    </w:p>
    <w:p w:rsidR="008F5EE8" w:rsidRPr="008F5EE8" w:rsidRDefault="008F5EE8" w:rsidP="008F5EE8">
      <w:pPr>
        <w:pStyle w:val="ListParagraph"/>
        <w:rPr>
          <w:rFonts w:ascii="Arial" w:hAnsi="Arial" w:cs="Arial"/>
        </w:rPr>
      </w:pPr>
    </w:p>
    <w:p w:rsidR="008F5EE8" w:rsidRDefault="008F5EE8" w:rsidP="004A571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nisu ispunili obaveze plaćanja doprinosa za socijalno osiguranje ili porez u skladu sa zakonskim odredbama države u kojoj su osnovani ili u državi Partnera ili državi u kojoj ugovor treba da bude izvršen;</w:t>
      </w:r>
    </w:p>
    <w:p w:rsidR="008F5EE8" w:rsidRDefault="008F5EE8" w:rsidP="008F5EE8">
      <w:pPr>
        <w:pStyle w:val="ListParagraph"/>
        <w:rPr>
          <w:rFonts w:ascii="Arial" w:hAnsi="Arial" w:cs="Arial"/>
        </w:rPr>
      </w:pPr>
    </w:p>
    <w:p w:rsidR="008F5EE8" w:rsidRPr="008F5EE8" w:rsidRDefault="008F5EE8" w:rsidP="008F5EE8">
      <w:pPr>
        <w:pStyle w:val="ListParagraph"/>
        <w:rPr>
          <w:rFonts w:ascii="Arial" w:hAnsi="Arial" w:cs="Arial"/>
        </w:rPr>
      </w:pPr>
    </w:p>
    <w:p w:rsidR="008F5EE8" w:rsidRDefault="00CB2ECC" w:rsidP="004A571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 oni ili osobe koje imaju ovlašćenje da ih zastupaju, donose odluke ili kontrolišu,  pravnosnažno osuđeni za prevaru, korupciju, umešanost u kriminalne organizacije ili pranje novca;</w:t>
      </w:r>
    </w:p>
    <w:p w:rsidR="00CB2ECC" w:rsidRDefault="00CB2ECC" w:rsidP="00CB2ECC">
      <w:pPr>
        <w:pStyle w:val="ListParagraph"/>
        <w:ind w:left="1152"/>
        <w:rPr>
          <w:rFonts w:ascii="Arial" w:hAnsi="Arial" w:cs="Arial"/>
        </w:rPr>
      </w:pPr>
    </w:p>
    <w:p w:rsidR="00CB2ECC" w:rsidRDefault="00CB2ECC" w:rsidP="004A571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iskorišćavaju dečiji rad ili prinudni rad i/ili vrše diskriminaciju i/ili ne poštuju prava na slobodu udruživanja</w:t>
      </w:r>
      <w:r w:rsidR="00DF5F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organizovanj</w:t>
      </w:r>
      <w:r w:rsidR="00DF5FEB">
        <w:rPr>
          <w:rFonts w:ascii="Arial" w:hAnsi="Arial" w:cs="Arial"/>
        </w:rPr>
        <w:t>a i angažovanja</w:t>
      </w:r>
      <w:r>
        <w:rPr>
          <w:rFonts w:ascii="Arial" w:hAnsi="Arial" w:cs="Arial"/>
        </w:rPr>
        <w:t xml:space="preserve"> u kolektivnim pregovorima u skladu sa </w:t>
      </w:r>
      <w:r w:rsidR="00DF5FEB">
        <w:rPr>
          <w:rFonts w:ascii="Arial" w:hAnsi="Arial" w:cs="Arial"/>
        </w:rPr>
        <w:t xml:space="preserve">osnovnim </w:t>
      </w:r>
      <w:r>
        <w:rPr>
          <w:rFonts w:ascii="Arial" w:hAnsi="Arial" w:cs="Arial"/>
        </w:rPr>
        <w:t>konvencijam</w:t>
      </w:r>
      <w:r w:rsidR="00DF5FEB">
        <w:rPr>
          <w:rFonts w:ascii="Arial" w:hAnsi="Arial" w:cs="Arial"/>
        </w:rPr>
        <w:t>a Međunarodne organizacije rada (MOR).</w:t>
      </w:r>
    </w:p>
    <w:p w:rsidR="004A5717" w:rsidRPr="004A5717" w:rsidRDefault="004A5717" w:rsidP="004A5717">
      <w:pPr>
        <w:pStyle w:val="ListParagraph"/>
        <w:rPr>
          <w:rFonts w:ascii="Arial" w:hAnsi="Arial" w:cs="Arial"/>
        </w:rPr>
      </w:pPr>
    </w:p>
    <w:p w:rsidR="004A5717" w:rsidRDefault="00C4149D" w:rsidP="00E05AD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Učesnici tendera će pismeno potvrditi da se ne nalaze ni u jednoj od gore opisanih situacija. Iako će učesnici tendera dati takvu potvrdu, Partner će istražiti bilo koju od gore navedenih situacija ukoliko ima razumnog osnova da sumnja u sadržaj takvih potvrda.</w:t>
      </w:r>
    </w:p>
    <w:p w:rsidR="00DD7492" w:rsidRDefault="00DD7492" w:rsidP="00DD7492">
      <w:pPr>
        <w:pStyle w:val="ListParagraph"/>
        <w:ind w:left="792"/>
        <w:rPr>
          <w:rFonts w:ascii="Arial" w:hAnsi="Arial" w:cs="Arial"/>
        </w:rPr>
      </w:pPr>
    </w:p>
    <w:p w:rsidR="00DD7492" w:rsidRDefault="00DD7492" w:rsidP="00E05AD9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Ugovori neće biti sklopljeni sa učesnicima tendera koji tokom procedure nabavke budu bili:</w:t>
      </w:r>
    </w:p>
    <w:p w:rsidR="00DD7492" w:rsidRPr="00DD7492" w:rsidRDefault="00DD7492" w:rsidP="00DD7492">
      <w:pPr>
        <w:pStyle w:val="ListParagraph"/>
        <w:rPr>
          <w:rFonts w:ascii="Arial" w:hAnsi="Arial" w:cs="Arial"/>
        </w:rPr>
      </w:pPr>
    </w:p>
    <w:p w:rsidR="00DD7492" w:rsidRDefault="00993F2A" w:rsidP="00DD749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podložni</w:t>
      </w:r>
      <w:r w:rsidR="00DD7492">
        <w:rPr>
          <w:rFonts w:ascii="Arial" w:hAnsi="Arial" w:cs="Arial"/>
        </w:rPr>
        <w:t xml:space="preserve"> sukobu interesa;</w:t>
      </w:r>
    </w:p>
    <w:p w:rsidR="00993F2A" w:rsidRDefault="00993F2A" w:rsidP="00993F2A">
      <w:pPr>
        <w:pStyle w:val="ListParagraph"/>
        <w:ind w:left="1152"/>
        <w:rPr>
          <w:rFonts w:ascii="Arial" w:hAnsi="Arial" w:cs="Arial"/>
        </w:rPr>
      </w:pPr>
    </w:p>
    <w:p w:rsidR="00DD7492" w:rsidRDefault="00993F2A" w:rsidP="00DD749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odgovorni</w:t>
      </w:r>
      <w:r w:rsidR="00DD7492">
        <w:rPr>
          <w:rFonts w:ascii="Arial" w:hAnsi="Arial" w:cs="Arial"/>
        </w:rPr>
        <w:t xml:space="preserve"> za pogrešno predstavljanje informacija dostavljenih na zahtev Partnera, kao uslov za učešće u tenderskoj proceduri, ili za nedostavljanje ovih informacija.</w:t>
      </w:r>
    </w:p>
    <w:p w:rsidR="00993F2A" w:rsidRPr="00993F2A" w:rsidRDefault="00993F2A" w:rsidP="00993F2A">
      <w:pPr>
        <w:pStyle w:val="ListParagraph"/>
        <w:rPr>
          <w:rFonts w:ascii="Arial" w:hAnsi="Arial" w:cs="Arial"/>
        </w:rPr>
      </w:pPr>
    </w:p>
    <w:p w:rsidR="00993F2A" w:rsidRDefault="00993F2A" w:rsidP="00993F2A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OPŠTA PRAVILA NABAVKE</w:t>
      </w:r>
    </w:p>
    <w:p w:rsidR="00DD7492" w:rsidRPr="00DD7492" w:rsidRDefault="00DD7492" w:rsidP="00DD7492">
      <w:pPr>
        <w:pStyle w:val="ListParagraph"/>
        <w:rPr>
          <w:rFonts w:ascii="Arial" w:hAnsi="Arial" w:cs="Arial"/>
        </w:rPr>
      </w:pPr>
    </w:p>
    <w:p w:rsidR="00E05AD9" w:rsidRDefault="00993F2A" w:rsidP="00993F2A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Tenderska dokumentacija će biti izrađena u skladu sa najboljom međunarodnom praksom. Partner može dobrovoljno da koristi modele koji su objavljeni u Praktičnom vodiču o evropskoj pomoći -Practical Guide on the Europe Aid na (EU) veb sajtu.</w:t>
      </w:r>
    </w:p>
    <w:p w:rsidR="00993F2A" w:rsidRDefault="00993F2A" w:rsidP="00993F2A">
      <w:pPr>
        <w:pStyle w:val="ListParagraph"/>
        <w:ind w:left="792"/>
        <w:rPr>
          <w:rFonts w:ascii="Arial" w:hAnsi="Arial" w:cs="Arial"/>
        </w:rPr>
      </w:pPr>
    </w:p>
    <w:p w:rsidR="00993F2A" w:rsidRDefault="00661373" w:rsidP="00993F2A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Partner će uzeti u obzir univerzalni dizajn i mogući uticaj na životnu sredinu svih planiranih nabavki.</w:t>
      </w:r>
    </w:p>
    <w:p w:rsidR="00661373" w:rsidRPr="00661373" w:rsidRDefault="00661373" w:rsidP="00661373">
      <w:pPr>
        <w:pStyle w:val="ListParagraph"/>
        <w:rPr>
          <w:rFonts w:ascii="Arial" w:hAnsi="Arial" w:cs="Arial"/>
        </w:rPr>
      </w:pPr>
    </w:p>
    <w:p w:rsidR="00661373" w:rsidRDefault="00661373" w:rsidP="00993F2A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Svi pozivi na tender će sadržati informaciju da će ponude biti odbačene ukoliko dođe do bilo kakvih korupcionih aktivnosti u vezi sa odabirom najbolje ponude. U svim ugovorima koji su zaključeni u okviru Projekta biće navedeno da Partner može da </w:t>
      </w:r>
      <w:r w:rsidR="004153C2">
        <w:rPr>
          <w:rFonts w:ascii="Arial" w:hAnsi="Arial" w:cs="Arial"/>
        </w:rPr>
        <w:t>raskine ugovor ukoliko se dokaže da je bilo nelegalnih ili korupcionih aktivnosti u vezi sa zaključenjem ugovora ili njegovim izvršenjem.</w:t>
      </w:r>
    </w:p>
    <w:p w:rsidR="004153C2" w:rsidRPr="004153C2" w:rsidRDefault="004153C2" w:rsidP="004153C2">
      <w:pPr>
        <w:pStyle w:val="ListParagraph"/>
        <w:rPr>
          <w:rFonts w:ascii="Arial" w:hAnsi="Arial" w:cs="Arial"/>
        </w:rPr>
      </w:pPr>
    </w:p>
    <w:p w:rsidR="004153C2" w:rsidRDefault="004153C2" w:rsidP="00993F2A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Vremenski rokovi za prijem tenderskih ponuda i zahteva za učestvovanjem moraju biti dovoljni da omoguće zainteresovanim stranama razuman i odgovarajući period za pripremu i predaju njihovih ponuda za tender.</w:t>
      </w:r>
    </w:p>
    <w:p w:rsidR="001C0E8C" w:rsidRPr="001C0E8C" w:rsidRDefault="001C0E8C" w:rsidP="001C0E8C">
      <w:pPr>
        <w:pStyle w:val="ListParagraph"/>
        <w:rPr>
          <w:rFonts w:ascii="Arial" w:hAnsi="Arial" w:cs="Arial"/>
        </w:rPr>
      </w:pPr>
    </w:p>
    <w:p w:rsidR="001C0E8C" w:rsidRDefault="001C0E8C" w:rsidP="00993F2A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Komisija za procenu mora biti postavljeno tako da ocenjuje prijave i/ili tendere u vrednosti od 500.000 NOK ili više na osnovu kriterijuma isključiv</w:t>
      </w:r>
      <w:r w:rsidR="008F4F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nja, odabira i dodele. Komisija mora imati neparan broj članova, najmanje tri, </w:t>
      </w:r>
      <w:r w:rsidR="00DE7E40">
        <w:rPr>
          <w:rFonts w:ascii="Arial" w:hAnsi="Arial" w:cs="Arial"/>
        </w:rPr>
        <w:t xml:space="preserve">kao i tehničke i administrativne kapacitete koji su neophodni za donošenje </w:t>
      </w:r>
      <w:r w:rsidR="005C1B2E">
        <w:rPr>
          <w:rFonts w:ascii="Arial" w:hAnsi="Arial" w:cs="Arial"/>
        </w:rPr>
        <w:t>obrazloženog</w:t>
      </w:r>
      <w:r w:rsidR="008F4F96">
        <w:rPr>
          <w:rFonts w:ascii="Arial" w:hAnsi="Arial" w:cs="Arial"/>
        </w:rPr>
        <w:t xml:space="preserve"> mišljenja o tenderu.</w:t>
      </w:r>
    </w:p>
    <w:p w:rsidR="005C1B2E" w:rsidRPr="005C1B2E" w:rsidRDefault="005C1B2E" w:rsidP="005C1B2E">
      <w:pPr>
        <w:pStyle w:val="ListParagraph"/>
        <w:rPr>
          <w:rFonts w:ascii="Arial" w:hAnsi="Arial" w:cs="Arial"/>
        </w:rPr>
      </w:pPr>
    </w:p>
    <w:p w:rsidR="005C1B2E" w:rsidRPr="005C1B2E" w:rsidRDefault="005C1B2E" w:rsidP="005C1B2E">
      <w:pPr>
        <w:rPr>
          <w:rFonts w:ascii="Arial" w:hAnsi="Arial" w:cs="Arial"/>
        </w:rPr>
      </w:pPr>
    </w:p>
    <w:p w:rsidR="005C1B2E" w:rsidRPr="005C1B2E" w:rsidRDefault="005C1B2E" w:rsidP="005C1B2E">
      <w:pPr>
        <w:pStyle w:val="ListParagraph"/>
        <w:rPr>
          <w:rFonts w:ascii="Arial" w:hAnsi="Arial" w:cs="Arial"/>
        </w:rPr>
      </w:pPr>
    </w:p>
    <w:p w:rsidR="005C1B2E" w:rsidRPr="00993F2A" w:rsidRDefault="005C1B2E" w:rsidP="00993F2A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 ugovore čija vrednost prelazi 100.000 NOK, Partner će sastaviti pisani zapis sa dokumentacijom o svim procenama i odlukama kroz ceo tok procesa nabavke, od faze planiranja do potpisivanja ugovora. Na zahtev MFA, Partner će dostaviti pisani zapis MFA i odobriti pristup MFA svim relevantnim informacijama i dokumentaciji u vezi sa procedurom nabavke i primenjenim postupcima.</w:t>
      </w:r>
    </w:p>
    <w:p w:rsidR="00C00C09" w:rsidRPr="00186BA7" w:rsidRDefault="00C00C09" w:rsidP="00186BA7">
      <w:pPr>
        <w:rPr>
          <w:rFonts w:ascii="Arial" w:hAnsi="Arial" w:cs="Arial"/>
        </w:rPr>
      </w:pPr>
    </w:p>
    <w:p w:rsidR="00E61D63" w:rsidRDefault="00E61D63" w:rsidP="00E61D63">
      <w:pPr>
        <w:jc w:val="center"/>
        <w:rPr>
          <w:lang w:val="en-US"/>
        </w:rPr>
      </w:pPr>
    </w:p>
    <w:sectPr w:rsidR="00E61D63" w:rsidSect="000B6857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E3" w:rsidRDefault="007434E3" w:rsidP="00A509DF">
      <w:pPr>
        <w:spacing w:after="0" w:line="240" w:lineRule="auto"/>
      </w:pPr>
      <w:r>
        <w:separator/>
      </w:r>
    </w:p>
  </w:endnote>
  <w:endnote w:type="continuationSeparator" w:id="0">
    <w:p w:rsidR="007434E3" w:rsidRDefault="007434E3" w:rsidP="00A5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5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F6D" w:rsidRDefault="00A97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1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7F6D" w:rsidRDefault="00A97F6D" w:rsidP="00A509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E3" w:rsidRDefault="007434E3" w:rsidP="00A509DF">
      <w:pPr>
        <w:spacing w:after="0" w:line="240" w:lineRule="auto"/>
      </w:pPr>
      <w:r>
        <w:separator/>
      </w:r>
    </w:p>
  </w:footnote>
  <w:footnote w:type="continuationSeparator" w:id="0">
    <w:p w:rsidR="007434E3" w:rsidRDefault="007434E3" w:rsidP="00A5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22"/>
      <w:gridCol w:w="3598"/>
      <w:gridCol w:w="1843"/>
      <w:gridCol w:w="1525"/>
    </w:tblGrid>
    <w:tr w:rsidR="00A97F6D" w:rsidTr="00A509DF">
      <w:tc>
        <w:tcPr>
          <w:tcW w:w="2322" w:type="dxa"/>
          <w:vMerge w:val="restart"/>
        </w:tcPr>
        <w:p w:rsidR="00A97F6D" w:rsidRPr="00A509DF" w:rsidRDefault="00A97F6D">
          <w:pPr>
            <w:pStyle w:val="Header"/>
            <w:rPr>
              <w:sz w:val="20"/>
              <w:szCs w:val="20"/>
            </w:rPr>
          </w:pPr>
          <w:r w:rsidRPr="00A509DF">
            <w:rPr>
              <w:sz w:val="20"/>
              <w:szCs w:val="20"/>
            </w:rPr>
            <w:t>Templejt:</w:t>
          </w:r>
        </w:p>
        <w:p w:rsidR="00A97F6D" w:rsidRDefault="00A97F6D">
          <w:pPr>
            <w:pStyle w:val="Header"/>
          </w:pPr>
          <w:r w:rsidRPr="00A509DF">
            <w:rPr>
              <w:sz w:val="20"/>
              <w:szCs w:val="20"/>
            </w:rPr>
            <w:t>Ugovor o grantu</w:t>
          </w:r>
        </w:p>
      </w:tc>
      <w:tc>
        <w:tcPr>
          <w:tcW w:w="3598" w:type="dxa"/>
        </w:tcPr>
        <w:p w:rsidR="00A97F6D" w:rsidRDefault="00A97F6D">
          <w:pPr>
            <w:pStyle w:val="Header"/>
          </w:pPr>
          <w:r>
            <w:t>Entiteti stranih vlada</w:t>
          </w:r>
        </w:p>
      </w:tc>
      <w:tc>
        <w:tcPr>
          <w:tcW w:w="1843" w:type="dxa"/>
        </w:tcPr>
        <w:p w:rsidR="00A97F6D" w:rsidRDefault="00A97F6D">
          <w:pPr>
            <w:pStyle w:val="Header"/>
          </w:pPr>
          <w:r>
            <w:t>Br. izmena</w:t>
          </w:r>
        </w:p>
      </w:tc>
      <w:tc>
        <w:tcPr>
          <w:tcW w:w="1525" w:type="dxa"/>
        </w:tcPr>
        <w:p w:rsidR="00A97F6D" w:rsidRDefault="00A97F6D">
          <w:pPr>
            <w:pStyle w:val="Header"/>
          </w:pPr>
          <w:r>
            <w:t>1</w:t>
          </w:r>
        </w:p>
      </w:tc>
    </w:tr>
    <w:tr w:rsidR="00A97F6D" w:rsidTr="00A509DF">
      <w:tc>
        <w:tcPr>
          <w:tcW w:w="2322" w:type="dxa"/>
          <w:vMerge/>
        </w:tcPr>
        <w:p w:rsidR="00A97F6D" w:rsidRDefault="00A97F6D">
          <w:pPr>
            <w:pStyle w:val="Header"/>
          </w:pPr>
        </w:p>
      </w:tc>
      <w:tc>
        <w:tcPr>
          <w:tcW w:w="3598" w:type="dxa"/>
        </w:tcPr>
        <w:p w:rsidR="00A97F6D" w:rsidRDefault="00A97F6D">
          <w:pPr>
            <w:pStyle w:val="Header"/>
          </w:pPr>
          <w:r>
            <w:t>Režim upravljanja grantovima 1</w:t>
          </w:r>
        </w:p>
      </w:tc>
      <w:tc>
        <w:tcPr>
          <w:tcW w:w="1843" w:type="dxa"/>
        </w:tcPr>
        <w:p w:rsidR="00A97F6D" w:rsidRDefault="00A97F6D">
          <w:pPr>
            <w:pStyle w:val="Header"/>
          </w:pPr>
          <w:r>
            <w:t>Datum</w:t>
          </w:r>
        </w:p>
      </w:tc>
      <w:tc>
        <w:tcPr>
          <w:tcW w:w="1525" w:type="dxa"/>
        </w:tcPr>
        <w:p w:rsidR="00A97F6D" w:rsidRDefault="00A97F6D">
          <w:pPr>
            <w:pStyle w:val="Header"/>
          </w:pPr>
          <w:r>
            <w:t>01.03.2016.</w:t>
          </w:r>
        </w:p>
      </w:tc>
    </w:tr>
  </w:tbl>
  <w:p w:rsidR="00A97F6D" w:rsidRDefault="00A97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A2A"/>
    <w:multiLevelType w:val="hybridMultilevel"/>
    <w:tmpl w:val="B9A45AEE"/>
    <w:lvl w:ilvl="0" w:tplc="14A67F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AD1B47"/>
    <w:multiLevelType w:val="hybridMultilevel"/>
    <w:tmpl w:val="76A658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910"/>
    <w:multiLevelType w:val="hybridMultilevel"/>
    <w:tmpl w:val="4CAA9AFE"/>
    <w:lvl w:ilvl="0" w:tplc="5AC81B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F7581A"/>
    <w:multiLevelType w:val="hybridMultilevel"/>
    <w:tmpl w:val="7EA02BD0"/>
    <w:lvl w:ilvl="0" w:tplc="1D129054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1E76BE"/>
    <w:multiLevelType w:val="multilevel"/>
    <w:tmpl w:val="88C21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25346252"/>
    <w:multiLevelType w:val="hybridMultilevel"/>
    <w:tmpl w:val="A4F6259C"/>
    <w:lvl w:ilvl="0" w:tplc="9CE480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236E4D"/>
    <w:multiLevelType w:val="hybridMultilevel"/>
    <w:tmpl w:val="9F7C092E"/>
    <w:lvl w:ilvl="0" w:tplc="E4F630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584506"/>
    <w:multiLevelType w:val="hybridMultilevel"/>
    <w:tmpl w:val="F88A88B0"/>
    <w:lvl w:ilvl="0" w:tplc="7F4C2A9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72" w:hanging="360"/>
      </w:pPr>
    </w:lvl>
    <w:lvl w:ilvl="2" w:tplc="241A001B" w:tentative="1">
      <w:start w:val="1"/>
      <w:numFmt w:val="lowerRoman"/>
      <w:lvlText w:val="%3."/>
      <w:lvlJc w:val="right"/>
      <w:pPr>
        <w:ind w:left="2592" w:hanging="180"/>
      </w:pPr>
    </w:lvl>
    <w:lvl w:ilvl="3" w:tplc="241A000F" w:tentative="1">
      <w:start w:val="1"/>
      <w:numFmt w:val="decimal"/>
      <w:lvlText w:val="%4."/>
      <w:lvlJc w:val="left"/>
      <w:pPr>
        <w:ind w:left="3312" w:hanging="360"/>
      </w:pPr>
    </w:lvl>
    <w:lvl w:ilvl="4" w:tplc="241A0019" w:tentative="1">
      <w:start w:val="1"/>
      <w:numFmt w:val="lowerLetter"/>
      <w:lvlText w:val="%5."/>
      <w:lvlJc w:val="left"/>
      <w:pPr>
        <w:ind w:left="4032" w:hanging="360"/>
      </w:pPr>
    </w:lvl>
    <w:lvl w:ilvl="5" w:tplc="241A001B" w:tentative="1">
      <w:start w:val="1"/>
      <w:numFmt w:val="lowerRoman"/>
      <w:lvlText w:val="%6."/>
      <w:lvlJc w:val="right"/>
      <w:pPr>
        <w:ind w:left="4752" w:hanging="180"/>
      </w:pPr>
    </w:lvl>
    <w:lvl w:ilvl="6" w:tplc="241A000F" w:tentative="1">
      <w:start w:val="1"/>
      <w:numFmt w:val="decimal"/>
      <w:lvlText w:val="%7."/>
      <w:lvlJc w:val="left"/>
      <w:pPr>
        <w:ind w:left="5472" w:hanging="360"/>
      </w:pPr>
    </w:lvl>
    <w:lvl w:ilvl="7" w:tplc="241A0019" w:tentative="1">
      <w:start w:val="1"/>
      <w:numFmt w:val="lowerLetter"/>
      <w:lvlText w:val="%8."/>
      <w:lvlJc w:val="left"/>
      <w:pPr>
        <w:ind w:left="6192" w:hanging="360"/>
      </w:pPr>
    </w:lvl>
    <w:lvl w:ilvl="8" w:tplc="24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2D460A51"/>
    <w:multiLevelType w:val="hybridMultilevel"/>
    <w:tmpl w:val="1F508A00"/>
    <w:lvl w:ilvl="0" w:tplc="EC8EB0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0E4538"/>
    <w:multiLevelType w:val="hybridMultilevel"/>
    <w:tmpl w:val="C4E652C6"/>
    <w:lvl w:ilvl="0" w:tplc="093EEB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FE23A2"/>
    <w:multiLevelType w:val="hybridMultilevel"/>
    <w:tmpl w:val="58D2C6D8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58B2996"/>
    <w:multiLevelType w:val="hybridMultilevel"/>
    <w:tmpl w:val="507CFE1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01DA7"/>
    <w:multiLevelType w:val="hybridMultilevel"/>
    <w:tmpl w:val="95B26C74"/>
    <w:lvl w:ilvl="0" w:tplc="498632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4A6110"/>
    <w:multiLevelType w:val="hybridMultilevel"/>
    <w:tmpl w:val="9F145BA8"/>
    <w:lvl w:ilvl="0" w:tplc="A52655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8506F4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1E2EFE"/>
    <w:multiLevelType w:val="hybridMultilevel"/>
    <w:tmpl w:val="ABEE4E64"/>
    <w:lvl w:ilvl="0" w:tplc="909C5BCA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82C677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2F6633"/>
    <w:multiLevelType w:val="multilevel"/>
    <w:tmpl w:val="0CD4952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8A6B04"/>
    <w:multiLevelType w:val="multilevel"/>
    <w:tmpl w:val="7C2E82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6895723E"/>
    <w:multiLevelType w:val="hybridMultilevel"/>
    <w:tmpl w:val="7CFE9CC4"/>
    <w:lvl w:ilvl="0" w:tplc="BB30D7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A32BB9"/>
    <w:multiLevelType w:val="hybridMultilevel"/>
    <w:tmpl w:val="F87A003E"/>
    <w:lvl w:ilvl="0" w:tplc="CFFEE98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72" w:hanging="360"/>
      </w:pPr>
    </w:lvl>
    <w:lvl w:ilvl="2" w:tplc="241A001B" w:tentative="1">
      <w:start w:val="1"/>
      <w:numFmt w:val="lowerRoman"/>
      <w:lvlText w:val="%3."/>
      <w:lvlJc w:val="right"/>
      <w:pPr>
        <w:ind w:left="2592" w:hanging="180"/>
      </w:pPr>
    </w:lvl>
    <w:lvl w:ilvl="3" w:tplc="241A000F" w:tentative="1">
      <w:start w:val="1"/>
      <w:numFmt w:val="decimal"/>
      <w:lvlText w:val="%4."/>
      <w:lvlJc w:val="left"/>
      <w:pPr>
        <w:ind w:left="3312" w:hanging="360"/>
      </w:pPr>
    </w:lvl>
    <w:lvl w:ilvl="4" w:tplc="241A0019" w:tentative="1">
      <w:start w:val="1"/>
      <w:numFmt w:val="lowerLetter"/>
      <w:lvlText w:val="%5."/>
      <w:lvlJc w:val="left"/>
      <w:pPr>
        <w:ind w:left="4032" w:hanging="360"/>
      </w:pPr>
    </w:lvl>
    <w:lvl w:ilvl="5" w:tplc="241A001B" w:tentative="1">
      <w:start w:val="1"/>
      <w:numFmt w:val="lowerRoman"/>
      <w:lvlText w:val="%6."/>
      <w:lvlJc w:val="right"/>
      <w:pPr>
        <w:ind w:left="4752" w:hanging="180"/>
      </w:pPr>
    </w:lvl>
    <w:lvl w:ilvl="6" w:tplc="241A000F" w:tentative="1">
      <w:start w:val="1"/>
      <w:numFmt w:val="decimal"/>
      <w:lvlText w:val="%7."/>
      <w:lvlJc w:val="left"/>
      <w:pPr>
        <w:ind w:left="5472" w:hanging="360"/>
      </w:pPr>
    </w:lvl>
    <w:lvl w:ilvl="7" w:tplc="241A0019" w:tentative="1">
      <w:start w:val="1"/>
      <w:numFmt w:val="lowerLetter"/>
      <w:lvlText w:val="%8."/>
      <w:lvlJc w:val="left"/>
      <w:pPr>
        <w:ind w:left="6192" w:hanging="360"/>
      </w:pPr>
    </w:lvl>
    <w:lvl w:ilvl="8" w:tplc="24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05D6268"/>
    <w:multiLevelType w:val="hybridMultilevel"/>
    <w:tmpl w:val="902A01FA"/>
    <w:lvl w:ilvl="0" w:tplc="287C96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72" w:hanging="360"/>
      </w:pPr>
    </w:lvl>
    <w:lvl w:ilvl="2" w:tplc="241A001B" w:tentative="1">
      <w:start w:val="1"/>
      <w:numFmt w:val="lowerRoman"/>
      <w:lvlText w:val="%3."/>
      <w:lvlJc w:val="right"/>
      <w:pPr>
        <w:ind w:left="2592" w:hanging="180"/>
      </w:pPr>
    </w:lvl>
    <w:lvl w:ilvl="3" w:tplc="241A000F" w:tentative="1">
      <w:start w:val="1"/>
      <w:numFmt w:val="decimal"/>
      <w:lvlText w:val="%4."/>
      <w:lvlJc w:val="left"/>
      <w:pPr>
        <w:ind w:left="3312" w:hanging="360"/>
      </w:pPr>
    </w:lvl>
    <w:lvl w:ilvl="4" w:tplc="241A0019" w:tentative="1">
      <w:start w:val="1"/>
      <w:numFmt w:val="lowerLetter"/>
      <w:lvlText w:val="%5."/>
      <w:lvlJc w:val="left"/>
      <w:pPr>
        <w:ind w:left="4032" w:hanging="360"/>
      </w:pPr>
    </w:lvl>
    <w:lvl w:ilvl="5" w:tplc="241A001B" w:tentative="1">
      <w:start w:val="1"/>
      <w:numFmt w:val="lowerRoman"/>
      <w:lvlText w:val="%6."/>
      <w:lvlJc w:val="right"/>
      <w:pPr>
        <w:ind w:left="4752" w:hanging="180"/>
      </w:pPr>
    </w:lvl>
    <w:lvl w:ilvl="6" w:tplc="241A000F" w:tentative="1">
      <w:start w:val="1"/>
      <w:numFmt w:val="decimal"/>
      <w:lvlText w:val="%7."/>
      <w:lvlJc w:val="left"/>
      <w:pPr>
        <w:ind w:left="5472" w:hanging="360"/>
      </w:pPr>
    </w:lvl>
    <w:lvl w:ilvl="7" w:tplc="241A0019" w:tentative="1">
      <w:start w:val="1"/>
      <w:numFmt w:val="lowerLetter"/>
      <w:lvlText w:val="%8."/>
      <w:lvlJc w:val="left"/>
      <w:pPr>
        <w:ind w:left="6192" w:hanging="360"/>
      </w:pPr>
    </w:lvl>
    <w:lvl w:ilvl="8" w:tplc="24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7185442D"/>
    <w:multiLevelType w:val="hybridMultilevel"/>
    <w:tmpl w:val="86804B3E"/>
    <w:lvl w:ilvl="0" w:tplc="DC72C0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9A33D83"/>
    <w:multiLevelType w:val="hybridMultilevel"/>
    <w:tmpl w:val="AB323A76"/>
    <w:lvl w:ilvl="0" w:tplc="1DD011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C174161"/>
    <w:multiLevelType w:val="hybridMultilevel"/>
    <w:tmpl w:val="B198C0F8"/>
    <w:lvl w:ilvl="0" w:tplc="824E84EC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E5E2135"/>
    <w:multiLevelType w:val="hybridMultilevel"/>
    <w:tmpl w:val="BE5EA264"/>
    <w:lvl w:ilvl="0" w:tplc="23E0A5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4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6"/>
  </w:num>
  <w:num w:numId="10">
    <w:abstractNumId w:val="15"/>
  </w:num>
  <w:num w:numId="11">
    <w:abstractNumId w:val="24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  <w:num w:numId="18">
    <w:abstractNumId w:val="12"/>
  </w:num>
  <w:num w:numId="19">
    <w:abstractNumId w:val="25"/>
  </w:num>
  <w:num w:numId="20">
    <w:abstractNumId w:val="0"/>
  </w:num>
  <w:num w:numId="21">
    <w:abstractNumId w:val="13"/>
  </w:num>
  <w:num w:numId="22">
    <w:abstractNumId w:val="19"/>
  </w:num>
  <w:num w:numId="23">
    <w:abstractNumId w:val="16"/>
  </w:num>
  <w:num w:numId="24">
    <w:abstractNumId w:val="21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sjA1sTAwMzYwN7NQ0lEKTi0uzszPAykwqwUAAFYtICwAAAA="/>
  </w:docVars>
  <w:rsids>
    <w:rsidRoot w:val="00E61D63"/>
    <w:rsid w:val="0003654E"/>
    <w:rsid w:val="0007094C"/>
    <w:rsid w:val="000B6857"/>
    <w:rsid w:val="0010080E"/>
    <w:rsid w:val="00105BE6"/>
    <w:rsid w:val="0011042A"/>
    <w:rsid w:val="0011585D"/>
    <w:rsid w:val="00125437"/>
    <w:rsid w:val="00136CBD"/>
    <w:rsid w:val="00184424"/>
    <w:rsid w:val="00186BA7"/>
    <w:rsid w:val="00190913"/>
    <w:rsid w:val="00190D13"/>
    <w:rsid w:val="001938E4"/>
    <w:rsid w:val="001C0E8C"/>
    <w:rsid w:val="001C6349"/>
    <w:rsid w:val="001E77B0"/>
    <w:rsid w:val="0021237F"/>
    <w:rsid w:val="0026478F"/>
    <w:rsid w:val="002875D1"/>
    <w:rsid w:val="002913B5"/>
    <w:rsid w:val="002942C1"/>
    <w:rsid w:val="002D6F6D"/>
    <w:rsid w:val="002F1F93"/>
    <w:rsid w:val="003221E8"/>
    <w:rsid w:val="00323B52"/>
    <w:rsid w:val="00331282"/>
    <w:rsid w:val="003361F5"/>
    <w:rsid w:val="00361557"/>
    <w:rsid w:val="003826DA"/>
    <w:rsid w:val="003917B0"/>
    <w:rsid w:val="00396862"/>
    <w:rsid w:val="003F4CA9"/>
    <w:rsid w:val="004112A0"/>
    <w:rsid w:val="00414736"/>
    <w:rsid w:val="00414EAA"/>
    <w:rsid w:val="004153C2"/>
    <w:rsid w:val="00432BB6"/>
    <w:rsid w:val="00432F6D"/>
    <w:rsid w:val="00446983"/>
    <w:rsid w:val="00487373"/>
    <w:rsid w:val="0049289D"/>
    <w:rsid w:val="0049408D"/>
    <w:rsid w:val="004A5717"/>
    <w:rsid w:val="00514854"/>
    <w:rsid w:val="0054755D"/>
    <w:rsid w:val="00550359"/>
    <w:rsid w:val="00557DD9"/>
    <w:rsid w:val="005B4F8E"/>
    <w:rsid w:val="005C1B2E"/>
    <w:rsid w:val="005D6274"/>
    <w:rsid w:val="005E5877"/>
    <w:rsid w:val="005E77EA"/>
    <w:rsid w:val="0063563D"/>
    <w:rsid w:val="00661373"/>
    <w:rsid w:val="006B4CE3"/>
    <w:rsid w:val="006C2F73"/>
    <w:rsid w:val="00701696"/>
    <w:rsid w:val="007079BE"/>
    <w:rsid w:val="00734377"/>
    <w:rsid w:val="007434E3"/>
    <w:rsid w:val="007443F1"/>
    <w:rsid w:val="007544E4"/>
    <w:rsid w:val="007555DD"/>
    <w:rsid w:val="00763DFF"/>
    <w:rsid w:val="007A3ECB"/>
    <w:rsid w:val="007B0448"/>
    <w:rsid w:val="007C245E"/>
    <w:rsid w:val="007D4709"/>
    <w:rsid w:val="00814A2F"/>
    <w:rsid w:val="008A65DD"/>
    <w:rsid w:val="008A692E"/>
    <w:rsid w:val="008B786C"/>
    <w:rsid w:val="008F4F96"/>
    <w:rsid w:val="008F5EE8"/>
    <w:rsid w:val="009066C8"/>
    <w:rsid w:val="00922633"/>
    <w:rsid w:val="00923099"/>
    <w:rsid w:val="0093639B"/>
    <w:rsid w:val="00942C7B"/>
    <w:rsid w:val="009608FC"/>
    <w:rsid w:val="00964133"/>
    <w:rsid w:val="009733A4"/>
    <w:rsid w:val="00993F2A"/>
    <w:rsid w:val="009C41BD"/>
    <w:rsid w:val="009D5289"/>
    <w:rsid w:val="009D7A92"/>
    <w:rsid w:val="00A064D6"/>
    <w:rsid w:val="00A15B27"/>
    <w:rsid w:val="00A23356"/>
    <w:rsid w:val="00A460CD"/>
    <w:rsid w:val="00A509DF"/>
    <w:rsid w:val="00A82B22"/>
    <w:rsid w:val="00A97F6D"/>
    <w:rsid w:val="00AA0214"/>
    <w:rsid w:val="00AA1489"/>
    <w:rsid w:val="00AB000A"/>
    <w:rsid w:val="00AC786B"/>
    <w:rsid w:val="00AD10EF"/>
    <w:rsid w:val="00B11E0E"/>
    <w:rsid w:val="00B12587"/>
    <w:rsid w:val="00B55A95"/>
    <w:rsid w:val="00B83A61"/>
    <w:rsid w:val="00B94346"/>
    <w:rsid w:val="00BB2B96"/>
    <w:rsid w:val="00BD1305"/>
    <w:rsid w:val="00BE5A14"/>
    <w:rsid w:val="00BF50B3"/>
    <w:rsid w:val="00C00C09"/>
    <w:rsid w:val="00C10334"/>
    <w:rsid w:val="00C301DE"/>
    <w:rsid w:val="00C4149D"/>
    <w:rsid w:val="00C75122"/>
    <w:rsid w:val="00C87B83"/>
    <w:rsid w:val="00CB2ECC"/>
    <w:rsid w:val="00CF7FEB"/>
    <w:rsid w:val="00D41B85"/>
    <w:rsid w:val="00D63353"/>
    <w:rsid w:val="00D65AAF"/>
    <w:rsid w:val="00DA1CFC"/>
    <w:rsid w:val="00DB17B1"/>
    <w:rsid w:val="00DD7492"/>
    <w:rsid w:val="00DE7E40"/>
    <w:rsid w:val="00DF5FEB"/>
    <w:rsid w:val="00E05AD9"/>
    <w:rsid w:val="00E61D63"/>
    <w:rsid w:val="00E702B0"/>
    <w:rsid w:val="00E73864"/>
    <w:rsid w:val="00E87B52"/>
    <w:rsid w:val="00E937F1"/>
    <w:rsid w:val="00EA3F32"/>
    <w:rsid w:val="00EA7595"/>
    <w:rsid w:val="00EC654D"/>
    <w:rsid w:val="00EE3F62"/>
    <w:rsid w:val="00EF33B1"/>
    <w:rsid w:val="00F07A78"/>
    <w:rsid w:val="00F85587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DF"/>
  </w:style>
  <w:style w:type="paragraph" w:styleId="Footer">
    <w:name w:val="footer"/>
    <w:basedOn w:val="Normal"/>
    <w:link w:val="FooterChar"/>
    <w:uiPriority w:val="99"/>
    <w:unhideWhenUsed/>
    <w:rsid w:val="00A5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DF"/>
  </w:style>
  <w:style w:type="table" w:styleId="TableGrid">
    <w:name w:val="Table Grid"/>
    <w:basedOn w:val="TableNormal"/>
    <w:uiPriority w:val="59"/>
    <w:rsid w:val="00A5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DF"/>
  </w:style>
  <w:style w:type="paragraph" w:styleId="Footer">
    <w:name w:val="footer"/>
    <w:basedOn w:val="Normal"/>
    <w:link w:val="FooterChar"/>
    <w:uiPriority w:val="99"/>
    <w:unhideWhenUsed/>
    <w:rsid w:val="00A5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DF"/>
  </w:style>
  <w:style w:type="table" w:styleId="TableGrid">
    <w:name w:val="Table Grid"/>
    <w:basedOn w:val="TableNormal"/>
    <w:uiPriority w:val="59"/>
    <w:rsid w:val="00A5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0A6D-8440-40AD-8AD2-F4DA1E4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Zlatana Maletić</dc:creator>
  <cp:lastModifiedBy>Zlatana Maletić</cp:lastModifiedBy>
  <cp:revision>20</cp:revision>
  <dcterms:created xsi:type="dcterms:W3CDTF">2017-12-14T10:51:00Z</dcterms:created>
  <dcterms:modified xsi:type="dcterms:W3CDTF">2017-12-15T14:53:00Z</dcterms:modified>
</cp:coreProperties>
</file>