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D51" w:rsidRPr="00135D51" w:rsidRDefault="00135D51" w:rsidP="00135D51">
      <w:pPr>
        <w:spacing w:line="276" w:lineRule="auto"/>
        <w:rPr>
          <w:rFonts w:cs="Arial"/>
        </w:rPr>
      </w:pPr>
      <w:r w:rsidRPr="00135D51">
        <w:rPr>
          <w:rStyle w:val="Heading1Char"/>
          <w:rFonts w:eastAsia="Calibri" w:cs="Arial"/>
        </w:rPr>
        <w:t xml:space="preserve"> </w:t>
      </w:r>
      <w:r w:rsidR="0011214A">
        <w:rPr>
          <w:rFonts w:cs="Arial"/>
        </w:rPr>
        <w:pict>
          <v:shapetype id="_x0000_t202" coordsize="21600,21600" o:spt="202" path="m,l,21600r21600,l21600,xe">
            <v:stroke joinstyle="miter"/>
            <v:path gradientshapeok="t" o:connecttype="rect"/>
          </v:shapetype>
          <v:shape id="Text Box 15" o:spid="_x0000_s1028" type="#_x0000_t202" style="position:absolute;left:0;text-align:left;margin-left:142.85pt;margin-top:-333.25pt;width:74.05pt;height:38.0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ydgAIAAA8FAAAOAAAAZHJzL2Uyb0RvYy54bWysVFtv2yAUfp+0/4B4T30paWOrTtWkyzSp&#10;u0jtfgABHKPZwIDE7qr99x1wkqa7SNM0P2Auh+9cvu9wdT10LdoJ66RWFc7OUoyEYppLtanw54fV&#10;ZIaR81Rx2molKvwoHL6ev3511ZtS5LrRLRcWAYhyZW8q3HhvyiRxrBEddWfaCAWHtbYd9bC0m4Rb&#10;2gN61yZ5ml4kvbbcWM2Ec7B7Ox7iecSva8H8x7p2wqO2whCbj6ON4zqMyfyKlhtLTSPZPgz6D1F0&#10;VCpweoS6pZ6irZW/QHWSWe107c+Y7hJd15KJmANkk6U/ZXPfUCNiLlAcZ45lcv8Pln3YfbJI8gqf&#10;Y6RoBxQ9iMGjhR5QNg3l6Y0rweregJ0fYB9ojqk6c6fZF4eUXjZUbcSNtbpvBOUQXhZuJidXRxwX&#10;QNb9e83BD916HYGG2nahdlANBOhA0+ORmhALg82CpOR8ihGDIzI7z2EePNDycNlY598K3aEwqbAF&#10;5iM43d05P5oeTIIvp1vJV7Jt48Ju1svWoh0Flazit0d/YdaqYKx0uDYijjsQI/gIZyHayPpTkeUk&#10;XeTFZHUxu5yQFZlOist0NkmzYlFcpKQgt6vvIcCMlI3kXKg7qcRBgRn5O4b3vTBqJ2oQ9VCraT4d&#10;Gfpjkmn8fpdkJz00ZCu7Cs+ORrQMvL5RHNKmpaeyHefJy/AjIVCDwz9WJaogED9KwA/rAVCCNNaa&#10;P4IerAa+gHR4RWDSaPsNox46ssLu65ZagVH7ToGmioyQ0MJxQaaXOSzs6cn69IQqBlAV9hiN06Uf&#10;235rrNw04GlUsdI3oMNaRo08R7VXL3RdTGb/QoS2Pl1Hq+d3bP4DAAD//wMAUEsDBBQABgAIAAAA&#10;IQDLBJLH4QAAAA0BAAAPAAAAZHJzL2Rvd25yZXYueG1sTI/LTsMwEEX3SPyDNUhsUOvQ5tGGOBUg&#10;gdi29AMmsZtExOModpv07xlWdDkzR3fOLXaz7cXFjL5zpOB5GYEwVDvdUaPg+P2x2IDwAUlj78go&#10;uBoPu/L+rsBcu4n25nIIjeAQ8jkqaEMYcil93RqLfukGQ3w7udFi4HFspB5x4nDby1UUpdJiR/yh&#10;xcG8t6b+OZytgtPX9JRsp+ozHLN9nL5hl1XuqtTjw/z6AiKYOfzD8KfP6lCyU+XOpL3oFaw2Scao&#10;gkWapgkIRuL1mttUvEq2UQyyLORti/IXAAD//wMAUEsBAi0AFAAGAAgAAAAhALaDOJL+AAAA4QEA&#10;ABMAAAAAAAAAAAAAAAAAAAAAAFtDb250ZW50X1R5cGVzXS54bWxQSwECLQAUAAYACAAAACEAOP0h&#10;/9YAAACUAQAACwAAAAAAAAAAAAAAAAAvAQAAX3JlbHMvLnJlbHNQSwECLQAUAAYACAAAACEAJZis&#10;nYACAAAPBQAADgAAAAAAAAAAAAAAAAAuAgAAZHJzL2Uyb0RvYy54bWxQSwECLQAUAAYACAAAACEA&#10;ywSSx+EAAAANAQAADwAAAAAAAAAAAAAAAADaBAAAZHJzL2Rvd25yZXYueG1sUEsFBgAAAAAEAAQA&#10;8wAAAOgFAAAAAA==&#10;" stroked="f">
            <v:textbox>
              <w:txbxContent>
                <w:p w:rsidR="0011214A" w:rsidRPr="00577362" w:rsidRDefault="0011214A" w:rsidP="00135D51">
                  <w:pPr>
                    <w:spacing w:line="276" w:lineRule="auto"/>
                    <w:jc w:val="center"/>
                    <w:rPr>
                      <w:rFonts w:ascii="Georgia" w:hAnsi="Georgia" w:cs="Arial"/>
                      <w:b/>
                      <w:sz w:val="44"/>
                      <w:szCs w:val="32"/>
                    </w:rPr>
                  </w:pPr>
                  <w:r w:rsidRPr="00577362">
                    <w:rPr>
                      <w:rFonts w:ascii="Georgia" w:hAnsi="Georgia" w:cs="Arial"/>
                      <w:b/>
                      <w:sz w:val="44"/>
                      <w:szCs w:val="32"/>
                    </w:rPr>
                    <w:t>2017.</w:t>
                  </w:r>
                </w:p>
              </w:txbxContent>
            </v:textbox>
          </v:shape>
        </w:pict>
      </w:r>
      <w:r w:rsidR="0011214A">
        <w:rPr>
          <w:rFonts w:cs="Arial"/>
        </w:rPr>
        <w:pict>
          <v:shape id="Text Box 19" o:spid="_x0000_s1029" type="#_x0000_t202" style="position:absolute;left:0;text-align:left;margin-left:115.05pt;margin-top:-182.4pt;width:163.55pt;height:38.0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iw5hQIAABc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rKUJ7euAqs7g3Y+QH2geaYqjN3mn5xSOmblqgNv7JW9y0nDMLLws3k5OqI4wLI&#10;un+vGfghW68j0NDYLtQOqoEAHWh6PFITYqGwmaezWTqfYkThrJif5+fT6IJUh9vGOv+W6w6FSY0t&#10;UB/Rye7O+RANqQ4mwZnTUrCVkDIu7GZ9Iy3aEZDJKn579BdmUgVjpcO1EXHcgSDBRzgL4Uban8os&#10;L9LrvJysLuazSbEqppMSMpikWXldXqRFWdyuvocAs6JqBWNc3QnFDxLMir+jeN8Mo3iiCFFf43Ka&#10;T0eK/phkGr/fJdkJDx0pRVfj+dGIVIHYN4pB2qTyRMhxnrwMP1YZanD4x6pEGQTmRw34YT1EwUWN&#10;BImsNXsEXVgNtAH58JrApNX2G0Y9dGaN3dctsRwj+U6BtsqsKEIrx0UxneWwsKcn69MToihA1dhj&#10;NE5v/Nj+W2PFpgVPo5qVvgI9NiJK5TmqvYqh+2JO+5citPfpOlo9v2fLHwAAAP//AwBQSwMEFAAG&#10;AAgAAAAhAEpTpbDiAAAADQEAAA8AAABkcnMvZG93bnJldi54bWxMj8tug0AMRfeV+g8jV+qmSoaQ&#10;8AhhiNpKrbpNmg8YwAFUxoOYSSB/X3fVLG0fXZ+b72fTiyuOrrOkYLUMQCBVtu6oUXD6/likIJzX&#10;VOveEiq4oYN98fiQ66y2Ex3wevSN4BBymVbQej9kUrqqRaPd0g5IfDvb0WjP49jIetQTh5tehkEQ&#10;S6M74g+tHvC9xerneDEKzl/TS7Sdyk9/Sg6b+E13SWlvSj0/za87EB5n/w/Dnz6rQ8FOpb1Q7USv&#10;IFwHK0YVLNbxhkswEkVJCKLkVZimCcgil/ctil8AAAD//wMAUEsBAi0AFAAGAAgAAAAhALaDOJL+&#10;AAAA4QEAABMAAAAAAAAAAAAAAAAAAAAAAFtDb250ZW50X1R5cGVzXS54bWxQSwECLQAUAAYACAAA&#10;ACEAOP0h/9YAAACUAQAACwAAAAAAAAAAAAAAAAAvAQAAX3JlbHMvLnJlbHNQSwECLQAUAAYACAAA&#10;ACEAuC4sOYUCAAAXBQAADgAAAAAAAAAAAAAAAAAuAgAAZHJzL2Uyb0RvYy54bWxQSwECLQAUAAYA&#10;CAAAACEASlOlsOIAAAANAQAADwAAAAAAAAAAAAAAAADfBAAAZHJzL2Rvd25yZXYueG1sUEsFBgAA&#10;AAAEAAQA8wAAAO4FAAAAAA==&#10;" stroked="f">
            <v:textbox>
              <w:txbxContent>
                <w:p w:rsidR="0011214A" w:rsidRPr="00577362" w:rsidRDefault="0011214A" w:rsidP="00135D51">
                  <w:pPr>
                    <w:spacing w:line="276" w:lineRule="auto"/>
                    <w:jc w:val="center"/>
                    <w:rPr>
                      <w:rFonts w:ascii="Georgia" w:hAnsi="Georgia" w:cs="Arial"/>
                      <w:b/>
                      <w:sz w:val="40"/>
                      <w:szCs w:val="32"/>
                    </w:rPr>
                  </w:pPr>
                  <w:r w:rsidRPr="00577362">
                    <w:rPr>
                      <w:rFonts w:cs="Arial"/>
                      <w:b/>
                      <w:szCs w:val="32"/>
                    </w:rPr>
                    <w:t xml:space="preserve">Београд, март </w:t>
                  </w:r>
                  <w:r w:rsidRPr="00577362">
                    <w:rPr>
                      <w:rFonts w:ascii="Georgia" w:hAnsi="Georgia" w:cs="Arial"/>
                      <w:b/>
                      <w:szCs w:val="32"/>
                    </w:rPr>
                    <w:t>2017.</w:t>
                  </w:r>
                </w:p>
              </w:txbxContent>
            </v:textbox>
          </v:shape>
        </w:pict>
      </w:r>
    </w:p>
    <w:tbl>
      <w:tblPr>
        <w:tblpPr w:leftFromText="180" w:rightFromText="180" w:horzAnchor="margin" w:tblpY="-795"/>
        <w:tblW w:w="0" w:type="auto"/>
        <w:tblBorders>
          <w:bottom w:val="single" w:sz="4" w:space="0" w:color="auto"/>
        </w:tblBorders>
        <w:tblLook w:val="04A0" w:firstRow="1" w:lastRow="0" w:firstColumn="1" w:lastColumn="0" w:noHBand="0" w:noVBand="1"/>
      </w:tblPr>
      <w:tblGrid>
        <w:gridCol w:w="2556"/>
        <w:gridCol w:w="2882"/>
        <w:gridCol w:w="3851"/>
      </w:tblGrid>
      <w:tr w:rsidR="00135D51" w:rsidRPr="00135D51" w:rsidTr="00935423">
        <w:trPr>
          <w:trHeight w:val="3117"/>
        </w:trPr>
        <w:tc>
          <w:tcPr>
            <w:tcW w:w="2440" w:type="dxa"/>
          </w:tcPr>
          <w:p w:rsidR="00135D51" w:rsidRPr="00935423" w:rsidRDefault="00935423" w:rsidP="00135D51">
            <w:pPr>
              <w:spacing w:line="276" w:lineRule="auto"/>
              <w:rPr>
                <w:rFonts w:cs="Arial"/>
                <w:b/>
              </w:rPr>
            </w:pPr>
            <w:r w:rsidRPr="00935423">
              <w:rPr>
                <w:rFonts w:cs="Arial"/>
                <w:b/>
                <w:noProof/>
                <w:lang w:val="sr-Latn-RS" w:eastAsia="sr-Latn-RS"/>
              </w:rPr>
              <w:drawing>
                <wp:anchor distT="152400" distB="152400" distL="152400" distR="152400" simplePos="0" relativeHeight="251666432" behindDoc="1" locked="0" layoutInCell="1" allowOverlap="1" wp14:anchorId="67EA56E8" wp14:editId="2414E6D6">
                  <wp:simplePos x="0" y="0"/>
                  <wp:positionH relativeFrom="page">
                    <wp:posOffset>17780</wp:posOffset>
                  </wp:positionH>
                  <wp:positionV relativeFrom="page">
                    <wp:posOffset>160655</wp:posOffset>
                  </wp:positionV>
                  <wp:extent cx="1485900" cy="1837690"/>
                  <wp:effectExtent l="0" t="0" r="0" b="0"/>
                  <wp:wrapTight wrapText="bothSides">
                    <wp:wrapPolygon edited="0">
                      <wp:start x="0" y="0"/>
                      <wp:lineTo x="0" y="21272"/>
                      <wp:lineTo x="21323" y="21272"/>
                      <wp:lineTo x="21323" y="0"/>
                      <wp:lineTo x="0" y="0"/>
                    </wp:wrapPolygon>
                  </wp:wrapTight>
                  <wp:docPr id="8" name="Слик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ика 3"/>
                          <pic:cNvPicPr>
                            <a:picLocks noChangeAspect="1" noChangeArrowheads="1"/>
                          </pic:cNvPicPr>
                        </pic:nvPicPr>
                        <pic:blipFill>
                          <a:blip r:embed="rId9" cstate="print"/>
                          <a:srcRect/>
                          <a:stretch>
                            <a:fillRect/>
                          </a:stretch>
                        </pic:blipFill>
                        <pic:spPr bwMode="auto">
                          <a:xfrm>
                            <a:off x="0" y="0"/>
                            <a:ext cx="1485900" cy="18376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919" w:type="dxa"/>
          </w:tcPr>
          <w:p w:rsidR="00135D51" w:rsidRPr="00935423" w:rsidRDefault="00135D51" w:rsidP="00135D51">
            <w:pPr>
              <w:spacing w:line="276" w:lineRule="auto"/>
              <w:rPr>
                <w:rFonts w:cs="Arial"/>
                <w:b/>
              </w:rPr>
            </w:pPr>
          </w:p>
          <w:p w:rsidR="00135D51" w:rsidRPr="00935423" w:rsidRDefault="00135D51" w:rsidP="00135D51">
            <w:pPr>
              <w:tabs>
                <w:tab w:val="left" w:pos="1050"/>
              </w:tabs>
              <w:spacing w:line="276" w:lineRule="auto"/>
              <w:rPr>
                <w:rFonts w:cs="Arial"/>
                <w:b/>
              </w:rPr>
            </w:pPr>
          </w:p>
        </w:tc>
        <w:tc>
          <w:tcPr>
            <w:tcW w:w="3851" w:type="dxa"/>
          </w:tcPr>
          <w:p w:rsidR="00135D51" w:rsidRPr="00135D51" w:rsidRDefault="002C7637" w:rsidP="00135D51">
            <w:pPr>
              <w:spacing w:line="276" w:lineRule="auto"/>
              <w:jc w:val="center"/>
              <w:rPr>
                <w:rFonts w:cs="Arial"/>
              </w:rPr>
            </w:pPr>
            <w:r>
              <w:rPr>
                <w:rFonts w:cs="Arial"/>
                <w:noProof/>
                <w:lang w:val="sr-Latn-RS" w:eastAsia="sr-Latn-RS"/>
              </w:rPr>
              <w:drawing>
                <wp:anchor distT="152400" distB="152400" distL="152400" distR="152400" simplePos="0" relativeHeight="251668480" behindDoc="0" locked="0" layoutInCell="1" allowOverlap="1" wp14:anchorId="0FBB8D34" wp14:editId="2924CAC7">
                  <wp:simplePos x="0" y="0"/>
                  <wp:positionH relativeFrom="page">
                    <wp:posOffset>106680</wp:posOffset>
                  </wp:positionH>
                  <wp:positionV relativeFrom="page">
                    <wp:posOffset>601345</wp:posOffset>
                  </wp:positionV>
                  <wp:extent cx="2306320" cy="767080"/>
                  <wp:effectExtent l="0" t="0" r="0" b="0"/>
                  <wp:wrapThrough wrapText="bothSides">
                    <wp:wrapPolygon edited="0">
                      <wp:start x="0" y="0"/>
                      <wp:lineTo x="0" y="20921"/>
                      <wp:lineTo x="21410" y="20921"/>
                      <wp:lineTo x="21410" y="0"/>
                      <wp:lineTo x="0" y="0"/>
                    </wp:wrapPolygon>
                  </wp:wrapThrough>
                  <wp:docPr id="7" name="Сли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ика 4"/>
                          <pic:cNvPicPr>
                            <a:picLocks noChangeAspect="1" noChangeArrowheads="1"/>
                          </pic:cNvPicPr>
                        </pic:nvPicPr>
                        <pic:blipFill>
                          <a:blip r:embed="rId10" cstate="print"/>
                          <a:srcRect/>
                          <a:stretch>
                            <a:fillRect/>
                          </a:stretch>
                        </pic:blipFill>
                        <pic:spPr bwMode="auto">
                          <a:xfrm>
                            <a:off x="0" y="0"/>
                            <a:ext cx="2306320" cy="767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135D51" w:rsidRPr="00135D51" w:rsidRDefault="00135D51" w:rsidP="00135D51">
      <w:pPr>
        <w:spacing w:line="276" w:lineRule="auto"/>
        <w:jc w:val="center"/>
        <w:rPr>
          <w:rFonts w:cs="Arial"/>
        </w:rPr>
      </w:pPr>
    </w:p>
    <w:p w:rsidR="00135D51" w:rsidRPr="00135D51" w:rsidRDefault="00135D51" w:rsidP="00135D51">
      <w:pPr>
        <w:spacing w:line="276" w:lineRule="auto"/>
        <w:rPr>
          <w:rFonts w:cs="Arial"/>
        </w:rPr>
      </w:pPr>
    </w:p>
    <w:p w:rsidR="00135D51" w:rsidRPr="00135D51" w:rsidRDefault="00135D51" w:rsidP="00135D51">
      <w:pPr>
        <w:spacing w:line="276" w:lineRule="auto"/>
        <w:rPr>
          <w:rFonts w:cs="Arial"/>
        </w:rPr>
      </w:pPr>
    </w:p>
    <w:p w:rsidR="00135D51" w:rsidRPr="00135D51" w:rsidRDefault="00135D51" w:rsidP="00135D51">
      <w:pPr>
        <w:spacing w:line="276" w:lineRule="auto"/>
        <w:rPr>
          <w:rFonts w:cs="Arial"/>
        </w:rPr>
      </w:pPr>
    </w:p>
    <w:p w:rsidR="008966C8" w:rsidRPr="008966C8" w:rsidRDefault="008966C8" w:rsidP="008966C8">
      <w:pPr>
        <w:pStyle w:val="Title"/>
        <w:spacing w:line="276" w:lineRule="auto"/>
        <w:rPr>
          <w:rFonts w:ascii="Arial" w:eastAsia="Calibri" w:hAnsi="Arial" w:cs="Arial"/>
          <w:bCs w:val="0"/>
          <w:kern w:val="0"/>
          <w:sz w:val="28"/>
          <w:szCs w:val="22"/>
          <w:lang w:val="sr-Cyrl-CS" w:eastAsia="en-US"/>
        </w:rPr>
      </w:pPr>
      <w:r w:rsidRPr="008966C8">
        <w:rPr>
          <w:rFonts w:ascii="Arial" w:eastAsia="Calibri" w:hAnsi="Arial" w:cs="Arial"/>
          <w:bCs w:val="0"/>
          <w:kern w:val="0"/>
          <w:sz w:val="28"/>
          <w:szCs w:val="22"/>
          <w:lang w:val="sr-Cyrl-CS" w:eastAsia="en-US"/>
        </w:rPr>
        <w:t>REDOVAN GODIŠNJI IZVEŠTAJ</w:t>
      </w:r>
    </w:p>
    <w:p w:rsidR="008966C8" w:rsidRPr="008966C8" w:rsidRDefault="008966C8" w:rsidP="008966C8">
      <w:pPr>
        <w:pStyle w:val="Title"/>
        <w:spacing w:line="276" w:lineRule="auto"/>
        <w:rPr>
          <w:rFonts w:ascii="Arial" w:eastAsia="Calibri" w:hAnsi="Arial" w:cs="Arial"/>
          <w:bCs w:val="0"/>
          <w:kern w:val="0"/>
          <w:sz w:val="28"/>
          <w:szCs w:val="22"/>
          <w:lang w:val="sr-Cyrl-CS" w:eastAsia="en-US"/>
        </w:rPr>
      </w:pPr>
      <w:r w:rsidRPr="008966C8">
        <w:rPr>
          <w:rFonts w:ascii="Arial" w:eastAsia="Calibri" w:hAnsi="Arial" w:cs="Arial"/>
          <w:bCs w:val="0"/>
          <w:kern w:val="0"/>
          <w:sz w:val="28"/>
          <w:szCs w:val="22"/>
          <w:lang w:val="sr-Cyrl-CS" w:eastAsia="en-US"/>
        </w:rPr>
        <w:t>POVERENIKA ZA ZAŠTITU RAVNOPRAVNOSTI</w:t>
      </w:r>
    </w:p>
    <w:p w:rsidR="00135D51" w:rsidRPr="00135D51" w:rsidRDefault="008966C8" w:rsidP="008966C8">
      <w:pPr>
        <w:pStyle w:val="Title"/>
        <w:spacing w:line="276" w:lineRule="auto"/>
        <w:rPr>
          <w:rFonts w:ascii="Arial" w:eastAsia="Calibri" w:hAnsi="Arial" w:cs="Arial"/>
          <w:bCs w:val="0"/>
          <w:kern w:val="0"/>
          <w:sz w:val="28"/>
          <w:szCs w:val="22"/>
          <w:lang w:val="sr-Cyrl-CS" w:eastAsia="en-US"/>
        </w:rPr>
      </w:pPr>
      <w:r w:rsidRPr="008966C8">
        <w:rPr>
          <w:rFonts w:ascii="Arial" w:eastAsia="Calibri" w:hAnsi="Arial" w:cs="Arial"/>
          <w:bCs w:val="0"/>
          <w:kern w:val="0"/>
          <w:sz w:val="28"/>
          <w:szCs w:val="22"/>
          <w:lang w:val="sr-Cyrl-CS" w:eastAsia="en-US"/>
        </w:rPr>
        <w:t>ZA 2016. GODINU</w:t>
      </w: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pStyle w:val="Title"/>
        <w:rPr>
          <w:rFonts w:ascii="Arial" w:hAnsi="Arial" w:cs="Arial"/>
          <w:sz w:val="28"/>
          <w:lang w:val="sr-Cyrl-CS"/>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8966C8" w:rsidP="00135D51">
      <w:pPr>
        <w:spacing w:line="276" w:lineRule="auto"/>
        <w:jc w:val="center"/>
        <w:rPr>
          <w:rFonts w:cs="Arial"/>
        </w:rPr>
      </w:pPr>
      <w:r w:rsidRPr="008966C8">
        <w:rPr>
          <w:rFonts w:cs="Arial"/>
          <w:b/>
        </w:rPr>
        <w:t>Beograd, mart 2017.</w:t>
      </w: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b/>
        </w:rPr>
      </w:pPr>
    </w:p>
    <w:p w:rsidR="00135D51" w:rsidRPr="00135D51" w:rsidRDefault="00135D51" w:rsidP="00135D51">
      <w:pPr>
        <w:spacing w:line="276" w:lineRule="auto"/>
        <w:jc w:val="center"/>
        <w:rPr>
          <w:rFonts w:cs="Arial"/>
        </w:rPr>
      </w:pPr>
    </w:p>
    <w:p w:rsidR="00135D51" w:rsidRDefault="00135D51" w:rsidP="00135D51">
      <w:pPr>
        <w:spacing w:line="276" w:lineRule="auto"/>
        <w:rPr>
          <w:rFonts w:cs="Arial"/>
        </w:rPr>
      </w:pPr>
    </w:p>
    <w:p w:rsidR="00D90821" w:rsidRDefault="00D90821" w:rsidP="00135D51">
      <w:pPr>
        <w:spacing w:line="276" w:lineRule="auto"/>
        <w:rPr>
          <w:rFonts w:cs="Arial"/>
        </w:rPr>
      </w:pPr>
    </w:p>
    <w:p w:rsidR="00D90821" w:rsidRPr="00D90821" w:rsidRDefault="00D90821" w:rsidP="00135D51">
      <w:pPr>
        <w:spacing w:line="276" w:lineRule="auto"/>
        <w:rPr>
          <w:rFonts w:cs="Arial"/>
        </w:rPr>
      </w:pPr>
    </w:p>
    <w:p w:rsidR="00135D51" w:rsidRPr="00135D51" w:rsidRDefault="00135D51" w:rsidP="00135D51">
      <w:pPr>
        <w:spacing w:line="276" w:lineRule="auto"/>
        <w:jc w:val="center"/>
        <w:rPr>
          <w:rFonts w:cs="Arial"/>
        </w:rPr>
      </w:pPr>
    </w:p>
    <w:p w:rsidR="00135D51" w:rsidRPr="00135D51" w:rsidRDefault="0011214A" w:rsidP="00135D51">
      <w:pPr>
        <w:spacing w:line="276" w:lineRule="auto"/>
        <w:jc w:val="center"/>
        <w:rPr>
          <w:rFonts w:cs="Arial"/>
        </w:rPr>
      </w:pPr>
      <w:r>
        <w:rPr>
          <w:noProof/>
        </w:rPr>
        <w:pict>
          <v:shape id="Text Box 2" o:spid="_x0000_s1036" type="#_x0000_t202" style="position:absolute;left:0;text-align:left;margin-left:-3.8pt;margin-top:13.8pt;width:465.55pt;height:38.9pt;z-index:251662336;visibility:visible;mso-height-percent:200;mso-wrap-distance-left:9pt;mso-wrap-distance-top:0;mso-wrap-distance-right:9pt;mso-wrap-distance-bottom:0;mso-position-horizontal-relative:text;mso-position-vertical-relative:text;mso-height-percent:200;mso-width-relative:margin;mso-height-relative:margin;v-text-anchor:top">
            <v:fill opacity="0"/>
            <v:textbox style="mso-fit-shape-to-text:t">
              <w:txbxContent>
                <w:p w:rsidR="0011214A" w:rsidRDefault="0011214A"/>
              </w:txbxContent>
            </v:textbox>
          </v:shape>
        </w:pict>
      </w:r>
    </w:p>
    <w:p w:rsidR="00135D51" w:rsidRPr="00135D51" w:rsidRDefault="008966C8" w:rsidP="00135D51">
      <w:pPr>
        <w:spacing w:line="276" w:lineRule="auto"/>
        <w:jc w:val="center"/>
        <w:rPr>
          <w:rFonts w:cs="Arial"/>
        </w:rPr>
      </w:pPr>
      <w:r w:rsidRPr="008966C8">
        <w:rPr>
          <w:rFonts w:cs="Arial"/>
        </w:rPr>
        <w:t>Svi pojmovi upotrebljeni u muškom gramatičkom rodu obuhvataju muški i ženski rod lica na koja se odnose.</w:t>
      </w: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Default="00135D51" w:rsidP="00135D51">
      <w:pPr>
        <w:spacing w:line="276" w:lineRule="auto"/>
        <w:jc w:val="center"/>
        <w:rPr>
          <w:rFonts w:cs="Arial"/>
        </w:rPr>
      </w:pPr>
    </w:p>
    <w:p w:rsidR="00AE17D2" w:rsidRPr="00135D51" w:rsidRDefault="00AE17D2" w:rsidP="00135D51">
      <w:pPr>
        <w:spacing w:line="276" w:lineRule="auto"/>
        <w:jc w:val="center"/>
        <w:rPr>
          <w:rFonts w:cs="Arial"/>
        </w:rPr>
      </w:pPr>
    </w:p>
    <w:p w:rsidR="00135D51" w:rsidRPr="00135D51" w:rsidRDefault="00135D51" w:rsidP="00135D51">
      <w:pPr>
        <w:spacing w:line="276" w:lineRule="auto"/>
        <w:jc w:val="center"/>
        <w:rPr>
          <w:rFonts w:cs="Arial"/>
        </w:rPr>
      </w:pPr>
    </w:p>
    <w:p w:rsidR="00135D51" w:rsidRDefault="00135D51" w:rsidP="00135D51">
      <w:pPr>
        <w:spacing w:line="276" w:lineRule="auto"/>
        <w:jc w:val="center"/>
        <w:rPr>
          <w:rFonts w:cs="Arial"/>
        </w:rPr>
      </w:pPr>
    </w:p>
    <w:p w:rsidR="007F5A1D" w:rsidRDefault="007F5A1D" w:rsidP="00135D51">
      <w:pPr>
        <w:spacing w:line="276" w:lineRule="auto"/>
        <w:jc w:val="center"/>
        <w:rPr>
          <w:rFonts w:cs="Arial"/>
        </w:rPr>
      </w:pPr>
    </w:p>
    <w:p w:rsidR="007F5A1D" w:rsidRPr="00135D51" w:rsidRDefault="007F5A1D" w:rsidP="00135D51">
      <w:pPr>
        <w:spacing w:line="276" w:lineRule="auto"/>
        <w:jc w:val="center"/>
        <w:rPr>
          <w:rFonts w:cs="Arial"/>
        </w:rPr>
      </w:pPr>
    </w:p>
    <w:p w:rsidR="00135D51" w:rsidRPr="00135D51" w:rsidRDefault="00135D51" w:rsidP="00135D51">
      <w:pPr>
        <w:spacing w:line="276" w:lineRule="auto"/>
        <w:jc w:val="center"/>
        <w:rPr>
          <w:rFonts w:cs="Arial"/>
        </w:rPr>
      </w:pPr>
    </w:p>
    <w:p w:rsidR="006F6E95" w:rsidRDefault="006F6E95" w:rsidP="00396792">
      <w:pPr>
        <w:tabs>
          <w:tab w:val="left" w:pos="4440"/>
          <w:tab w:val="center" w:pos="4986"/>
        </w:tabs>
        <w:spacing w:line="276" w:lineRule="auto"/>
        <w:jc w:val="center"/>
        <w:rPr>
          <w:rFonts w:cs="Arial"/>
          <w:b/>
          <w:sz w:val="24"/>
          <w:szCs w:val="20"/>
          <w:lang w:val="sr-Latn-RS"/>
        </w:rPr>
      </w:pPr>
      <w:bookmarkStart w:id="0" w:name="_Toc476904309"/>
      <w:bookmarkStart w:id="1" w:name="_Toc476908537"/>
      <w:bookmarkStart w:id="2" w:name="_Toc476908661"/>
    </w:p>
    <w:p w:rsidR="00AE17D2" w:rsidRPr="00135D51" w:rsidRDefault="00396792" w:rsidP="00396792">
      <w:pPr>
        <w:tabs>
          <w:tab w:val="left" w:pos="4440"/>
          <w:tab w:val="center" w:pos="4986"/>
        </w:tabs>
        <w:spacing w:line="276" w:lineRule="auto"/>
        <w:jc w:val="center"/>
        <w:rPr>
          <w:rFonts w:cs="Arial"/>
          <w:b/>
          <w:sz w:val="20"/>
          <w:szCs w:val="20"/>
        </w:rPr>
      </w:pPr>
      <w:r w:rsidRPr="00396792">
        <w:rPr>
          <w:rFonts w:cs="Arial"/>
          <w:b/>
          <w:sz w:val="24"/>
          <w:szCs w:val="20"/>
        </w:rPr>
        <w:t>SADRŽAJ:</w:t>
      </w:r>
    </w:p>
    <w:p w:rsidR="00AE17D2" w:rsidRPr="00FC13A6" w:rsidRDefault="00AE17D2" w:rsidP="00AE17D2">
      <w:pPr>
        <w:pStyle w:val="TOC1"/>
        <w:rPr>
          <w:rFonts w:eastAsia="Times New Roman"/>
          <w:lang w:val="en-US"/>
        </w:rPr>
      </w:pPr>
      <w:r>
        <w:fldChar w:fldCharType="begin"/>
      </w:r>
      <w:r>
        <w:instrText xml:space="preserve"> TOC \o "1-4" \h \z \u </w:instrText>
      </w:r>
      <w:r>
        <w:fldChar w:fldCharType="separate"/>
      </w:r>
    </w:p>
    <w:p w:rsidR="00AE17D2" w:rsidRPr="001D608C" w:rsidRDefault="0011214A" w:rsidP="00AE17D2">
      <w:pPr>
        <w:pStyle w:val="TOC1"/>
        <w:rPr>
          <w:rFonts w:eastAsia="Times New Roman"/>
          <w:lang w:val="en-US"/>
        </w:rPr>
      </w:pPr>
      <w:hyperlink w:anchor="_Toc477251715" w:history="1">
        <w:r w:rsidR="00396792">
          <w:rPr>
            <w:rStyle w:val="Hyperlink"/>
            <w:lang w:val="sr-Latn-RS"/>
          </w:rPr>
          <w:t>uvodna reč</w:t>
        </w:r>
        <w:r w:rsidR="00AE17D2" w:rsidRPr="001D608C">
          <w:rPr>
            <w:webHidden/>
          </w:rPr>
          <w:tab/>
        </w:r>
      </w:hyperlink>
      <w:r w:rsidR="00AE17D2">
        <w:t>4</w:t>
      </w:r>
    </w:p>
    <w:p w:rsidR="00AE17D2" w:rsidRPr="001D608C" w:rsidRDefault="0011214A" w:rsidP="00AE17D2">
      <w:pPr>
        <w:pStyle w:val="TOC1"/>
        <w:rPr>
          <w:rFonts w:eastAsia="Times New Roman"/>
          <w:lang w:val="en-US"/>
        </w:rPr>
      </w:pPr>
      <w:hyperlink w:anchor="_Toc477251716" w:history="1">
        <w:r w:rsidR="00396792">
          <w:rPr>
            <w:rStyle w:val="Hyperlink"/>
            <w:lang w:val="sr-Latn-RS"/>
          </w:rPr>
          <w:t>sažetak</w:t>
        </w:r>
        <w:r w:rsidR="00AE17D2" w:rsidRPr="001D608C">
          <w:rPr>
            <w:webHidden/>
          </w:rPr>
          <w:tab/>
        </w:r>
      </w:hyperlink>
      <w:r w:rsidR="00AE17D2">
        <w:t>6</w:t>
      </w:r>
    </w:p>
    <w:p w:rsidR="00AE17D2" w:rsidRPr="009A5406" w:rsidRDefault="0011214A" w:rsidP="00AE17D2">
      <w:pPr>
        <w:pStyle w:val="TOC1"/>
        <w:rPr>
          <w:rFonts w:eastAsia="Times New Roman"/>
          <w:lang w:val="sr-Latn-RS"/>
        </w:rPr>
      </w:pPr>
      <w:hyperlink w:anchor="_Toc477251717" w:history="1">
        <w:r w:rsidR="00AE17D2" w:rsidRPr="001D608C">
          <w:rPr>
            <w:rStyle w:val="Hyperlink"/>
          </w:rPr>
          <w:t>1.</w:t>
        </w:r>
        <w:r w:rsidR="00AE17D2" w:rsidRPr="001D608C">
          <w:rPr>
            <w:rFonts w:eastAsia="Times New Roman"/>
            <w:lang w:val="en-US"/>
          </w:rPr>
          <w:tab/>
        </w:r>
        <w:r w:rsidR="00396792">
          <w:rPr>
            <w:rStyle w:val="Hyperlink"/>
            <w:lang w:val="sr-Latn-RS"/>
          </w:rPr>
          <w:t>o povereniku za zaštitu ravnopravnosti</w:t>
        </w:r>
        <w:r w:rsidR="00AE17D2" w:rsidRPr="001D608C">
          <w:rPr>
            <w:webHidden/>
          </w:rPr>
          <w:tab/>
        </w:r>
      </w:hyperlink>
      <w:r w:rsidR="00AE17D2">
        <w:t>1</w:t>
      </w:r>
      <w:r w:rsidR="009A5406">
        <w:rPr>
          <w:lang w:val="sr-Latn-RS"/>
        </w:rPr>
        <w:t>3</w:t>
      </w:r>
    </w:p>
    <w:p w:rsidR="00AE17D2" w:rsidRPr="009A5406" w:rsidRDefault="0011214A" w:rsidP="00CD68AF">
      <w:pPr>
        <w:pStyle w:val="TOC2"/>
        <w:rPr>
          <w:rFonts w:eastAsia="Times New Roman"/>
          <w:lang w:val="sr-Latn-RS"/>
        </w:rPr>
      </w:pPr>
      <w:hyperlink w:anchor="_Toc477251718" w:history="1">
        <w:r w:rsidR="00AE17D2" w:rsidRPr="001D608C">
          <w:rPr>
            <w:rStyle w:val="Hyperlink"/>
          </w:rPr>
          <w:t>1.1.</w:t>
        </w:r>
        <w:r w:rsidR="00AE17D2" w:rsidRPr="001D608C">
          <w:rPr>
            <w:rFonts w:eastAsia="Times New Roman"/>
            <w:lang w:val="en-US"/>
          </w:rPr>
          <w:tab/>
        </w:r>
        <w:r w:rsidR="00396792">
          <w:rPr>
            <w:rStyle w:val="Hyperlink"/>
            <w:lang w:val="sr-Latn-RS"/>
          </w:rPr>
          <w:t>Stručna služba Poverenika</w:t>
        </w:r>
        <w:r w:rsidR="00AE17D2" w:rsidRPr="001D608C">
          <w:rPr>
            <w:webHidden/>
          </w:rPr>
          <w:tab/>
        </w:r>
        <w:bookmarkStart w:id="3" w:name="_GoBack"/>
        <w:bookmarkEnd w:id="3"/>
        <w:r w:rsidR="00AE17D2" w:rsidRPr="001D608C">
          <w:rPr>
            <w:webHidden/>
          </w:rPr>
          <w:fldChar w:fldCharType="begin"/>
        </w:r>
        <w:r w:rsidR="00AE17D2" w:rsidRPr="001D608C">
          <w:rPr>
            <w:webHidden/>
          </w:rPr>
          <w:instrText xml:space="preserve"> PAGEREF _Toc477251718 \h </w:instrText>
        </w:r>
        <w:r w:rsidR="00AE17D2" w:rsidRPr="001D608C">
          <w:rPr>
            <w:webHidden/>
          </w:rPr>
        </w:r>
        <w:r w:rsidR="00AE17D2" w:rsidRPr="001D608C">
          <w:rPr>
            <w:webHidden/>
          </w:rPr>
          <w:fldChar w:fldCharType="separate"/>
        </w:r>
        <w:r w:rsidR="00AE17D2" w:rsidRPr="001D608C">
          <w:rPr>
            <w:webHidden/>
          </w:rPr>
          <w:t>1</w:t>
        </w:r>
        <w:r w:rsidR="00AE17D2" w:rsidRPr="001D608C">
          <w:rPr>
            <w:webHidden/>
          </w:rPr>
          <w:fldChar w:fldCharType="end"/>
        </w:r>
      </w:hyperlink>
      <w:r w:rsidR="009A5406">
        <w:rPr>
          <w:lang w:val="sr-Latn-RS"/>
        </w:rPr>
        <w:t>4</w:t>
      </w:r>
    </w:p>
    <w:p w:rsidR="00AE17D2" w:rsidRPr="00CD68AF" w:rsidRDefault="0011214A" w:rsidP="00CD68AF">
      <w:pPr>
        <w:pStyle w:val="TOC2"/>
        <w:rPr>
          <w:rFonts w:eastAsia="Times New Roman"/>
          <w:lang w:val="sr-Latn-RS"/>
        </w:rPr>
      </w:pPr>
      <w:hyperlink w:anchor="_Toc477251719" w:history="1">
        <w:r w:rsidR="00AE17D2" w:rsidRPr="00CD68AF">
          <w:rPr>
            <w:rStyle w:val="Hyperlink"/>
          </w:rPr>
          <w:t>1.2.</w:t>
        </w:r>
        <w:r w:rsidR="00AE17D2" w:rsidRPr="00CD68AF">
          <w:rPr>
            <w:rFonts w:eastAsia="Times New Roman"/>
            <w:lang w:val="en-US"/>
          </w:rPr>
          <w:tab/>
        </w:r>
        <w:r w:rsidR="00396792" w:rsidRPr="00CD68AF">
          <w:rPr>
            <w:rStyle w:val="Hyperlink"/>
            <w:lang w:val="sr-Latn-RS"/>
          </w:rPr>
          <w:t>Strateški plan</w:t>
        </w:r>
        <w:r w:rsidR="00396792" w:rsidRPr="00CD68AF">
          <w:rPr>
            <w:rStyle w:val="Hyperlink"/>
          </w:rPr>
          <w:t xml:space="preserve"> </w:t>
        </w:r>
        <w:r w:rsidR="00396792" w:rsidRPr="00CD68AF">
          <w:rPr>
            <w:rStyle w:val="Hyperlink"/>
            <w:lang w:val="sr-Latn-RS"/>
          </w:rPr>
          <w:t>Poverenika za zaštitu ravnopravnosti</w:t>
        </w:r>
        <w:r w:rsidR="00AE17D2" w:rsidRPr="00CD68AF">
          <w:rPr>
            <w:rStyle w:val="Hyperlink"/>
          </w:rPr>
          <w:t xml:space="preserve"> 2016–</w:t>
        </w:r>
        <w:r w:rsidR="00396792" w:rsidRPr="00CD68AF">
          <w:rPr>
            <w:rStyle w:val="Hyperlink"/>
          </w:rPr>
          <w:t xml:space="preserve">2020. </w:t>
        </w:r>
        <w:r w:rsidR="00396792" w:rsidRPr="00CD68AF">
          <w:rPr>
            <w:rStyle w:val="Hyperlink"/>
            <w:lang w:val="sr-Latn-RS"/>
          </w:rPr>
          <w:t>godine</w:t>
        </w:r>
        <w:r w:rsidR="00AE17D2" w:rsidRPr="00CD68AF">
          <w:rPr>
            <w:webHidden/>
          </w:rPr>
          <w:tab/>
        </w:r>
        <w:r w:rsidR="00AE17D2" w:rsidRPr="00CD68AF">
          <w:rPr>
            <w:webHidden/>
          </w:rPr>
          <w:fldChar w:fldCharType="begin"/>
        </w:r>
        <w:r w:rsidR="00AE17D2" w:rsidRPr="00CD68AF">
          <w:rPr>
            <w:webHidden/>
          </w:rPr>
          <w:instrText xml:space="preserve"> PAGEREF _Toc477251719 \h </w:instrText>
        </w:r>
        <w:r w:rsidR="00AE17D2" w:rsidRPr="00CD68AF">
          <w:rPr>
            <w:webHidden/>
          </w:rPr>
        </w:r>
        <w:r w:rsidR="00AE17D2" w:rsidRPr="00CD68AF">
          <w:rPr>
            <w:webHidden/>
          </w:rPr>
          <w:fldChar w:fldCharType="separate"/>
        </w:r>
        <w:r w:rsidR="00AE17D2" w:rsidRPr="00CD68AF">
          <w:rPr>
            <w:webHidden/>
          </w:rPr>
          <w:t>1</w:t>
        </w:r>
        <w:r w:rsidR="00AE17D2" w:rsidRPr="00CD68AF">
          <w:rPr>
            <w:webHidden/>
          </w:rPr>
          <w:fldChar w:fldCharType="end"/>
        </w:r>
      </w:hyperlink>
      <w:r w:rsidR="009A5406" w:rsidRPr="00CD68AF">
        <w:rPr>
          <w:lang w:val="sr-Latn-RS"/>
        </w:rPr>
        <w:t>5</w:t>
      </w:r>
    </w:p>
    <w:p w:rsidR="00AE17D2" w:rsidRPr="009A5406" w:rsidRDefault="0011214A" w:rsidP="00AE17D2">
      <w:pPr>
        <w:pStyle w:val="TOC1"/>
        <w:rPr>
          <w:rFonts w:eastAsia="Times New Roman"/>
          <w:lang w:val="sr-Latn-RS"/>
        </w:rPr>
      </w:pPr>
      <w:hyperlink w:anchor="_Toc477251720" w:history="1">
        <w:r w:rsidR="00AE17D2" w:rsidRPr="001D608C">
          <w:rPr>
            <w:rStyle w:val="Hyperlink"/>
          </w:rPr>
          <w:t>2.</w:t>
        </w:r>
        <w:r w:rsidR="00AE17D2" w:rsidRPr="001D608C">
          <w:rPr>
            <w:rFonts w:eastAsia="Times New Roman"/>
            <w:lang w:val="en-US"/>
          </w:rPr>
          <w:tab/>
        </w:r>
        <w:r w:rsidR="009629A7">
          <w:rPr>
            <w:rStyle w:val="Hyperlink"/>
            <w:lang w:val="sr-Latn-RS"/>
          </w:rPr>
          <w:t>normativni okvir</w:t>
        </w:r>
        <w:r w:rsidR="00AE17D2" w:rsidRPr="001D608C">
          <w:rPr>
            <w:rStyle w:val="Hyperlink"/>
          </w:rPr>
          <w:t xml:space="preserve"> </w:t>
        </w:r>
        <w:r w:rsidR="009629A7">
          <w:rPr>
            <w:rStyle w:val="Hyperlink"/>
            <w:lang w:val="sr-Latn-RS"/>
          </w:rPr>
          <w:t>ostvarivanja i zaštite ravnopravnosti</w:t>
        </w:r>
        <w:r w:rsidR="00AE17D2" w:rsidRPr="001D608C">
          <w:rPr>
            <w:webHidden/>
          </w:rPr>
          <w:tab/>
        </w:r>
        <w:r w:rsidR="00AE17D2" w:rsidRPr="001D608C">
          <w:rPr>
            <w:webHidden/>
          </w:rPr>
          <w:fldChar w:fldCharType="begin"/>
        </w:r>
        <w:r w:rsidR="00AE17D2" w:rsidRPr="001D608C">
          <w:rPr>
            <w:webHidden/>
          </w:rPr>
          <w:instrText xml:space="preserve"> PAGEREF _Toc477251720 \h </w:instrText>
        </w:r>
        <w:r w:rsidR="00AE17D2" w:rsidRPr="001D608C">
          <w:rPr>
            <w:webHidden/>
          </w:rPr>
        </w:r>
        <w:r w:rsidR="00AE17D2" w:rsidRPr="001D608C">
          <w:rPr>
            <w:webHidden/>
          </w:rPr>
          <w:fldChar w:fldCharType="separate"/>
        </w:r>
        <w:r w:rsidR="00AE17D2" w:rsidRPr="001D608C">
          <w:rPr>
            <w:webHidden/>
          </w:rPr>
          <w:t>1</w:t>
        </w:r>
        <w:r w:rsidR="00AE17D2" w:rsidRPr="001D608C">
          <w:rPr>
            <w:webHidden/>
          </w:rPr>
          <w:fldChar w:fldCharType="end"/>
        </w:r>
      </w:hyperlink>
      <w:r w:rsidR="009A5406">
        <w:rPr>
          <w:lang w:val="sr-Latn-RS"/>
        </w:rPr>
        <w:t>6</w:t>
      </w:r>
    </w:p>
    <w:p w:rsidR="00AE17D2" w:rsidRPr="00CD68AF" w:rsidRDefault="0011214A" w:rsidP="00CD68AF">
      <w:pPr>
        <w:pStyle w:val="TOC2"/>
        <w:rPr>
          <w:rFonts w:eastAsia="Times New Roman"/>
          <w:lang w:val="en-US"/>
        </w:rPr>
      </w:pPr>
      <w:hyperlink w:anchor="_Toc477251721" w:history="1">
        <w:r w:rsidR="00AE17D2" w:rsidRPr="00CD68AF">
          <w:rPr>
            <w:rStyle w:val="Hyperlink"/>
          </w:rPr>
          <w:t>2.1.</w:t>
        </w:r>
        <w:r w:rsidR="00AE17D2" w:rsidRPr="00CD68AF">
          <w:rPr>
            <w:rFonts w:eastAsia="Times New Roman"/>
            <w:lang w:val="en-US"/>
          </w:rPr>
          <w:tab/>
        </w:r>
        <w:r w:rsidR="009629A7" w:rsidRPr="00CD68AF">
          <w:rPr>
            <w:rStyle w:val="Hyperlink"/>
            <w:lang w:val="sr-Latn-RS"/>
          </w:rPr>
          <w:t>Pregled važećih propisa</w:t>
        </w:r>
        <w:r w:rsidR="00AE17D2" w:rsidRPr="00CD68AF">
          <w:rPr>
            <w:webHidden/>
          </w:rPr>
          <w:tab/>
        </w:r>
        <w:r w:rsidR="009A5406" w:rsidRPr="00CD68AF">
          <w:rPr>
            <w:webHidden/>
            <w:lang w:val="sr-Latn-RS"/>
          </w:rPr>
          <w:t>16</w:t>
        </w:r>
      </w:hyperlink>
    </w:p>
    <w:p w:rsidR="00AE17D2" w:rsidRPr="00CD68AF" w:rsidRDefault="0011214A" w:rsidP="00CD68AF">
      <w:pPr>
        <w:pStyle w:val="TOC2"/>
        <w:rPr>
          <w:rFonts w:eastAsia="Times New Roman"/>
          <w:lang w:val="en-US"/>
        </w:rPr>
      </w:pPr>
      <w:hyperlink w:anchor="_Toc477251722" w:history="1">
        <w:r w:rsidR="00AE17D2" w:rsidRPr="00CD68AF">
          <w:rPr>
            <w:rStyle w:val="Hyperlink"/>
          </w:rPr>
          <w:t>2.2.</w:t>
        </w:r>
        <w:r w:rsidR="00AE17D2" w:rsidRPr="00CD68AF">
          <w:rPr>
            <w:rFonts w:eastAsia="Times New Roman"/>
            <w:lang w:val="en-US"/>
          </w:rPr>
          <w:tab/>
        </w:r>
        <w:r w:rsidR="009629A7" w:rsidRPr="00CD68AF">
          <w:rPr>
            <w:rStyle w:val="Hyperlink"/>
            <w:lang w:val="sr-Latn-RS"/>
          </w:rPr>
          <w:t>Normativne izmene u toku</w:t>
        </w:r>
        <w:r w:rsidR="009629A7" w:rsidRPr="00CD68AF">
          <w:rPr>
            <w:rStyle w:val="Hyperlink"/>
          </w:rPr>
          <w:t xml:space="preserve"> 2016. </w:t>
        </w:r>
        <w:r w:rsidR="009629A7" w:rsidRPr="00CD68AF">
          <w:rPr>
            <w:rStyle w:val="Hyperlink"/>
            <w:lang w:val="sr-Latn-RS"/>
          </w:rPr>
          <w:t>godine</w:t>
        </w:r>
        <w:r w:rsidR="00AE17D2" w:rsidRPr="00CD68AF">
          <w:rPr>
            <w:webHidden/>
          </w:rPr>
          <w:tab/>
        </w:r>
        <w:r w:rsidR="009A5406" w:rsidRPr="00CD68AF">
          <w:rPr>
            <w:webHidden/>
            <w:lang w:val="sr-Latn-RS"/>
          </w:rPr>
          <w:t>21</w:t>
        </w:r>
      </w:hyperlink>
    </w:p>
    <w:p w:rsidR="00AE17D2" w:rsidRPr="001D608C" w:rsidRDefault="0011214A" w:rsidP="00AE17D2">
      <w:pPr>
        <w:pStyle w:val="TOC1"/>
        <w:rPr>
          <w:rFonts w:eastAsia="Times New Roman"/>
          <w:lang w:val="en-US"/>
        </w:rPr>
      </w:pPr>
      <w:hyperlink w:anchor="_Toc477251723" w:history="1">
        <w:r w:rsidR="00AE17D2" w:rsidRPr="001D608C">
          <w:rPr>
            <w:rStyle w:val="Hyperlink"/>
          </w:rPr>
          <w:t>3.</w:t>
        </w:r>
        <w:r w:rsidR="00AE17D2" w:rsidRPr="001D608C">
          <w:rPr>
            <w:rFonts w:eastAsia="Times New Roman"/>
            <w:lang w:val="en-US"/>
          </w:rPr>
          <w:tab/>
        </w:r>
        <w:r w:rsidR="009629A7">
          <w:rPr>
            <w:rStyle w:val="Hyperlink"/>
            <w:lang w:val="sr-Latn-RS"/>
          </w:rPr>
          <w:t>opis stanja i postupanje poverenika</w:t>
        </w:r>
        <w:r w:rsidR="009629A7">
          <w:rPr>
            <w:rStyle w:val="Hyperlink"/>
          </w:rPr>
          <w:t xml:space="preserve"> </w:t>
        </w:r>
        <w:r w:rsidR="009629A7">
          <w:rPr>
            <w:rStyle w:val="Hyperlink"/>
            <w:lang w:val="sr-Latn-RS"/>
          </w:rPr>
          <w:t>u suzbijanju diskriminacije i unapređivanju ravnopravnosti</w:t>
        </w:r>
        <w:r w:rsidR="00AE17D2" w:rsidRPr="001D608C">
          <w:rPr>
            <w:webHidden/>
          </w:rPr>
          <w:tab/>
        </w:r>
        <w:r w:rsidR="009A5406">
          <w:rPr>
            <w:webHidden/>
            <w:lang w:val="sr-Latn-RS"/>
          </w:rPr>
          <w:t>28</w:t>
        </w:r>
      </w:hyperlink>
    </w:p>
    <w:p w:rsidR="00AE17D2" w:rsidRPr="001D608C" w:rsidRDefault="0011214A" w:rsidP="00CD68AF">
      <w:pPr>
        <w:pStyle w:val="TOC2"/>
        <w:rPr>
          <w:rFonts w:eastAsia="Times New Roman"/>
          <w:lang w:val="en-US"/>
        </w:rPr>
      </w:pPr>
      <w:hyperlink w:anchor="_Toc477251724" w:history="1">
        <w:r w:rsidR="00AE17D2" w:rsidRPr="001D608C">
          <w:rPr>
            <w:rStyle w:val="Hyperlink"/>
          </w:rPr>
          <w:t>3.1.</w:t>
        </w:r>
        <w:r w:rsidR="00AE17D2" w:rsidRPr="001D608C">
          <w:rPr>
            <w:rFonts w:eastAsia="Times New Roman"/>
            <w:lang w:val="en-US"/>
          </w:rPr>
          <w:tab/>
        </w:r>
        <w:r w:rsidR="009629A7" w:rsidRPr="00CD68AF">
          <w:rPr>
            <w:rStyle w:val="Hyperlink"/>
            <w:lang w:val="sr-Latn-RS"/>
          </w:rPr>
          <w:t>Istraživanja Poverenika za zaštitu ravnopravnosti</w:t>
        </w:r>
        <w:r w:rsidR="00AE17D2" w:rsidRPr="00CD68AF">
          <w:rPr>
            <w:webHidden/>
          </w:rPr>
          <w:tab/>
        </w:r>
        <w:r w:rsidR="009A5406" w:rsidRPr="00CD68AF">
          <w:rPr>
            <w:webHidden/>
            <w:lang w:val="sr-Latn-RS"/>
          </w:rPr>
          <w:t>28</w:t>
        </w:r>
      </w:hyperlink>
    </w:p>
    <w:p w:rsidR="00AE17D2" w:rsidRPr="001D608C" w:rsidRDefault="0011214A" w:rsidP="00AE17D2">
      <w:pPr>
        <w:pStyle w:val="TOC3"/>
        <w:jc w:val="both"/>
        <w:rPr>
          <w:noProof/>
        </w:rPr>
      </w:pPr>
      <w:hyperlink w:anchor="_Toc477251725" w:history="1">
        <w:r w:rsidR="00AE17D2" w:rsidRPr="001D608C">
          <w:rPr>
            <w:rStyle w:val="Hyperlink"/>
            <w:noProof/>
          </w:rPr>
          <w:t>3.1.1.</w:t>
        </w:r>
        <w:r w:rsidR="00AE17D2" w:rsidRPr="001D608C">
          <w:rPr>
            <w:noProof/>
          </w:rPr>
          <w:tab/>
        </w:r>
        <w:r w:rsidR="00091B13">
          <w:rPr>
            <w:rStyle w:val="Hyperlink"/>
            <w:noProof/>
          </w:rPr>
          <w:t>Istraživanje javnog mnjenja „Odnos građana i građanki prema diskriminaciji u Srbiji</w:t>
        </w:r>
        <w:r w:rsidR="00AE17D2" w:rsidRPr="001D608C">
          <w:rPr>
            <w:rStyle w:val="Hyperlink"/>
            <w:noProof/>
          </w:rPr>
          <w:t>“</w:t>
        </w:r>
        <w:r w:rsidR="00AE17D2" w:rsidRPr="001D608C">
          <w:rPr>
            <w:noProof/>
            <w:webHidden/>
          </w:rPr>
          <w:t>..........................................................................................................................................</w:t>
        </w:r>
        <w:r w:rsidR="009A5406">
          <w:rPr>
            <w:noProof/>
            <w:webHidden/>
          </w:rPr>
          <w:t>29</w:t>
        </w:r>
      </w:hyperlink>
    </w:p>
    <w:p w:rsidR="00AE17D2" w:rsidRPr="001D608C" w:rsidRDefault="0011214A" w:rsidP="00AE17D2">
      <w:pPr>
        <w:pStyle w:val="TOC4"/>
        <w:rPr>
          <w:rFonts w:ascii="Arial" w:eastAsia="Times New Roman" w:hAnsi="Arial" w:cs="Arial"/>
          <w:noProof/>
          <w:sz w:val="20"/>
          <w:szCs w:val="20"/>
          <w:lang w:val="en-US"/>
        </w:rPr>
      </w:pPr>
      <w:hyperlink w:anchor="_Toc477251726" w:history="1">
        <w:r w:rsidR="00AE17D2" w:rsidRPr="001D608C">
          <w:rPr>
            <w:rStyle w:val="Hyperlink"/>
            <w:rFonts w:ascii="Arial" w:hAnsi="Arial" w:cs="Arial"/>
            <w:noProof/>
            <w:sz w:val="20"/>
            <w:szCs w:val="20"/>
          </w:rPr>
          <w:t>3.1.1.1.</w:t>
        </w:r>
        <w:r w:rsidR="00AE17D2" w:rsidRPr="001D608C">
          <w:rPr>
            <w:rFonts w:ascii="Arial" w:eastAsia="Times New Roman" w:hAnsi="Arial" w:cs="Arial"/>
            <w:noProof/>
            <w:sz w:val="20"/>
            <w:szCs w:val="20"/>
            <w:lang w:val="en-US"/>
          </w:rPr>
          <w:tab/>
        </w:r>
        <w:r w:rsidR="00091B13">
          <w:rPr>
            <w:rStyle w:val="Hyperlink"/>
            <w:rFonts w:ascii="Arial" w:hAnsi="Arial" w:cs="Arial"/>
            <w:noProof/>
            <w:sz w:val="20"/>
            <w:szCs w:val="20"/>
            <w:lang w:val="sr-Latn-RS"/>
          </w:rPr>
          <w:t>Izloženost diskriminaciji i poverenje u državne institucije</w:t>
        </w:r>
        <w:r w:rsidR="00AE17D2" w:rsidRPr="001D608C">
          <w:rPr>
            <w:rFonts w:ascii="Arial" w:hAnsi="Arial" w:cs="Arial"/>
            <w:noProof/>
            <w:webHidden/>
            <w:sz w:val="20"/>
            <w:szCs w:val="20"/>
          </w:rPr>
          <w:tab/>
        </w:r>
        <w:r w:rsidR="009A5406">
          <w:rPr>
            <w:rFonts w:ascii="Arial" w:hAnsi="Arial" w:cs="Arial"/>
            <w:noProof/>
            <w:webHidden/>
            <w:sz w:val="20"/>
            <w:szCs w:val="20"/>
            <w:lang w:val="sr-Latn-RS"/>
          </w:rPr>
          <w:t>29</w:t>
        </w:r>
      </w:hyperlink>
    </w:p>
    <w:p w:rsidR="00AE17D2" w:rsidRPr="001D608C" w:rsidRDefault="0011214A" w:rsidP="00AE17D2">
      <w:pPr>
        <w:pStyle w:val="TOC4"/>
        <w:rPr>
          <w:rFonts w:ascii="Arial" w:eastAsia="Times New Roman" w:hAnsi="Arial" w:cs="Arial"/>
          <w:noProof/>
          <w:sz w:val="20"/>
          <w:szCs w:val="20"/>
          <w:lang w:val="en-US"/>
        </w:rPr>
      </w:pPr>
      <w:hyperlink w:anchor="_Toc477251727" w:history="1">
        <w:r w:rsidR="00AE17D2" w:rsidRPr="001D608C">
          <w:rPr>
            <w:rStyle w:val="Hyperlink"/>
            <w:rFonts w:ascii="Arial" w:hAnsi="Arial" w:cs="Arial"/>
            <w:noProof/>
            <w:sz w:val="20"/>
            <w:szCs w:val="20"/>
          </w:rPr>
          <w:t>3.1.1.2.</w:t>
        </w:r>
        <w:r w:rsidR="00AE17D2" w:rsidRPr="001D608C">
          <w:rPr>
            <w:rFonts w:ascii="Arial" w:eastAsia="Times New Roman" w:hAnsi="Arial" w:cs="Arial"/>
            <w:noProof/>
            <w:sz w:val="20"/>
            <w:szCs w:val="20"/>
            <w:lang w:val="en-US"/>
          </w:rPr>
          <w:tab/>
        </w:r>
        <w:r w:rsidR="00091B13">
          <w:rPr>
            <w:rFonts w:ascii="Arial" w:eastAsia="Times New Roman" w:hAnsi="Arial" w:cs="Arial"/>
            <w:noProof/>
            <w:sz w:val="20"/>
            <w:szCs w:val="20"/>
            <w:lang w:val="en-US"/>
          </w:rPr>
          <w:t>Poimanje i prepoznavanje diskriminacije</w:t>
        </w:r>
        <w:r w:rsidR="00AE17D2" w:rsidRPr="001D608C">
          <w:rPr>
            <w:rFonts w:ascii="Arial" w:hAnsi="Arial" w:cs="Arial"/>
            <w:noProof/>
            <w:webHidden/>
            <w:sz w:val="20"/>
            <w:szCs w:val="20"/>
          </w:rPr>
          <w:tab/>
        </w:r>
        <w:r w:rsidR="009A5406">
          <w:rPr>
            <w:rFonts w:ascii="Arial" w:hAnsi="Arial" w:cs="Arial"/>
            <w:noProof/>
            <w:webHidden/>
            <w:sz w:val="20"/>
            <w:szCs w:val="20"/>
            <w:lang w:val="sr-Latn-RS"/>
          </w:rPr>
          <w:t>30</w:t>
        </w:r>
      </w:hyperlink>
    </w:p>
    <w:p w:rsidR="00AE17D2" w:rsidRPr="001D608C" w:rsidRDefault="0011214A" w:rsidP="00AE17D2">
      <w:pPr>
        <w:pStyle w:val="TOC4"/>
        <w:rPr>
          <w:rFonts w:ascii="Arial" w:eastAsia="Times New Roman" w:hAnsi="Arial" w:cs="Arial"/>
          <w:noProof/>
          <w:sz w:val="20"/>
          <w:szCs w:val="20"/>
          <w:lang w:val="en-US"/>
        </w:rPr>
      </w:pPr>
      <w:hyperlink w:anchor="_Toc477251728" w:history="1">
        <w:r w:rsidR="00AE17D2" w:rsidRPr="001D608C">
          <w:rPr>
            <w:rStyle w:val="Hyperlink"/>
            <w:rFonts w:ascii="Arial" w:hAnsi="Arial" w:cs="Arial"/>
            <w:noProof/>
            <w:sz w:val="20"/>
            <w:szCs w:val="20"/>
          </w:rPr>
          <w:t>3.1.1.3.</w:t>
        </w:r>
        <w:r w:rsidR="00AE17D2" w:rsidRPr="001D608C">
          <w:rPr>
            <w:rFonts w:ascii="Arial" w:eastAsia="Times New Roman" w:hAnsi="Arial" w:cs="Arial"/>
            <w:noProof/>
            <w:sz w:val="20"/>
            <w:szCs w:val="20"/>
            <w:lang w:val="en-US"/>
          </w:rPr>
          <w:tab/>
        </w:r>
        <w:r w:rsidR="00091B13">
          <w:rPr>
            <w:rStyle w:val="Hyperlink"/>
            <w:rFonts w:ascii="Arial" w:hAnsi="Arial" w:cs="Arial"/>
            <w:noProof/>
            <w:sz w:val="20"/>
            <w:szCs w:val="20"/>
            <w:lang w:val="sr-Latn-RS"/>
          </w:rPr>
          <w:t>Stavovi o najdiskriminisanijim društvenim grupama</w:t>
        </w:r>
        <w:r w:rsidR="00AE17D2" w:rsidRPr="001D608C">
          <w:rPr>
            <w:rFonts w:ascii="Arial" w:hAnsi="Arial" w:cs="Arial"/>
            <w:noProof/>
            <w:webHidden/>
            <w:sz w:val="20"/>
            <w:szCs w:val="20"/>
          </w:rPr>
          <w:tab/>
        </w:r>
        <w:r w:rsidR="009A5406">
          <w:rPr>
            <w:rFonts w:ascii="Arial" w:hAnsi="Arial" w:cs="Arial"/>
            <w:noProof/>
            <w:webHidden/>
            <w:sz w:val="20"/>
            <w:szCs w:val="20"/>
            <w:lang w:val="sr-Latn-RS"/>
          </w:rPr>
          <w:t>30</w:t>
        </w:r>
      </w:hyperlink>
    </w:p>
    <w:p w:rsidR="00AE17D2" w:rsidRPr="001D608C" w:rsidRDefault="0011214A" w:rsidP="00AE17D2">
      <w:pPr>
        <w:pStyle w:val="TOC4"/>
        <w:jc w:val="both"/>
        <w:rPr>
          <w:rFonts w:ascii="Arial" w:eastAsia="Times New Roman" w:hAnsi="Arial" w:cs="Arial"/>
          <w:noProof/>
          <w:sz w:val="20"/>
          <w:szCs w:val="20"/>
          <w:lang w:val="en-US"/>
        </w:rPr>
      </w:pPr>
      <w:hyperlink w:anchor="_Toc477251729" w:history="1">
        <w:r w:rsidR="00AE17D2" w:rsidRPr="001D608C">
          <w:rPr>
            <w:rStyle w:val="Hyperlink"/>
            <w:rFonts w:ascii="Arial" w:hAnsi="Arial" w:cs="Arial"/>
            <w:noProof/>
            <w:sz w:val="20"/>
            <w:szCs w:val="20"/>
          </w:rPr>
          <w:t>3.1.1.4.</w:t>
        </w:r>
        <w:r w:rsidR="00AE17D2" w:rsidRPr="001D608C">
          <w:rPr>
            <w:rFonts w:ascii="Arial" w:eastAsia="Times New Roman" w:hAnsi="Arial" w:cs="Arial"/>
            <w:noProof/>
            <w:sz w:val="20"/>
            <w:szCs w:val="20"/>
            <w:lang w:val="en-US"/>
          </w:rPr>
          <w:tab/>
        </w:r>
        <w:r w:rsidR="00091B13">
          <w:rPr>
            <w:rFonts w:ascii="Arial" w:eastAsia="Times New Roman" w:hAnsi="Arial" w:cs="Arial"/>
            <w:noProof/>
            <w:sz w:val="20"/>
            <w:szCs w:val="20"/>
            <w:lang w:val="en-US"/>
          </w:rPr>
          <w:t>Stavovi o oblastima društvenih odnosa u kojima je diskriminacija najučestalija</w:t>
        </w:r>
        <w:r w:rsidR="00AE17D2" w:rsidRPr="001D608C">
          <w:rPr>
            <w:rFonts w:ascii="Arial" w:hAnsi="Arial" w:cs="Arial"/>
            <w:noProof/>
            <w:webHidden/>
            <w:sz w:val="20"/>
            <w:szCs w:val="20"/>
          </w:rPr>
          <w:tab/>
        </w:r>
        <w:r w:rsidR="009A5406">
          <w:rPr>
            <w:rFonts w:ascii="Arial" w:hAnsi="Arial" w:cs="Arial"/>
            <w:noProof/>
            <w:webHidden/>
            <w:sz w:val="20"/>
            <w:szCs w:val="20"/>
            <w:lang w:val="sr-Latn-RS"/>
          </w:rPr>
          <w:t>31</w:t>
        </w:r>
      </w:hyperlink>
    </w:p>
    <w:p w:rsidR="00AE17D2" w:rsidRPr="001D608C" w:rsidRDefault="0011214A" w:rsidP="00AE17D2">
      <w:pPr>
        <w:pStyle w:val="TOC4"/>
        <w:rPr>
          <w:rFonts w:ascii="Arial" w:eastAsia="Times New Roman" w:hAnsi="Arial" w:cs="Arial"/>
          <w:noProof/>
          <w:sz w:val="20"/>
          <w:szCs w:val="20"/>
          <w:lang w:val="en-US"/>
        </w:rPr>
      </w:pPr>
      <w:hyperlink w:anchor="_Toc477251730" w:history="1">
        <w:r w:rsidR="00AE17D2" w:rsidRPr="001D608C">
          <w:rPr>
            <w:rStyle w:val="Hyperlink"/>
            <w:rFonts w:ascii="Arial" w:hAnsi="Arial" w:cs="Arial"/>
            <w:noProof/>
            <w:sz w:val="20"/>
            <w:szCs w:val="20"/>
          </w:rPr>
          <w:t>3.1.1.5.</w:t>
        </w:r>
        <w:r w:rsidR="00AE17D2" w:rsidRPr="001D608C">
          <w:rPr>
            <w:rFonts w:ascii="Arial" w:eastAsia="Times New Roman" w:hAnsi="Arial" w:cs="Arial"/>
            <w:noProof/>
            <w:sz w:val="20"/>
            <w:szCs w:val="20"/>
            <w:lang w:val="en-US"/>
          </w:rPr>
          <w:tab/>
        </w:r>
        <w:r w:rsidR="00091B13">
          <w:rPr>
            <w:rStyle w:val="Hyperlink"/>
            <w:rFonts w:ascii="Arial" w:hAnsi="Arial" w:cs="Arial"/>
            <w:noProof/>
            <w:sz w:val="20"/>
            <w:szCs w:val="20"/>
            <w:lang w:val="sr-Latn-RS"/>
          </w:rPr>
          <w:t>Percepcija diskriminacije</w:t>
        </w:r>
        <w:r w:rsidR="00AE17D2" w:rsidRPr="001D608C">
          <w:rPr>
            <w:rFonts w:ascii="Arial" w:hAnsi="Arial" w:cs="Arial"/>
            <w:noProof/>
            <w:webHidden/>
            <w:sz w:val="20"/>
            <w:szCs w:val="20"/>
          </w:rPr>
          <w:tab/>
        </w:r>
        <w:r w:rsidR="009A5406">
          <w:rPr>
            <w:rFonts w:ascii="Arial" w:hAnsi="Arial" w:cs="Arial"/>
            <w:noProof/>
            <w:webHidden/>
            <w:sz w:val="20"/>
            <w:szCs w:val="20"/>
            <w:lang w:val="sr-Latn-RS"/>
          </w:rPr>
          <w:t>31</w:t>
        </w:r>
      </w:hyperlink>
    </w:p>
    <w:p w:rsidR="00AE17D2" w:rsidRPr="001D608C" w:rsidRDefault="0011214A" w:rsidP="00AE17D2">
      <w:pPr>
        <w:pStyle w:val="TOC4"/>
        <w:rPr>
          <w:rFonts w:ascii="Arial" w:eastAsia="Times New Roman" w:hAnsi="Arial" w:cs="Arial"/>
          <w:noProof/>
          <w:sz w:val="20"/>
          <w:szCs w:val="20"/>
          <w:lang w:val="en-US"/>
        </w:rPr>
      </w:pPr>
      <w:hyperlink w:anchor="_Toc477251731" w:history="1">
        <w:r w:rsidR="00AE17D2" w:rsidRPr="001D608C">
          <w:rPr>
            <w:rStyle w:val="Hyperlink"/>
            <w:rFonts w:ascii="Arial" w:hAnsi="Arial" w:cs="Arial"/>
            <w:noProof/>
            <w:sz w:val="20"/>
            <w:szCs w:val="20"/>
          </w:rPr>
          <w:t>3.1.1.6.</w:t>
        </w:r>
        <w:r w:rsidR="00AE17D2" w:rsidRPr="001D608C">
          <w:rPr>
            <w:rFonts w:ascii="Arial" w:eastAsia="Times New Roman" w:hAnsi="Arial" w:cs="Arial"/>
            <w:noProof/>
            <w:sz w:val="20"/>
            <w:szCs w:val="20"/>
            <w:lang w:val="en-US"/>
          </w:rPr>
          <w:tab/>
        </w:r>
        <w:r w:rsidR="00091B13">
          <w:rPr>
            <w:rStyle w:val="Hyperlink"/>
            <w:rFonts w:ascii="Arial" w:hAnsi="Arial" w:cs="Arial"/>
            <w:noProof/>
            <w:sz w:val="20"/>
            <w:szCs w:val="20"/>
            <w:lang w:val="sr-Latn-RS"/>
          </w:rPr>
          <w:t>Etnička i socijalna distanca prema pripadnicima različitih grupa</w:t>
        </w:r>
        <w:r w:rsidR="00AE17D2" w:rsidRPr="001D608C">
          <w:rPr>
            <w:rFonts w:ascii="Arial" w:hAnsi="Arial" w:cs="Arial"/>
            <w:noProof/>
            <w:webHidden/>
            <w:sz w:val="20"/>
            <w:szCs w:val="20"/>
          </w:rPr>
          <w:tab/>
        </w:r>
        <w:r w:rsidR="009A5406">
          <w:rPr>
            <w:rFonts w:ascii="Arial" w:hAnsi="Arial" w:cs="Arial"/>
            <w:noProof/>
            <w:webHidden/>
            <w:sz w:val="20"/>
            <w:szCs w:val="20"/>
            <w:lang w:val="sr-Latn-RS"/>
          </w:rPr>
          <w:t>32</w:t>
        </w:r>
      </w:hyperlink>
    </w:p>
    <w:p w:rsidR="00AE17D2" w:rsidRPr="001D608C" w:rsidRDefault="0011214A" w:rsidP="00AE17D2">
      <w:pPr>
        <w:pStyle w:val="TOC4"/>
        <w:rPr>
          <w:rFonts w:ascii="Arial" w:eastAsia="Times New Roman" w:hAnsi="Arial" w:cs="Arial"/>
          <w:noProof/>
          <w:sz w:val="20"/>
          <w:szCs w:val="20"/>
          <w:lang w:val="en-US"/>
        </w:rPr>
      </w:pPr>
      <w:hyperlink w:anchor="_Toc477251732" w:history="1">
        <w:r w:rsidR="00AE17D2" w:rsidRPr="001D608C">
          <w:rPr>
            <w:rStyle w:val="Hyperlink"/>
            <w:rFonts w:ascii="Arial" w:hAnsi="Arial" w:cs="Arial"/>
            <w:noProof/>
            <w:sz w:val="20"/>
            <w:szCs w:val="20"/>
          </w:rPr>
          <w:t>3.1.1.7.</w:t>
        </w:r>
        <w:r w:rsidR="00AE17D2" w:rsidRPr="001D608C">
          <w:rPr>
            <w:rFonts w:ascii="Arial" w:eastAsia="Times New Roman" w:hAnsi="Arial" w:cs="Arial"/>
            <w:noProof/>
            <w:sz w:val="20"/>
            <w:szCs w:val="20"/>
            <w:lang w:val="en-US"/>
          </w:rPr>
          <w:tab/>
        </w:r>
        <w:r w:rsidR="00091B13">
          <w:rPr>
            <w:rFonts w:ascii="Arial" w:eastAsia="Times New Roman" w:hAnsi="Arial" w:cs="Arial"/>
            <w:noProof/>
            <w:sz w:val="20"/>
            <w:szCs w:val="20"/>
            <w:lang w:val="en-US"/>
          </w:rPr>
          <w:t>Odnos građana prema posebnim (afirmativnim) merama</w:t>
        </w:r>
        <w:r w:rsidR="00AE17D2" w:rsidRPr="001D608C">
          <w:rPr>
            <w:rFonts w:ascii="Arial" w:hAnsi="Arial" w:cs="Arial"/>
            <w:noProof/>
            <w:webHidden/>
            <w:sz w:val="20"/>
            <w:szCs w:val="20"/>
          </w:rPr>
          <w:tab/>
        </w:r>
        <w:r w:rsidR="009A5406">
          <w:rPr>
            <w:rFonts w:ascii="Arial" w:hAnsi="Arial" w:cs="Arial"/>
            <w:noProof/>
            <w:webHidden/>
            <w:sz w:val="20"/>
            <w:szCs w:val="20"/>
            <w:lang w:val="sr-Latn-RS"/>
          </w:rPr>
          <w:t>32</w:t>
        </w:r>
      </w:hyperlink>
    </w:p>
    <w:p w:rsidR="00AE17D2" w:rsidRPr="001D608C" w:rsidRDefault="0011214A" w:rsidP="00AE17D2">
      <w:pPr>
        <w:pStyle w:val="TOC4"/>
        <w:rPr>
          <w:rFonts w:ascii="Arial" w:eastAsia="Times New Roman" w:hAnsi="Arial" w:cs="Arial"/>
          <w:noProof/>
          <w:sz w:val="20"/>
          <w:szCs w:val="20"/>
          <w:lang w:val="en-US"/>
        </w:rPr>
      </w:pPr>
      <w:hyperlink w:anchor="_Toc477251733" w:history="1">
        <w:r w:rsidR="00AE17D2" w:rsidRPr="001D608C">
          <w:rPr>
            <w:rStyle w:val="Hyperlink"/>
            <w:rFonts w:ascii="Arial" w:hAnsi="Arial" w:cs="Arial"/>
            <w:noProof/>
            <w:sz w:val="20"/>
            <w:szCs w:val="20"/>
          </w:rPr>
          <w:t>3.1.1.8.</w:t>
        </w:r>
        <w:r w:rsidR="00AE17D2" w:rsidRPr="001D608C">
          <w:rPr>
            <w:rFonts w:ascii="Arial" w:eastAsia="Times New Roman" w:hAnsi="Arial" w:cs="Arial"/>
            <w:noProof/>
            <w:sz w:val="20"/>
            <w:szCs w:val="20"/>
            <w:lang w:val="en-US"/>
          </w:rPr>
          <w:tab/>
        </w:r>
        <w:r w:rsidR="00155C98">
          <w:rPr>
            <w:rFonts w:ascii="Arial" w:eastAsia="Times New Roman" w:hAnsi="Arial" w:cs="Arial"/>
            <w:noProof/>
            <w:sz w:val="20"/>
            <w:szCs w:val="20"/>
            <w:lang w:val="en-US"/>
          </w:rPr>
          <w:t>Upoznatost sa zakonodavnim okrivom i percepcija o stepenu primene zakona</w:t>
        </w:r>
        <w:r w:rsidR="00AE17D2" w:rsidRPr="001D608C">
          <w:rPr>
            <w:rFonts w:ascii="Arial" w:hAnsi="Arial" w:cs="Arial"/>
            <w:noProof/>
            <w:webHidden/>
            <w:sz w:val="20"/>
            <w:szCs w:val="20"/>
          </w:rPr>
          <w:tab/>
        </w:r>
        <w:r w:rsidR="009A5406">
          <w:rPr>
            <w:rFonts w:ascii="Arial" w:hAnsi="Arial" w:cs="Arial"/>
            <w:noProof/>
            <w:webHidden/>
            <w:sz w:val="20"/>
            <w:szCs w:val="20"/>
            <w:lang w:val="sr-Latn-RS"/>
          </w:rPr>
          <w:t>33</w:t>
        </w:r>
      </w:hyperlink>
    </w:p>
    <w:p w:rsidR="00AE17D2" w:rsidRPr="001D608C" w:rsidRDefault="0011214A" w:rsidP="00AE17D2">
      <w:pPr>
        <w:pStyle w:val="TOC4"/>
        <w:rPr>
          <w:rFonts w:ascii="Arial" w:eastAsia="Times New Roman" w:hAnsi="Arial" w:cs="Arial"/>
          <w:noProof/>
          <w:sz w:val="20"/>
          <w:szCs w:val="20"/>
          <w:lang w:val="en-US"/>
        </w:rPr>
      </w:pPr>
      <w:hyperlink w:anchor="_Toc477251734" w:history="1">
        <w:r w:rsidR="00AE17D2" w:rsidRPr="001D608C">
          <w:rPr>
            <w:rStyle w:val="Hyperlink"/>
            <w:rFonts w:ascii="Arial" w:hAnsi="Arial" w:cs="Arial"/>
            <w:noProof/>
            <w:sz w:val="20"/>
            <w:szCs w:val="20"/>
          </w:rPr>
          <w:t>3.1.1.9.</w:t>
        </w:r>
        <w:r w:rsidR="00AE17D2" w:rsidRPr="001D608C">
          <w:rPr>
            <w:rFonts w:ascii="Arial" w:eastAsia="Times New Roman" w:hAnsi="Arial" w:cs="Arial"/>
            <w:noProof/>
            <w:sz w:val="20"/>
            <w:szCs w:val="20"/>
            <w:lang w:val="en-US"/>
          </w:rPr>
          <w:tab/>
        </w:r>
        <w:r w:rsidR="009C1112">
          <w:rPr>
            <w:rStyle w:val="Hyperlink"/>
            <w:rFonts w:ascii="Arial" w:hAnsi="Arial" w:cs="Arial"/>
            <w:noProof/>
            <w:sz w:val="20"/>
            <w:szCs w:val="20"/>
            <w:lang w:val="sr-Latn-RS"/>
          </w:rPr>
          <w:t>Prepoznavanje institucije Poverenika za zaštitu ravnopravnosti</w:t>
        </w:r>
        <w:r w:rsidR="00AE17D2" w:rsidRPr="001D608C">
          <w:rPr>
            <w:rFonts w:ascii="Arial" w:hAnsi="Arial" w:cs="Arial"/>
            <w:noProof/>
            <w:webHidden/>
            <w:sz w:val="20"/>
            <w:szCs w:val="20"/>
          </w:rPr>
          <w:tab/>
        </w:r>
        <w:r w:rsidR="009A5406">
          <w:rPr>
            <w:rFonts w:ascii="Arial" w:hAnsi="Arial" w:cs="Arial"/>
            <w:noProof/>
            <w:webHidden/>
            <w:sz w:val="20"/>
            <w:szCs w:val="20"/>
            <w:lang w:val="sr-Latn-RS"/>
          </w:rPr>
          <w:t>33</w:t>
        </w:r>
      </w:hyperlink>
    </w:p>
    <w:p w:rsidR="00AE17D2" w:rsidRPr="001D608C" w:rsidRDefault="0011214A" w:rsidP="00AE17D2">
      <w:pPr>
        <w:pStyle w:val="TOC4"/>
        <w:rPr>
          <w:rFonts w:ascii="Arial" w:eastAsia="Times New Roman" w:hAnsi="Arial" w:cs="Arial"/>
          <w:noProof/>
          <w:sz w:val="20"/>
          <w:szCs w:val="20"/>
          <w:lang w:val="en-US"/>
        </w:rPr>
      </w:pPr>
      <w:hyperlink w:anchor="_Toc477251735" w:history="1">
        <w:r w:rsidR="00AE17D2" w:rsidRPr="001D608C">
          <w:rPr>
            <w:rStyle w:val="Hyperlink"/>
            <w:rFonts w:ascii="Arial" w:hAnsi="Arial" w:cs="Arial"/>
            <w:noProof/>
            <w:sz w:val="20"/>
            <w:szCs w:val="20"/>
          </w:rPr>
          <w:t>3.1.1.10.</w:t>
        </w:r>
        <w:r w:rsidR="00AE17D2" w:rsidRPr="001D608C">
          <w:rPr>
            <w:rFonts w:ascii="Arial" w:eastAsia="Times New Roman" w:hAnsi="Arial" w:cs="Arial"/>
            <w:noProof/>
            <w:sz w:val="20"/>
            <w:szCs w:val="20"/>
            <w:lang w:val="en-US"/>
          </w:rPr>
          <w:tab/>
        </w:r>
        <w:r w:rsidR="009C1112">
          <w:rPr>
            <w:rStyle w:val="Hyperlink"/>
            <w:rFonts w:ascii="Arial" w:hAnsi="Arial" w:cs="Arial"/>
            <w:noProof/>
            <w:sz w:val="20"/>
            <w:szCs w:val="20"/>
            <w:lang w:val="sr-Latn-RS"/>
          </w:rPr>
          <w:t>Percepcija odgovonosti i uloge institucija u suzbijanju diskriminacije</w:t>
        </w:r>
        <w:r w:rsidR="00AE17D2" w:rsidRPr="001D608C">
          <w:rPr>
            <w:rFonts w:ascii="Arial" w:hAnsi="Arial" w:cs="Arial"/>
            <w:noProof/>
            <w:webHidden/>
            <w:sz w:val="20"/>
            <w:szCs w:val="20"/>
          </w:rPr>
          <w:tab/>
        </w:r>
        <w:r w:rsidR="009A5406">
          <w:rPr>
            <w:rFonts w:ascii="Arial" w:hAnsi="Arial" w:cs="Arial"/>
            <w:noProof/>
            <w:webHidden/>
            <w:sz w:val="20"/>
            <w:szCs w:val="20"/>
            <w:lang w:val="sr-Latn-RS"/>
          </w:rPr>
          <w:t>34</w:t>
        </w:r>
      </w:hyperlink>
    </w:p>
    <w:p w:rsidR="00AE17D2" w:rsidRPr="001D608C" w:rsidRDefault="0011214A" w:rsidP="00AE17D2">
      <w:pPr>
        <w:pStyle w:val="TOC4"/>
        <w:rPr>
          <w:rFonts w:ascii="Arial" w:eastAsia="Times New Roman" w:hAnsi="Arial" w:cs="Arial"/>
          <w:noProof/>
          <w:sz w:val="20"/>
          <w:szCs w:val="20"/>
          <w:lang w:val="en-US"/>
        </w:rPr>
      </w:pPr>
      <w:hyperlink w:anchor="_Toc477251736" w:history="1">
        <w:r w:rsidR="00AE17D2" w:rsidRPr="001D608C">
          <w:rPr>
            <w:rStyle w:val="Hyperlink"/>
            <w:rFonts w:ascii="Arial" w:hAnsi="Arial" w:cs="Arial"/>
            <w:noProof/>
            <w:sz w:val="20"/>
            <w:szCs w:val="20"/>
          </w:rPr>
          <w:t>3.1.1.11.</w:t>
        </w:r>
        <w:r w:rsidR="00AE17D2" w:rsidRPr="001D608C">
          <w:rPr>
            <w:rFonts w:ascii="Arial" w:eastAsia="Times New Roman" w:hAnsi="Arial" w:cs="Arial"/>
            <w:noProof/>
            <w:sz w:val="20"/>
            <w:szCs w:val="20"/>
            <w:lang w:val="en-US"/>
          </w:rPr>
          <w:tab/>
        </w:r>
        <w:r w:rsidR="009C1112">
          <w:rPr>
            <w:rStyle w:val="Hyperlink"/>
            <w:rFonts w:ascii="Arial" w:hAnsi="Arial" w:cs="Arial"/>
            <w:noProof/>
            <w:sz w:val="20"/>
            <w:szCs w:val="20"/>
            <w:lang w:val="sr-Latn-RS"/>
          </w:rPr>
          <w:t>Informisanje građana o diskriminaciji</w:t>
        </w:r>
        <w:r w:rsidR="00AE17D2" w:rsidRPr="001D608C">
          <w:rPr>
            <w:rFonts w:ascii="Arial" w:hAnsi="Arial" w:cs="Arial"/>
            <w:noProof/>
            <w:webHidden/>
            <w:sz w:val="20"/>
            <w:szCs w:val="20"/>
          </w:rPr>
          <w:tab/>
        </w:r>
        <w:r w:rsidR="009A5406">
          <w:rPr>
            <w:rFonts w:ascii="Arial" w:hAnsi="Arial" w:cs="Arial"/>
            <w:noProof/>
            <w:webHidden/>
            <w:sz w:val="20"/>
            <w:szCs w:val="20"/>
            <w:lang w:val="sr-Latn-RS"/>
          </w:rPr>
          <w:t>34</w:t>
        </w:r>
      </w:hyperlink>
    </w:p>
    <w:p w:rsidR="00AE17D2" w:rsidRPr="001D608C" w:rsidRDefault="0011214A" w:rsidP="00AE17D2">
      <w:pPr>
        <w:pStyle w:val="TOC3"/>
        <w:rPr>
          <w:noProof/>
        </w:rPr>
      </w:pPr>
      <w:hyperlink w:anchor="_Toc477251737" w:history="1">
        <w:r w:rsidR="00AE17D2" w:rsidRPr="001D608C">
          <w:rPr>
            <w:rStyle w:val="Hyperlink"/>
            <w:noProof/>
          </w:rPr>
          <w:t>3.1.2.</w:t>
        </w:r>
        <w:r w:rsidR="00AE17D2" w:rsidRPr="001D608C">
          <w:rPr>
            <w:noProof/>
          </w:rPr>
          <w:tab/>
        </w:r>
        <w:r w:rsidR="00AE7838">
          <w:rPr>
            <w:rStyle w:val="Hyperlink"/>
            <w:noProof/>
          </w:rPr>
          <w:t>Istraživanje „Položaj starijih u ruralnim oblastima</w:t>
        </w:r>
        <w:r w:rsidR="00AE17D2" w:rsidRPr="001D608C">
          <w:rPr>
            <w:rStyle w:val="Hyperlink"/>
            <w:noProof/>
          </w:rPr>
          <w:t>“</w:t>
        </w:r>
        <w:r w:rsidR="00AE17D2" w:rsidRPr="001D608C">
          <w:rPr>
            <w:noProof/>
            <w:webHidden/>
          </w:rPr>
          <w:tab/>
        </w:r>
        <w:r w:rsidR="009A5406">
          <w:rPr>
            <w:noProof/>
            <w:webHidden/>
          </w:rPr>
          <w:t>35</w:t>
        </w:r>
      </w:hyperlink>
    </w:p>
    <w:p w:rsidR="00AE17D2" w:rsidRPr="001D608C" w:rsidRDefault="0011214A" w:rsidP="00CD68AF">
      <w:pPr>
        <w:pStyle w:val="TOC2"/>
        <w:rPr>
          <w:rFonts w:eastAsia="Times New Roman"/>
          <w:lang w:val="en-US"/>
        </w:rPr>
      </w:pPr>
      <w:hyperlink w:anchor="_Toc477251738" w:history="1">
        <w:r w:rsidR="00AE17D2" w:rsidRPr="001D608C">
          <w:rPr>
            <w:rStyle w:val="Hyperlink"/>
          </w:rPr>
          <w:t>3.2.</w:t>
        </w:r>
        <w:r w:rsidR="00AE17D2" w:rsidRPr="001D608C">
          <w:rPr>
            <w:rFonts w:eastAsia="Times New Roman"/>
            <w:lang w:val="en-US"/>
          </w:rPr>
          <w:tab/>
        </w:r>
        <w:r w:rsidR="00AE7838">
          <w:rPr>
            <w:rStyle w:val="Hyperlink"/>
            <w:lang w:val="sr-Latn-RS"/>
          </w:rPr>
          <w:t>Izveštaji EU</w:t>
        </w:r>
        <w:r w:rsidR="00AE17D2" w:rsidRPr="001D608C">
          <w:rPr>
            <w:rStyle w:val="Hyperlink"/>
          </w:rPr>
          <w:t xml:space="preserve">, </w:t>
        </w:r>
        <w:r w:rsidR="00AE7838">
          <w:rPr>
            <w:rStyle w:val="Hyperlink"/>
            <w:lang w:val="sr-Latn-RS"/>
          </w:rPr>
          <w:t>međunarodnih organizacija i ugovornih tela</w:t>
        </w:r>
        <w:r w:rsidR="00AE17D2" w:rsidRPr="001D608C">
          <w:rPr>
            <w:webHidden/>
          </w:rPr>
          <w:tab/>
        </w:r>
        <w:r w:rsidR="009A5406">
          <w:rPr>
            <w:webHidden/>
            <w:lang w:val="sr-Latn-RS"/>
          </w:rPr>
          <w:t>36</w:t>
        </w:r>
      </w:hyperlink>
    </w:p>
    <w:p w:rsidR="00AE17D2" w:rsidRPr="001D608C" w:rsidRDefault="0011214A" w:rsidP="00CD68AF">
      <w:pPr>
        <w:pStyle w:val="TOC2"/>
        <w:rPr>
          <w:rFonts w:eastAsia="Times New Roman"/>
          <w:lang w:val="en-US"/>
        </w:rPr>
      </w:pPr>
      <w:hyperlink w:anchor="_Toc477251739" w:history="1">
        <w:r w:rsidR="00AE17D2" w:rsidRPr="001D608C">
          <w:rPr>
            <w:rStyle w:val="Hyperlink"/>
          </w:rPr>
          <w:t>3.3.</w:t>
        </w:r>
        <w:r w:rsidR="00AE17D2" w:rsidRPr="001D608C">
          <w:rPr>
            <w:rFonts w:eastAsia="Times New Roman"/>
            <w:lang w:val="en-US"/>
          </w:rPr>
          <w:tab/>
        </w:r>
        <w:r w:rsidR="00AE7838">
          <w:rPr>
            <w:rStyle w:val="Hyperlink"/>
            <w:lang w:val="sr-Latn-RS"/>
          </w:rPr>
          <w:t>Izveštaji i istraživanja domaćih institucija i organizacija</w:t>
        </w:r>
        <w:r w:rsidR="00AE17D2" w:rsidRPr="001D608C">
          <w:rPr>
            <w:webHidden/>
          </w:rPr>
          <w:tab/>
        </w:r>
        <w:r w:rsidR="009A5406">
          <w:rPr>
            <w:webHidden/>
            <w:lang w:val="sr-Latn-RS"/>
          </w:rPr>
          <w:t>41</w:t>
        </w:r>
      </w:hyperlink>
    </w:p>
    <w:p w:rsidR="00AE17D2" w:rsidRPr="001D608C" w:rsidRDefault="0011214A" w:rsidP="00CD68AF">
      <w:pPr>
        <w:pStyle w:val="TOC2"/>
        <w:rPr>
          <w:rFonts w:eastAsia="Times New Roman"/>
          <w:lang w:val="en-US"/>
        </w:rPr>
      </w:pPr>
      <w:hyperlink w:anchor="_Toc477251740" w:history="1">
        <w:r w:rsidR="00AE17D2" w:rsidRPr="001D608C">
          <w:rPr>
            <w:rStyle w:val="Hyperlink"/>
          </w:rPr>
          <w:t>3.4.</w:t>
        </w:r>
        <w:r w:rsidR="00AE17D2" w:rsidRPr="001D608C">
          <w:rPr>
            <w:rFonts w:eastAsia="Times New Roman"/>
            <w:lang w:val="en-US"/>
          </w:rPr>
          <w:tab/>
        </w:r>
        <w:r w:rsidR="007B100E">
          <w:rPr>
            <w:rStyle w:val="Hyperlink"/>
            <w:lang w:val="sr-Latn-RS"/>
          </w:rPr>
          <w:t>Praksa evropskog suda za ljudska prava</w:t>
        </w:r>
        <w:r w:rsidR="00AE17D2" w:rsidRPr="001D608C">
          <w:rPr>
            <w:webHidden/>
          </w:rPr>
          <w:tab/>
        </w:r>
        <w:r w:rsidR="009A5406">
          <w:rPr>
            <w:webHidden/>
            <w:lang w:val="sr-Latn-RS"/>
          </w:rPr>
          <w:t>58</w:t>
        </w:r>
      </w:hyperlink>
    </w:p>
    <w:p w:rsidR="00AE17D2" w:rsidRPr="001D608C" w:rsidRDefault="0011214A" w:rsidP="00CD68AF">
      <w:pPr>
        <w:pStyle w:val="TOC2"/>
        <w:rPr>
          <w:rFonts w:eastAsia="Times New Roman"/>
          <w:lang w:val="en-US"/>
        </w:rPr>
      </w:pPr>
      <w:hyperlink w:anchor="_Toc477251741" w:history="1">
        <w:r w:rsidR="00AE17D2" w:rsidRPr="001D608C">
          <w:rPr>
            <w:rStyle w:val="Hyperlink"/>
          </w:rPr>
          <w:t>3.5.</w:t>
        </w:r>
        <w:r w:rsidR="00AE17D2" w:rsidRPr="001D608C">
          <w:rPr>
            <w:rFonts w:eastAsia="Times New Roman"/>
            <w:lang w:val="en-US"/>
          </w:rPr>
          <w:tab/>
        </w:r>
        <w:r w:rsidR="007B100E">
          <w:rPr>
            <w:rStyle w:val="Hyperlink"/>
            <w:lang w:val="sr-Latn-RS"/>
          </w:rPr>
          <w:t>Praksa Poverenika za zaštitu ravnopravnosti</w:t>
        </w:r>
        <w:r w:rsidR="00AE17D2" w:rsidRPr="001D608C">
          <w:rPr>
            <w:webHidden/>
          </w:rPr>
          <w:tab/>
        </w:r>
        <w:r w:rsidR="009A5406">
          <w:rPr>
            <w:webHidden/>
            <w:lang w:val="sr-Latn-RS"/>
          </w:rPr>
          <w:t>65</w:t>
        </w:r>
      </w:hyperlink>
    </w:p>
    <w:p w:rsidR="00AE17D2" w:rsidRPr="001D608C" w:rsidRDefault="0011214A" w:rsidP="00CD68AF">
      <w:pPr>
        <w:pStyle w:val="TOC2"/>
        <w:rPr>
          <w:rFonts w:eastAsia="Times New Roman"/>
          <w:lang w:val="en-US"/>
        </w:rPr>
      </w:pPr>
      <w:hyperlink w:anchor="_Toc477251742" w:history="1">
        <w:r w:rsidR="00AE17D2" w:rsidRPr="001D608C">
          <w:rPr>
            <w:rStyle w:val="Hyperlink"/>
          </w:rPr>
          <w:t>3.6.</w:t>
        </w:r>
        <w:r w:rsidR="00AE17D2" w:rsidRPr="001D608C">
          <w:rPr>
            <w:rFonts w:eastAsia="Times New Roman"/>
            <w:lang w:val="en-US"/>
          </w:rPr>
          <w:tab/>
        </w:r>
        <w:r w:rsidR="007B100E">
          <w:rPr>
            <w:rStyle w:val="Hyperlink"/>
            <w:lang w:val="sr-Latn-RS"/>
          </w:rPr>
          <w:t>Ključni problemi u ostvarivanju i zaštiti od diskriminacije</w:t>
        </w:r>
        <w:r w:rsidR="00AE17D2" w:rsidRPr="001D608C">
          <w:rPr>
            <w:webHidden/>
          </w:rPr>
          <w:tab/>
        </w:r>
        <w:r w:rsidR="009A5406">
          <w:rPr>
            <w:webHidden/>
            <w:lang w:val="sr-Latn-RS"/>
          </w:rPr>
          <w:t>68</w:t>
        </w:r>
      </w:hyperlink>
    </w:p>
    <w:p w:rsidR="00AE17D2" w:rsidRPr="001D608C" w:rsidRDefault="0011214A" w:rsidP="00AE17D2">
      <w:pPr>
        <w:pStyle w:val="TOC3"/>
        <w:rPr>
          <w:noProof/>
        </w:rPr>
      </w:pPr>
      <w:hyperlink w:anchor="_Toc477251743" w:history="1">
        <w:r w:rsidR="00AE17D2" w:rsidRPr="001D608C">
          <w:rPr>
            <w:rStyle w:val="Hyperlink"/>
            <w:noProof/>
          </w:rPr>
          <w:t>3.6.1.</w:t>
        </w:r>
        <w:r w:rsidR="00AE17D2" w:rsidRPr="001D608C">
          <w:rPr>
            <w:noProof/>
          </w:rPr>
          <w:tab/>
        </w:r>
        <w:r w:rsidR="007B100E">
          <w:rPr>
            <w:rStyle w:val="Hyperlink"/>
            <w:noProof/>
          </w:rPr>
          <w:t>Diskriminacija na osnovu invaliditeta</w:t>
        </w:r>
        <w:r w:rsidR="00AE17D2" w:rsidRPr="001D608C">
          <w:rPr>
            <w:noProof/>
            <w:webHidden/>
          </w:rPr>
          <w:tab/>
        </w:r>
        <w:r w:rsidR="009A5406">
          <w:rPr>
            <w:noProof/>
            <w:webHidden/>
          </w:rPr>
          <w:t>71</w:t>
        </w:r>
      </w:hyperlink>
    </w:p>
    <w:p w:rsidR="00AE17D2" w:rsidRPr="001D608C" w:rsidRDefault="0011214A" w:rsidP="00AE17D2">
      <w:pPr>
        <w:pStyle w:val="TOC4"/>
        <w:rPr>
          <w:rFonts w:ascii="Arial" w:eastAsia="Times New Roman" w:hAnsi="Arial" w:cs="Arial"/>
          <w:noProof/>
          <w:sz w:val="20"/>
          <w:szCs w:val="20"/>
          <w:lang w:val="en-US"/>
        </w:rPr>
      </w:pPr>
      <w:hyperlink w:anchor="_Toc477251744" w:history="1">
        <w:r w:rsidR="00AE17D2" w:rsidRPr="001D608C">
          <w:rPr>
            <w:rStyle w:val="Hyperlink"/>
            <w:rFonts w:ascii="Arial" w:hAnsi="Arial" w:cs="Arial"/>
            <w:noProof/>
            <w:sz w:val="20"/>
            <w:szCs w:val="20"/>
          </w:rPr>
          <w:t>3.6.1.1.</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Pr>
            <w:rStyle w:val="Hyperlink"/>
            <w:rFonts w:ascii="Arial" w:hAnsi="Arial" w:cs="Arial"/>
            <w:noProof/>
            <w:sz w:val="20"/>
            <w:szCs w:val="20"/>
            <w:lang w:val="sr-Latn-RS"/>
          </w:rPr>
          <w:t>Mišljenja i preporuke</w:t>
        </w:r>
        <w:r w:rsidR="00AE17D2" w:rsidRPr="001D608C">
          <w:rPr>
            <w:rFonts w:ascii="Arial" w:hAnsi="Arial" w:cs="Arial"/>
            <w:noProof/>
            <w:webHidden/>
            <w:sz w:val="20"/>
            <w:szCs w:val="20"/>
          </w:rPr>
          <w:tab/>
        </w:r>
        <w:r w:rsidR="009A5406">
          <w:rPr>
            <w:rFonts w:ascii="Arial" w:hAnsi="Arial" w:cs="Arial"/>
            <w:noProof/>
            <w:webHidden/>
            <w:sz w:val="20"/>
            <w:szCs w:val="20"/>
            <w:lang w:val="sr-Latn-RS"/>
          </w:rPr>
          <w:t>75</w:t>
        </w:r>
      </w:hyperlink>
    </w:p>
    <w:p w:rsidR="00AE17D2" w:rsidRPr="001D608C" w:rsidRDefault="0011214A" w:rsidP="00AE17D2">
      <w:pPr>
        <w:pStyle w:val="TOC4"/>
        <w:rPr>
          <w:rFonts w:ascii="Arial" w:eastAsia="Times New Roman" w:hAnsi="Arial" w:cs="Arial"/>
          <w:noProof/>
          <w:sz w:val="20"/>
          <w:szCs w:val="20"/>
          <w:lang w:val="en-US"/>
        </w:rPr>
      </w:pPr>
      <w:hyperlink w:anchor="_Toc477251745" w:history="1">
        <w:r w:rsidR="00AE17D2" w:rsidRPr="001D608C">
          <w:rPr>
            <w:rStyle w:val="Hyperlink"/>
            <w:rFonts w:ascii="Arial" w:hAnsi="Arial" w:cs="Arial"/>
            <w:noProof/>
            <w:sz w:val="20"/>
            <w:szCs w:val="20"/>
          </w:rPr>
          <w:t>3.6.1.2.</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Pr>
            <w:rStyle w:val="Hyperlink"/>
            <w:rFonts w:ascii="Arial" w:hAnsi="Arial" w:cs="Arial"/>
            <w:noProof/>
            <w:sz w:val="20"/>
            <w:szCs w:val="20"/>
            <w:lang w:val="sr-Latn-RS"/>
          </w:rPr>
          <w:t>Preporuke mera za ostvarivanje ravnopravnosti</w:t>
        </w:r>
        <w:r w:rsidR="00AE17D2" w:rsidRPr="001D608C">
          <w:rPr>
            <w:rFonts w:ascii="Arial" w:hAnsi="Arial" w:cs="Arial"/>
            <w:noProof/>
            <w:webHidden/>
            <w:sz w:val="20"/>
            <w:szCs w:val="20"/>
          </w:rPr>
          <w:tab/>
        </w:r>
        <w:r w:rsidR="009A5406">
          <w:rPr>
            <w:rFonts w:ascii="Arial" w:hAnsi="Arial" w:cs="Arial"/>
            <w:noProof/>
            <w:webHidden/>
            <w:sz w:val="20"/>
            <w:szCs w:val="20"/>
            <w:lang w:val="sr-Latn-RS"/>
          </w:rPr>
          <w:t>78</w:t>
        </w:r>
      </w:hyperlink>
    </w:p>
    <w:p w:rsidR="00AE17D2" w:rsidRPr="001D608C" w:rsidRDefault="0011214A" w:rsidP="00AE17D2">
      <w:pPr>
        <w:pStyle w:val="TOC4"/>
        <w:rPr>
          <w:rFonts w:ascii="Arial" w:eastAsia="Times New Roman" w:hAnsi="Arial" w:cs="Arial"/>
          <w:noProof/>
          <w:sz w:val="20"/>
          <w:szCs w:val="20"/>
          <w:lang w:val="en-US"/>
        </w:rPr>
      </w:pPr>
      <w:hyperlink w:anchor="_Toc477251746" w:history="1">
        <w:r w:rsidR="00AE17D2" w:rsidRPr="001D608C">
          <w:rPr>
            <w:rStyle w:val="Hyperlink"/>
            <w:rFonts w:ascii="Arial" w:hAnsi="Arial" w:cs="Arial"/>
            <w:noProof/>
            <w:sz w:val="20"/>
            <w:szCs w:val="20"/>
          </w:rPr>
          <w:t>3.6.1.3.</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Pr>
            <w:rStyle w:val="Hyperlink"/>
            <w:rFonts w:ascii="Arial" w:hAnsi="Arial" w:cs="Arial"/>
            <w:noProof/>
            <w:sz w:val="20"/>
            <w:szCs w:val="20"/>
            <w:lang w:val="sr-Latn-RS"/>
          </w:rPr>
          <w:t>Upozorenja i saopštenja</w:t>
        </w:r>
        <w:r w:rsidR="00AE17D2" w:rsidRPr="001D608C">
          <w:rPr>
            <w:rFonts w:ascii="Arial" w:hAnsi="Arial" w:cs="Arial"/>
            <w:noProof/>
            <w:webHidden/>
            <w:sz w:val="20"/>
            <w:szCs w:val="20"/>
          </w:rPr>
          <w:tab/>
        </w:r>
        <w:r w:rsidR="009A5406">
          <w:rPr>
            <w:rFonts w:ascii="Arial" w:hAnsi="Arial" w:cs="Arial"/>
            <w:noProof/>
            <w:webHidden/>
            <w:sz w:val="20"/>
            <w:szCs w:val="20"/>
            <w:lang w:val="sr-Latn-RS"/>
          </w:rPr>
          <w:t>79</w:t>
        </w:r>
      </w:hyperlink>
    </w:p>
    <w:p w:rsidR="00AE17D2" w:rsidRPr="001D608C" w:rsidRDefault="0011214A" w:rsidP="00AE17D2">
      <w:pPr>
        <w:pStyle w:val="TOC4"/>
        <w:ind w:left="426"/>
        <w:rPr>
          <w:rStyle w:val="Hyperlink"/>
          <w:rFonts w:ascii="Arial" w:hAnsi="Arial" w:cs="Arial"/>
          <w:i/>
          <w:iCs/>
          <w:noProof/>
          <w:sz w:val="20"/>
          <w:szCs w:val="20"/>
        </w:rPr>
      </w:pPr>
      <w:hyperlink w:anchor="_Toc477251747" w:history="1">
        <w:r w:rsidR="00AE17D2" w:rsidRPr="001D608C">
          <w:rPr>
            <w:rStyle w:val="Hyperlink"/>
            <w:rFonts w:ascii="Arial" w:hAnsi="Arial" w:cs="Arial"/>
            <w:i/>
            <w:iCs/>
            <w:noProof/>
            <w:sz w:val="20"/>
            <w:szCs w:val="20"/>
          </w:rPr>
          <w:t xml:space="preserve">3.6.2.    </w:t>
        </w:r>
        <w:r w:rsidR="007B100E">
          <w:rPr>
            <w:rStyle w:val="Hyperlink"/>
            <w:rFonts w:ascii="Arial" w:hAnsi="Arial" w:cs="Arial"/>
            <w:i/>
            <w:iCs/>
            <w:noProof/>
            <w:sz w:val="20"/>
            <w:szCs w:val="20"/>
          </w:rPr>
          <w:t xml:space="preserve">   </w:t>
        </w:r>
        <w:r w:rsidR="007B100E">
          <w:rPr>
            <w:rStyle w:val="Hyperlink"/>
            <w:rFonts w:ascii="Arial" w:hAnsi="Arial" w:cs="Arial"/>
            <w:i/>
            <w:iCs/>
            <w:noProof/>
            <w:sz w:val="20"/>
            <w:szCs w:val="20"/>
            <w:lang w:val="sr-Latn-RS"/>
          </w:rPr>
          <w:t>Diskriminacija na osnovu pola</w:t>
        </w:r>
        <w:r w:rsidR="00AE17D2" w:rsidRPr="001D608C">
          <w:rPr>
            <w:rStyle w:val="Hyperlink"/>
            <w:rFonts w:ascii="Arial" w:hAnsi="Arial" w:cs="Arial"/>
            <w:i/>
            <w:iCs/>
            <w:noProof/>
            <w:webHidden/>
            <w:sz w:val="20"/>
            <w:szCs w:val="20"/>
          </w:rPr>
          <w:tab/>
        </w:r>
        <w:r w:rsidR="009A5406">
          <w:rPr>
            <w:rStyle w:val="Hyperlink"/>
            <w:rFonts w:ascii="Arial" w:hAnsi="Arial" w:cs="Arial"/>
            <w:i/>
            <w:iCs/>
            <w:noProof/>
            <w:webHidden/>
            <w:sz w:val="20"/>
            <w:szCs w:val="20"/>
            <w:lang w:val="sr-Latn-RS"/>
          </w:rPr>
          <w:t>79</w:t>
        </w:r>
      </w:hyperlink>
    </w:p>
    <w:p w:rsidR="00AE17D2" w:rsidRPr="001D608C" w:rsidRDefault="0011214A" w:rsidP="00AE17D2">
      <w:pPr>
        <w:pStyle w:val="TOC4"/>
        <w:rPr>
          <w:rFonts w:ascii="Arial" w:eastAsia="Times New Roman" w:hAnsi="Arial" w:cs="Arial"/>
          <w:noProof/>
          <w:sz w:val="20"/>
          <w:szCs w:val="20"/>
          <w:lang w:val="en-US"/>
        </w:rPr>
      </w:pPr>
      <w:hyperlink w:anchor="_Toc477251748" w:history="1">
        <w:r w:rsidR="00AE17D2" w:rsidRPr="001D608C">
          <w:rPr>
            <w:rStyle w:val="Hyperlink"/>
            <w:rFonts w:ascii="Arial" w:hAnsi="Arial" w:cs="Arial"/>
            <w:noProof/>
            <w:sz w:val="20"/>
            <w:szCs w:val="20"/>
          </w:rPr>
          <w:t>3.6.2.1.</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sidRPr="007B100E">
          <w:rPr>
            <w:rStyle w:val="Hyperlink"/>
            <w:rFonts w:ascii="Arial" w:hAnsi="Arial" w:cs="Arial"/>
            <w:noProof/>
            <w:sz w:val="20"/>
            <w:szCs w:val="20"/>
          </w:rPr>
          <w:t>Mišljenja i preporuke</w:t>
        </w:r>
        <w:r w:rsidR="00AE17D2" w:rsidRPr="001D608C">
          <w:rPr>
            <w:rFonts w:ascii="Arial" w:hAnsi="Arial" w:cs="Arial"/>
            <w:noProof/>
            <w:webHidden/>
            <w:sz w:val="20"/>
            <w:szCs w:val="20"/>
          </w:rPr>
          <w:tab/>
        </w:r>
        <w:r w:rsidR="009A5406">
          <w:rPr>
            <w:rFonts w:ascii="Arial" w:hAnsi="Arial" w:cs="Arial"/>
            <w:noProof/>
            <w:webHidden/>
            <w:sz w:val="20"/>
            <w:szCs w:val="20"/>
            <w:lang w:val="sr-Latn-RS"/>
          </w:rPr>
          <w:t>85</w:t>
        </w:r>
      </w:hyperlink>
    </w:p>
    <w:p w:rsidR="00AE17D2" w:rsidRPr="001D608C" w:rsidRDefault="0011214A" w:rsidP="00AE17D2">
      <w:pPr>
        <w:pStyle w:val="TOC4"/>
        <w:rPr>
          <w:rFonts w:ascii="Arial" w:eastAsia="Times New Roman" w:hAnsi="Arial" w:cs="Arial"/>
          <w:noProof/>
          <w:sz w:val="20"/>
          <w:szCs w:val="20"/>
          <w:lang w:val="en-US"/>
        </w:rPr>
      </w:pPr>
      <w:hyperlink w:anchor="_Toc477251752" w:history="1">
        <w:r w:rsidR="00AE17D2" w:rsidRPr="001D608C">
          <w:rPr>
            <w:rStyle w:val="Hyperlink"/>
            <w:rFonts w:ascii="Arial" w:hAnsi="Arial" w:cs="Arial"/>
            <w:noProof/>
            <w:sz w:val="20"/>
            <w:szCs w:val="20"/>
          </w:rPr>
          <w:t>3.6.2.2.</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sidRPr="007B100E">
          <w:rPr>
            <w:rStyle w:val="Hyperlink"/>
            <w:rFonts w:ascii="Arial" w:hAnsi="Arial" w:cs="Arial"/>
            <w:noProof/>
            <w:sz w:val="20"/>
            <w:szCs w:val="20"/>
          </w:rPr>
          <w:t>Preporuke mera za ostvarivanje ravnopravnosti</w:t>
        </w:r>
        <w:r w:rsidR="00AE17D2" w:rsidRPr="001D608C">
          <w:rPr>
            <w:rFonts w:ascii="Arial" w:hAnsi="Arial" w:cs="Arial"/>
            <w:noProof/>
            <w:webHidden/>
            <w:sz w:val="20"/>
            <w:szCs w:val="20"/>
          </w:rPr>
          <w:tab/>
        </w:r>
        <w:r w:rsidR="009A5406">
          <w:rPr>
            <w:rFonts w:ascii="Arial" w:hAnsi="Arial" w:cs="Arial"/>
            <w:noProof/>
            <w:webHidden/>
            <w:sz w:val="20"/>
            <w:szCs w:val="20"/>
            <w:lang w:val="sr-Latn-RS"/>
          </w:rPr>
          <w:t>92</w:t>
        </w:r>
      </w:hyperlink>
    </w:p>
    <w:p w:rsidR="00AE17D2" w:rsidRPr="001D608C" w:rsidRDefault="0011214A" w:rsidP="00AE17D2">
      <w:pPr>
        <w:pStyle w:val="TOC4"/>
        <w:rPr>
          <w:rFonts w:ascii="Arial" w:eastAsia="Times New Roman" w:hAnsi="Arial" w:cs="Arial"/>
          <w:noProof/>
          <w:sz w:val="20"/>
          <w:szCs w:val="20"/>
          <w:lang w:val="en-US"/>
        </w:rPr>
      </w:pPr>
      <w:hyperlink w:anchor="_Toc477251753" w:history="1">
        <w:r w:rsidR="00AE17D2" w:rsidRPr="001D608C">
          <w:rPr>
            <w:rStyle w:val="Hyperlink"/>
            <w:rFonts w:ascii="Arial" w:hAnsi="Arial" w:cs="Arial"/>
            <w:noProof/>
            <w:sz w:val="20"/>
            <w:szCs w:val="20"/>
          </w:rPr>
          <w:t>3.6.2.3.</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sidRPr="007B100E">
          <w:rPr>
            <w:rStyle w:val="Hyperlink"/>
            <w:rFonts w:ascii="Arial" w:hAnsi="Arial" w:cs="Arial"/>
            <w:noProof/>
            <w:sz w:val="20"/>
            <w:szCs w:val="20"/>
          </w:rPr>
          <w:t>Upozorenja i saopštenja</w:t>
        </w:r>
        <w:r w:rsidR="00AE17D2" w:rsidRPr="001D608C">
          <w:rPr>
            <w:rFonts w:ascii="Arial" w:hAnsi="Arial" w:cs="Arial"/>
            <w:noProof/>
            <w:webHidden/>
            <w:sz w:val="20"/>
            <w:szCs w:val="20"/>
          </w:rPr>
          <w:tab/>
        </w:r>
        <w:r w:rsidR="009A5406">
          <w:rPr>
            <w:rFonts w:ascii="Arial" w:hAnsi="Arial" w:cs="Arial"/>
            <w:noProof/>
            <w:webHidden/>
            <w:sz w:val="20"/>
            <w:szCs w:val="20"/>
            <w:lang w:val="sr-Latn-RS"/>
          </w:rPr>
          <w:t>93</w:t>
        </w:r>
      </w:hyperlink>
    </w:p>
    <w:p w:rsidR="00AE17D2" w:rsidRPr="001D608C" w:rsidRDefault="0011214A" w:rsidP="00AE17D2">
      <w:pPr>
        <w:pStyle w:val="TOC3"/>
        <w:rPr>
          <w:noProof/>
        </w:rPr>
      </w:pPr>
      <w:hyperlink w:anchor="_Toc477251754" w:history="1">
        <w:r w:rsidR="00AE17D2" w:rsidRPr="001D608C">
          <w:rPr>
            <w:rStyle w:val="Hyperlink"/>
            <w:noProof/>
          </w:rPr>
          <w:t>3.6.3.</w:t>
        </w:r>
        <w:r w:rsidR="00AE17D2" w:rsidRPr="001D608C">
          <w:rPr>
            <w:noProof/>
          </w:rPr>
          <w:tab/>
        </w:r>
        <w:r w:rsidR="007B100E" w:rsidRPr="007B100E">
          <w:rPr>
            <w:rStyle w:val="Hyperlink"/>
            <w:noProof/>
          </w:rPr>
          <w:t>Diskriminacija na osnovu</w:t>
        </w:r>
        <w:r w:rsidR="007B100E">
          <w:rPr>
            <w:rStyle w:val="Hyperlink"/>
            <w:noProof/>
          </w:rPr>
          <w:t xml:space="preserve"> starosnog doba</w:t>
        </w:r>
        <w:r w:rsidR="00AE17D2" w:rsidRPr="001D608C">
          <w:rPr>
            <w:noProof/>
            <w:webHidden/>
          </w:rPr>
          <w:tab/>
        </w:r>
        <w:r w:rsidR="009A5406">
          <w:rPr>
            <w:noProof/>
            <w:webHidden/>
          </w:rPr>
          <w:t>96</w:t>
        </w:r>
      </w:hyperlink>
    </w:p>
    <w:p w:rsidR="00AE17D2" w:rsidRPr="001D608C" w:rsidRDefault="0011214A" w:rsidP="00AE17D2">
      <w:pPr>
        <w:pStyle w:val="TOC3"/>
        <w:ind w:left="709"/>
        <w:rPr>
          <w:noProof/>
        </w:rPr>
      </w:pPr>
      <w:hyperlink w:anchor="_Toc477251755" w:history="1">
        <w:r w:rsidR="00AE17D2" w:rsidRPr="001D608C">
          <w:rPr>
            <w:rStyle w:val="Hyperlink"/>
            <w:i w:val="0"/>
            <w:noProof/>
          </w:rPr>
          <w:t xml:space="preserve">3.6.3.1.     </w:t>
        </w:r>
        <w:r w:rsidR="007B100E" w:rsidRPr="007B100E">
          <w:rPr>
            <w:rStyle w:val="Hyperlink"/>
            <w:i w:val="0"/>
            <w:noProof/>
          </w:rPr>
          <w:t>Mišljenja i preporuke</w:t>
        </w:r>
        <w:r w:rsidR="00AE17D2" w:rsidRPr="001D608C">
          <w:rPr>
            <w:noProof/>
            <w:webHidden/>
          </w:rPr>
          <w:tab/>
        </w:r>
        <w:r w:rsidR="009A5406">
          <w:rPr>
            <w:noProof/>
            <w:webHidden/>
          </w:rPr>
          <w:t>99</w:t>
        </w:r>
      </w:hyperlink>
    </w:p>
    <w:p w:rsidR="00AE17D2" w:rsidRPr="001D608C" w:rsidRDefault="0011214A" w:rsidP="00AE17D2">
      <w:pPr>
        <w:pStyle w:val="TOC3"/>
        <w:ind w:left="709"/>
        <w:rPr>
          <w:noProof/>
        </w:rPr>
      </w:pPr>
      <w:hyperlink w:anchor="_Toc477251756" w:history="1">
        <w:r w:rsidR="00AE17D2" w:rsidRPr="001D608C">
          <w:rPr>
            <w:rStyle w:val="Hyperlink"/>
            <w:i w:val="0"/>
            <w:noProof/>
          </w:rPr>
          <w:t xml:space="preserve">3.6.3.2.     </w:t>
        </w:r>
        <w:r w:rsidR="007B100E" w:rsidRPr="007B100E">
          <w:rPr>
            <w:rStyle w:val="Hyperlink"/>
            <w:i w:val="0"/>
            <w:noProof/>
          </w:rPr>
          <w:t>Preporuke mera za ostvarivanje ravnopravnosti</w:t>
        </w:r>
        <w:r w:rsidR="00AE17D2" w:rsidRPr="001D608C">
          <w:rPr>
            <w:noProof/>
            <w:webHidden/>
          </w:rPr>
          <w:tab/>
        </w:r>
        <w:r w:rsidR="009A5406">
          <w:rPr>
            <w:noProof/>
            <w:webHidden/>
          </w:rPr>
          <w:t>100</w:t>
        </w:r>
      </w:hyperlink>
    </w:p>
    <w:p w:rsidR="00AE17D2" w:rsidRPr="001D608C" w:rsidRDefault="0011214A" w:rsidP="00AE17D2">
      <w:pPr>
        <w:pStyle w:val="TOC3"/>
        <w:ind w:left="709"/>
        <w:rPr>
          <w:rStyle w:val="Hyperlink"/>
          <w:i w:val="0"/>
          <w:noProof/>
        </w:rPr>
      </w:pPr>
      <w:hyperlink w:anchor="_Toc477251757" w:history="1">
        <w:r w:rsidR="007B100E">
          <w:rPr>
            <w:rStyle w:val="Hyperlink"/>
            <w:i w:val="0"/>
            <w:noProof/>
          </w:rPr>
          <w:t>3.6.3.3.     Saopštenja</w:t>
        </w:r>
        <w:r w:rsidR="00AE17D2" w:rsidRPr="001D608C">
          <w:rPr>
            <w:noProof/>
            <w:webHidden/>
          </w:rPr>
          <w:tab/>
        </w:r>
        <w:r w:rsidR="009A5406">
          <w:rPr>
            <w:noProof/>
            <w:webHidden/>
          </w:rPr>
          <w:t>101</w:t>
        </w:r>
      </w:hyperlink>
    </w:p>
    <w:p w:rsidR="00AE17D2" w:rsidRPr="001D608C" w:rsidRDefault="0011214A" w:rsidP="00AE17D2">
      <w:pPr>
        <w:pStyle w:val="TOC3"/>
        <w:rPr>
          <w:noProof/>
        </w:rPr>
      </w:pPr>
      <w:hyperlink w:anchor="_Toc477251758" w:history="1">
        <w:r w:rsidR="00AE17D2" w:rsidRPr="001D608C">
          <w:rPr>
            <w:noProof/>
          </w:rPr>
          <w:t xml:space="preserve">3.6.4.       </w:t>
        </w:r>
        <w:r w:rsidR="007B100E" w:rsidRPr="007B100E">
          <w:rPr>
            <w:noProof/>
          </w:rPr>
          <w:t>Diskriminacija na osnovu</w:t>
        </w:r>
        <w:r w:rsidR="007B100E">
          <w:rPr>
            <w:noProof/>
          </w:rPr>
          <w:t xml:space="preserve"> nacionalne pripadnosti</w:t>
        </w:r>
        <w:r w:rsidR="00AE17D2" w:rsidRPr="001D608C">
          <w:rPr>
            <w:noProof/>
            <w:webHidden/>
          </w:rPr>
          <w:tab/>
        </w:r>
        <w:r w:rsidR="009A5406">
          <w:rPr>
            <w:noProof/>
            <w:webHidden/>
          </w:rPr>
          <w:t>102</w:t>
        </w:r>
      </w:hyperlink>
    </w:p>
    <w:p w:rsidR="00AE17D2" w:rsidRPr="001D608C" w:rsidRDefault="0011214A" w:rsidP="00AE17D2">
      <w:pPr>
        <w:pStyle w:val="TOC3"/>
        <w:ind w:left="709"/>
        <w:rPr>
          <w:rStyle w:val="Hyperlink"/>
          <w:i w:val="0"/>
          <w:noProof/>
        </w:rPr>
      </w:pPr>
      <w:hyperlink w:anchor="_Toc477251759" w:history="1">
        <w:r w:rsidR="00AE17D2" w:rsidRPr="001D608C">
          <w:rPr>
            <w:rStyle w:val="Hyperlink"/>
            <w:i w:val="0"/>
            <w:noProof/>
          </w:rPr>
          <w:t xml:space="preserve">3.6.4.1.      </w:t>
        </w:r>
        <w:r w:rsidR="007B100E" w:rsidRPr="007B100E">
          <w:rPr>
            <w:rStyle w:val="Hyperlink"/>
            <w:i w:val="0"/>
            <w:noProof/>
          </w:rPr>
          <w:t>Mišljenja i preporuke</w:t>
        </w:r>
        <w:r w:rsidR="00AE17D2" w:rsidRPr="001D608C">
          <w:rPr>
            <w:rStyle w:val="Hyperlink"/>
            <w:i w:val="0"/>
            <w:noProof/>
            <w:webHidden/>
          </w:rPr>
          <w:tab/>
        </w:r>
        <w:r w:rsidR="009A5406">
          <w:rPr>
            <w:rStyle w:val="Hyperlink"/>
            <w:i w:val="0"/>
            <w:noProof/>
            <w:webHidden/>
          </w:rPr>
          <w:t>106</w:t>
        </w:r>
      </w:hyperlink>
    </w:p>
    <w:p w:rsidR="00AE17D2" w:rsidRPr="001D608C" w:rsidRDefault="0011214A" w:rsidP="00AE17D2">
      <w:pPr>
        <w:pStyle w:val="TOC3"/>
        <w:ind w:left="709"/>
        <w:rPr>
          <w:rStyle w:val="Hyperlink"/>
          <w:rFonts w:eastAsia="Calibri"/>
          <w:i w:val="0"/>
          <w:noProof/>
          <w:lang w:val="sr-Cyrl-CS"/>
        </w:rPr>
      </w:pPr>
      <w:hyperlink w:anchor="_Toc477251761" w:history="1">
        <w:r w:rsidR="00AE17D2" w:rsidRPr="001D608C">
          <w:rPr>
            <w:rStyle w:val="Hyperlink"/>
            <w:i w:val="0"/>
            <w:noProof/>
          </w:rPr>
          <w:t>3.6.4.2.</w:t>
        </w:r>
        <w:r w:rsidR="00AE17D2" w:rsidRPr="001D608C">
          <w:rPr>
            <w:rStyle w:val="Hyperlink"/>
            <w:rFonts w:eastAsia="Calibri"/>
            <w:i w:val="0"/>
            <w:noProof/>
            <w:lang w:val="sr-Cyrl-CS"/>
          </w:rPr>
          <w:t xml:space="preserve">      </w:t>
        </w:r>
        <w:r w:rsidR="007B100E" w:rsidRPr="007B100E">
          <w:rPr>
            <w:rStyle w:val="Hyperlink"/>
            <w:i w:val="0"/>
            <w:noProof/>
          </w:rPr>
          <w:t>Saopštenja</w:t>
        </w:r>
        <w:r w:rsidR="00AE17D2" w:rsidRPr="001D608C">
          <w:rPr>
            <w:rStyle w:val="Hyperlink"/>
            <w:i w:val="0"/>
            <w:noProof/>
            <w:webHidden/>
          </w:rPr>
          <w:tab/>
        </w:r>
        <w:r w:rsidR="009A5406">
          <w:rPr>
            <w:rStyle w:val="Hyperlink"/>
            <w:i w:val="0"/>
            <w:noProof/>
            <w:webHidden/>
          </w:rPr>
          <w:t>110</w:t>
        </w:r>
      </w:hyperlink>
    </w:p>
    <w:p w:rsidR="00AE17D2" w:rsidRPr="001D608C" w:rsidRDefault="0011214A" w:rsidP="00AE17D2">
      <w:pPr>
        <w:pStyle w:val="TOC3"/>
        <w:rPr>
          <w:noProof/>
        </w:rPr>
      </w:pPr>
      <w:hyperlink w:anchor="_Toc477251762" w:history="1">
        <w:r w:rsidR="00AE17D2" w:rsidRPr="001D608C">
          <w:rPr>
            <w:noProof/>
          </w:rPr>
          <w:t>3.6.5.</w:t>
        </w:r>
        <w:r w:rsidR="00AE17D2" w:rsidRPr="001D608C">
          <w:rPr>
            <w:noProof/>
          </w:rPr>
          <w:tab/>
        </w:r>
        <w:r w:rsidR="007B100E" w:rsidRPr="007B100E">
          <w:rPr>
            <w:noProof/>
          </w:rPr>
          <w:t>Diskriminacija na osnovu</w:t>
        </w:r>
        <w:r w:rsidR="007B100E">
          <w:rPr>
            <w:noProof/>
          </w:rPr>
          <w:t xml:space="preserve"> zdravstvenog stanja</w:t>
        </w:r>
        <w:r w:rsidR="00AE17D2" w:rsidRPr="001D608C">
          <w:rPr>
            <w:noProof/>
            <w:webHidden/>
          </w:rPr>
          <w:tab/>
        </w:r>
        <w:r w:rsidR="009A5406">
          <w:rPr>
            <w:noProof/>
            <w:webHidden/>
          </w:rPr>
          <w:t>110</w:t>
        </w:r>
      </w:hyperlink>
    </w:p>
    <w:p w:rsidR="00AE17D2" w:rsidRPr="001D608C" w:rsidRDefault="0011214A" w:rsidP="00AE17D2">
      <w:pPr>
        <w:pStyle w:val="TOC3"/>
        <w:ind w:left="709"/>
        <w:rPr>
          <w:noProof/>
        </w:rPr>
      </w:pPr>
      <w:hyperlink w:anchor="_Toc477251763" w:history="1">
        <w:r w:rsidR="00AE17D2" w:rsidRPr="001D608C">
          <w:rPr>
            <w:rStyle w:val="Hyperlink"/>
            <w:i w:val="0"/>
            <w:noProof/>
          </w:rPr>
          <w:t>3.6.5.1.</w:t>
        </w:r>
        <w:r w:rsidR="00AE17D2" w:rsidRPr="001D608C">
          <w:rPr>
            <w:noProof/>
          </w:rPr>
          <w:t xml:space="preserve">     </w:t>
        </w:r>
        <w:r w:rsidR="007B100E" w:rsidRPr="007B100E">
          <w:rPr>
            <w:rStyle w:val="Hyperlink"/>
            <w:i w:val="0"/>
            <w:noProof/>
          </w:rPr>
          <w:t>Mišljenja i preporuke</w:t>
        </w:r>
        <w:r w:rsidR="00AE17D2" w:rsidRPr="001D608C">
          <w:rPr>
            <w:noProof/>
            <w:webHidden/>
          </w:rPr>
          <w:tab/>
        </w:r>
        <w:r w:rsidR="00CD68AF">
          <w:rPr>
            <w:noProof/>
            <w:webHidden/>
          </w:rPr>
          <w:t>114</w:t>
        </w:r>
      </w:hyperlink>
    </w:p>
    <w:p w:rsidR="00AE17D2" w:rsidRPr="001D608C" w:rsidRDefault="0011214A" w:rsidP="00AE17D2">
      <w:pPr>
        <w:pStyle w:val="TOC3"/>
        <w:ind w:left="709"/>
        <w:rPr>
          <w:noProof/>
        </w:rPr>
      </w:pPr>
      <w:hyperlink w:anchor="_Toc477251764" w:history="1">
        <w:r w:rsidR="00AE17D2" w:rsidRPr="001D608C">
          <w:rPr>
            <w:rStyle w:val="Hyperlink"/>
            <w:i w:val="0"/>
            <w:noProof/>
          </w:rPr>
          <w:t>3.6.5.2.</w:t>
        </w:r>
        <w:r w:rsidR="00AE17D2" w:rsidRPr="001D608C">
          <w:rPr>
            <w:noProof/>
          </w:rPr>
          <w:t xml:space="preserve">     </w:t>
        </w:r>
        <w:r w:rsidR="007B100E" w:rsidRPr="007B100E">
          <w:rPr>
            <w:rStyle w:val="Hyperlink"/>
            <w:i w:val="0"/>
            <w:noProof/>
          </w:rPr>
          <w:t>Preporuke mera za ostvarivanje ravnopravnosti</w:t>
        </w:r>
        <w:r w:rsidR="00AE17D2" w:rsidRPr="001D608C">
          <w:rPr>
            <w:noProof/>
            <w:webHidden/>
          </w:rPr>
          <w:tab/>
        </w:r>
        <w:r w:rsidR="00CD68AF">
          <w:rPr>
            <w:noProof/>
            <w:webHidden/>
          </w:rPr>
          <w:t>115</w:t>
        </w:r>
      </w:hyperlink>
    </w:p>
    <w:p w:rsidR="00AE17D2" w:rsidRPr="001D608C" w:rsidRDefault="0011214A" w:rsidP="00AE17D2">
      <w:pPr>
        <w:pStyle w:val="TOC3"/>
        <w:ind w:left="709"/>
        <w:rPr>
          <w:i w:val="0"/>
          <w:noProof/>
        </w:rPr>
      </w:pPr>
      <w:hyperlink w:anchor="_Toc477251765" w:history="1">
        <w:r w:rsidR="00AE17D2" w:rsidRPr="001D608C">
          <w:rPr>
            <w:i w:val="0"/>
            <w:noProof/>
          </w:rPr>
          <w:t xml:space="preserve">3.6.5.3.     </w:t>
        </w:r>
        <w:r w:rsidR="007B100E" w:rsidRPr="007B100E">
          <w:rPr>
            <w:i w:val="0"/>
            <w:noProof/>
          </w:rPr>
          <w:t>Saopštenja</w:t>
        </w:r>
        <w:r w:rsidR="00AE17D2" w:rsidRPr="001D608C">
          <w:rPr>
            <w:i w:val="0"/>
            <w:noProof/>
            <w:webHidden/>
          </w:rPr>
          <w:tab/>
        </w:r>
        <w:r w:rsidR="00CD68AF">
          <w:rPr>
            <w:i w:val="0"/>
            <w:noProof/>
            <w:webHidden/>
          </w:rPr>
          <w:t>116</w:t>
        </w:r>
      </w:hyperlink>
    </w:p>
    <w:p w:rsidR="00AE17D2" w:rsidRPr="001D608C" w:rsidRDefault="0011214A" w:rsidP="00AE17D2">
      <w:pPr>
        <w:pStyle w:val="TOC3"/>
        <w:rPr>
          <w:noProof/>
        </w:rPr>
      </w:pPr>
      <w:hyperlink w:anchor="_Toc477251766" w:history="1">
        <w:r w:rsidR="00AE17D2" w:rsidRPr="001D608C">
          <w:rPr>
            <w:noProof/>
          </w:rPr>
          <w:t>3.6.6.</w:t>
        </w:r>
        <w:r w:rsidR="00AE17D2" w:rsidRPr="001D608C">
          <w:rPr>
            <w:noProof/>
          </w:rPr>
          <w:tab/>
        </w:r>
        <w:r w:rsidR="007B100E" w:rsidRPr="007B100E">
          <w:rPr>
            <w:noProof/>
          </w:rPr>
          <w:t>Diskriminacija na osnovu</w:t>
        </w:r>
        <w:r w:rsidR="007B100E">
          <w:rPr>
            <w:noProof/>
          </w:rPr>
          <w:t xml:space="preserve"> seksualne orijentacije</w:t>
        </w:r>
        <w:r w:rsidR="00AE17D2" w:rsidRPr="001D608C">
          <w:rPr>
            <w:noProof/>
            <w:webHidden/>
          </w:rPr>
          <w:tab/>
        </w:r>
        <w:r w:rsidR="00CD68AF">
          <w:rPr>
            <w:noProof/>
            <w:webHidden/>
          </w:rPr>
          <w:t>116</w:t>
        </w:r>
      </w:hyperlink>
    </w:p>
    <w:p w:rsidR="00AE17D2" w:rsidRPr="001D608C" w:rsidRDefault="0011214A" w:rsidP="00AE17D2">
      <w:pPr>
        <w:pStyle w:val="TOC3"/>
        <w:ind w:left="709"/>
        <w:rPr>
          <w:rStyle w:val="Hyperlink"/>
          <w:rFonts w:eastAsia="Calibri"/>
          <w:i w:val="0"/>
          <w:noProof/>
          <w:lang w:val="sr-Cyrl-CS"/>
        </w:rPr>
      </w:pPr>
      <w:hyperlink w:anchor="_Toc477251767" w:history="1">
        <w:r w:rsidR="00AE17D2" w:rsidRPr="001D608C">
          <w:rPr>
            <w:rStyle w:val="Hyperlink"/>
            <w:i w:val="0"/>
            <w:noProof/>
          </w:rPr>
          <w:t>3.6.6.1.</w:t>
        </w:r>
        <w:r w:rsidR="00AE17D2" w:rsidRPr="001D608C">
          <w:rPr>
            <w:rStyle w:val="Hyperlink"/>
            <w:rFonts w:eastAsia="Calibri"/>
            <w:i w:val="0"/>
            <w:noProof/>
            <w:lang w:val="sr-Cyrl-CS"/>
          </w:rPr>
          <w:t xml:space="preserve">     </w:t>
        </w:r>
        <w:r w:rsidR="007B100E" w:rsidRPr="007B100E">
          <w:rPr>
            <w:rStyle w:val="Hyperlink"/>
            <w:i w:val="0"/>
            <w:noProof/>
          </w:rPr>
          <w:t>Mišljenja i preporuke</w:t>
        </w:r>
        <w:r w:rsidR="00AE17D2" w:rsidRPr="001D608C">
          <w:rPr>
            <w:rStyle w:val="Hyperlink"/>
            <w:i w:val="0"/>
            <w:noProof/>
            <w:webHidden/>
          </w:rPr>
          <w:tab/>
        </w:r>
        <w:r w:rsidR="00CD68AF">
          <w:rPr>
            <w:rStyle w:val="Hyperlink"/>
            <w:i w:val="0"/>
            <w:noProof/>
            <w:webHidden/>
          </w:rPr>
          <w:t>120</w:t>
        </w:r>
      </w:hyperlink>
    </w:p>
    <w:p w:rsidR="00AE17D2" w:rsidRPr="001D608C" w:rsidRDefault="0011214A" w:rsidP="00AE17D2">
      <w:pPr>
        <w:pStyle w:val="TOC3"/>
        <w:ind w:left="709"/>
        <w:rPr>
          <w:i w:val="0"/>
          <w:noProof/>
        </w:rPr>
      </w:pPr>
      <w:hyperlink w:anchor="_Toc477251770" w:history="1">
        <w:r w:rsidR="00AE17D2" w:rsidRPr="001D608C">
          <w:rPr>
            <w:rStyle w:val="Hyperlink"/>
            <w:i w:val="0"/>
            <w:noProof/>
          </w:rPr>
          <w:t>3.6.6.2.</w:t>
        </w:r>
        <w:r w:rsidR="00AE17D2" w:rsidRPr="001D608C">
          <w:rPr>
            <w:i w:val="0"/>
            <w:noProof/>
          </w:rPr>
          <w:t xml:space="preserve">     </w:t>
        </w:r>
        <w:r w:rsidR="007B100E">
          <w:rPr>
            <w:rStyle w:val="Hyperlink"/>
            <w:i w:val="0"/>
            <w:noProof/>
          </w:rPr>
          <w:t>Upozorenja i saopštenja</w:t>
        </w:r>
        <w:r w:rsidR="00AE17D2" w:rsidRPr="001D608C">
          <w:rPr>
            <w:i w:val="0"/>
            <w:noProof/>
            <w:webHidden/>
          </w:rPr>
          <w:tab/>
        </w:r>
        <w:r w:rsidR="00CD68AF">
          <w:rPr>
            <w:i w:val="0"/>
            <w:noProof/>
            <w:webHidden/>
          </w:rPr>
          <w:t>123</w:t>
        </w:r>
      </w:hyperlink>
    </w:p>
    <w:p w:rsidR="00AE17D2" w:rsidRPr="001D608C" w:rsidRDefault="0011214A" w:rsidP="00AE17D2">
      <w:pPr>
        <w:pStyle w:val="TOC3"/>
        <w:rPr>
          <w:noProof/>
        </w:rPr>
      </w:pPr>
      <w:hyperlink w:anchor="_Toc477251771" w:history="1">
        <w:r w:rsidR="007B100E">
          <w:rPr>
            <w:noProof/>
          </w:rPr>
          <w:t>3.6.7.</w:t>
        </w:r>
        <w:r w:rsidR="007B100E">
          <w:rPr>
            <w:noProof/>
          </w:rPr>
          <w:tab/>
          <w:t>Diskriminacija izbeglica, interno raseljenih lica, migranata i tražilaca azila</w:t>
        </w:r>
        <w:r w:rsidR="00AE17D2" w:rsidRPr="001D608C">
          <w:rPr>
            <w:noProof/>
            <w:webHidden/>
          </w:rPr>
          <w:t>........................................................................................................................................</w:t>
        </w:r>
        <w:r w:rsidR="00CD68AF">
          <w:rPr>
            <w:noProof/>
            <w:webHidden/>
          </w:rPr>
          <w:t>..</w:t>
        </w:r>
        <w:r w:rsidR="00AE17D2" w:rsidRPr="001D608C">
          <w:rPr>
            <w:noProof/>
            <w:webHidden/>
          </w:rPr>
          <w:t>...</w:t>
        </w:r>
        <w:r w:rsidR="00CD68AF">
          <w:rPr>
            <w:noProof/>
            <w:webHidden/>
          </w:rPr>
          <w:t>124</w:t>
        </w:r>
      </w:hyperlink>
    </w:p>
    <w:p w:rsidR="00AE17D2" w:rsidRPr="001D608C" w:rsidRDefault="0011214A" w:rsidP="00AE17D2">
      <w:pPr>
        <w:pStyle w:val="TOC3"/>
        <w:ind w:left="709"/>
        <w:rPr>
          <w:i w:val="0"/>
          <w:noProof/>
        </w:rPr>
      </w:pPr>
      <w:hyperlink w:anchor="_Toc477251772" w:history="1">
        <w:r w:rsidR="00AE17D2" w:rsidRPr="001D608C">
          <w:rPr>
            <w:rStyle w:val="Hyperlink"/>
            <w:i w:val="0"/>
            <w:noProof/>
          </w:rPr>
          <w:t>3.6.7.1.</w:t>
        </w:r>
        <w:r w:rsidR="00AE17D2" w:rsidRPr="001D608C">
          <w:rPr>
            <w:i w:val="0"/>
            <w:noProof/>
          </w:rPr>
          <w:t xml:space="preserve">    </w:t>
        </w:r>
        <w:r w:rsidR="007B100E" w:rsidRPr="007B100E">
          <w:rPr>
            <w:rStyle w:val="Hyperlink"/>
            <w:i w:val="0"/>
            <w:noProof/>
          </w:rPr>
          <w:t>Mišljenja i preporuke</w:t>
        </w:r>
        <w:r w:rsidR="00AE17D2" w:rsidRPr="001D608C">
          <w:rPr>
            <w:i w:val="0"/>
            <w:noProof/>
            <w:webHidden/>
          </w:rPr>
          <w:tab/>
        </w:r>
        <w:r w:rsidR="00CD68AF">
          <w:rPr>
            <w:i w:val="0"/>
            <w:noProof/>
            <w:webHidden/>
          </w:rPr>
          <w:t>129</w:t>
        </w:r>
      </w:hyperlink>
    </w:p>
    <w:p w:rsidR="00AE17D2" w:rsidRPr="001D608C" w:rsidRDefault="0011214A" w:rsidP="00AE17D2">
      <w:pPr>
        <w:pStyle w:val="TOC3"/>
        <w:ind w:left="709"/>
        <w:rPr>
          <w:i w:val="0"/>
          <w:noProof/>
        </w:rPr>
      </w:pPr>
      <w:hyperlink w:anchor="_Toc477251773" w:history="1">
        <w:r w:rsidR="00AE17D2" w:rsidRPr="001D608C">
          <w:rPr>
            <w:rStyle w:val="Hyperlink"/>
            <w:i w:val="0"/>
            <w:noProof/>
          </w:rPr>
          <w:t xml:space="preserve">3.6.7.2.    </w:t>
        </w:r>
        <w:r w:rsidR="007B100E" w:rsidRPr="007B100E">
          <w:rPr>
            <w:rStyle w:val="Hyperlink"/>
            <w:i w:val="0"/>
            <w:noProof/>
          </w:rPr>
          <w:t>Saopštenja</w:t>
        </w:r>
        <w:r w:rsidR="00AE17D2" w:rsidRPr="001D608C">
          <w:rPr>
            <w:i w:val="0"/>
            <w:noProof/>
            <w:webHidden/>
          </w:rPr>
          <w:tab/>
        </w:r>
        <w:r w:rsidR="00CD68AF">
          <w:rPr>
            <w:i w:val="0"/>
            <w:noProof/>
            <w:webHidden/>
          </w:rPr>
          <w:t>129</w:t>
        </w:r>
      </w:hyperlink>
    </w:p>
    <w:p w:rsidR="00AE17D2" w:rsidRPr="001D608C" w:rsidRDefault="0011214A" w:rsidP="00AE17D2">
      <w:pPr>
        <w:pStyle w:val="TOC3"/>
        <w:rPr>
          <w:noProof/>
        </w:rPr>
      </w:pPr>
      <w:hyperlink w:anchor="_Toc477251774" w:history="1">
        <w:r w:rsidR="00AE17D2" w:rsidRPr="001D608C">
          <w:rPr>
            <w:rStyle w:val="Hyperlink"/>
            <w:noProof/>
          </w:rPr>
          <w:t>3.6.8.</w:t>
        </w:r>
        <w:r w:rsidR="00AE17D2" w:rsidRPr="001D608C">
          <w:rPr>
            <w:noProof/>
          </w:rPr>
          <w:tab/>
        </w:r>
        <w:r w:rsidR="007B100E" w:rsidRPr="007B100E">
          <w:rPr>
            <w:rStyle w:val="Hyperlink"/>
            <w:noProof/>
          </w:rPr>
          <w:t>Diskriminacija na osnovu</w:t>
        </w:r>
        <w:r w:rsidR="007B100E">
          <w:rPr>
            <w:rStyle w:val="Hyperlink"/>
            <w:noProof/>
          </w:rPr>
          <w:t xml:space="preserve"> drugih ličnih svojstava</w:t>
        </w:r>
        <w:r w:rsidR="00AE17D2" w:rsidRPr="001D608C">
          <w:rPr>
            <w:noProof/>
            <w:webHidden/>
          </w:rPr>
          <w:tab/>
        </w:r>
        <w:r w:rsidR="00CD68AF">
          <w:rPr>
            <w:noProof/>
            <w:webHidden/>
          </w:rPr>
          <w:t>130</w:t>
        </w:r>
      </w:hyperlink>
    </w:p>
    <w:p w:rsidR="00AE17D2" w:rsidRPr="001D608C" w:rsidRDefault="0011214A" w:rsidP="00AE17D2">
      <w:pPr>
        <w:pStyle w:val="TOC4"/>
        <w:rPr>
          <w:rFonts w:ascii="Arial" w:eastAsia="Times New Roman" w:hAnsi="Arial" w:cs="Arial"/>
          <w:noProof/>
          <w:sz w:val="20"/>
          <w:szCs w:val="20"/>
          <w:lang w:val="en-US"/>
        </w:rPr>
      </w:pPr>
      <w:hyperlink w:anchor="_Toc477251775" w:history="1">
        <w:r w:rsidR="00AE17D2" w:rsidRPr="001D608C">
          <w:rPr>
            <w:rStyle w:val="Hyperlink"/>
            <w:rFonts w:ascii="Arial" w:hAnsi="Arial" w:cs="Arial"/>
            <w:noProof/>
            <w:sz w:val="20"/>
            <w:szCs w:val="20"/>
          </w:rPr>
          <w:t>3.6.8.1.</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sidRPr="007B100E">
          <w:rPr>
            <w:rStyle w:val="Hyperlink"/>
            <w:rFonts w:ascii="Arial" w:hAnsi="Arial" w:cs="Arial"/>
            <w:noProof/>
            <w:sz w:val="20"/>
            <w:szCs w:val="20"/>
          </w:rPr>
          <w:t>Mišljenja i preporuke</w:t>
        </w:r>
        <w:r w:rsidR="00AE17D2" w:rsidRPr="001D608C">
          <w:rPr>
            <w:rFonts w:ascii="Arial" w:hAnsi="Arial" w:cs="Arial"/>
            <w:noProof/>
            <w:webHidden/>
            <w:sz w:val="20"/>
            <w:szCs w:val="20"/>
          </w:rPr>
          <w:tab/>
        </w:r>
        <w:r w:rsidR="00CD68AF">
          <w:rPr>
            <w:rFonts w:ascii="Arial" w:hAnsi="Arial" w:cs="Arial"/>
            <w:noProof/>
            <w:webHidden/>
            <w:sz w:val="20"/>
            <w:szCs w:val="20"/>
            <w:lang w:val="sr-Latn-RS"/>
          </w:rPr>
          <w:t>130</w:t>
        </w:r>
      </w:hyperlink>
    </w:p>
    <w:p w:rsidR="00AE17D2" w:rsidRPr="001D608C" w:rsidRDefault="0011214A" w:rsidP="00AE17D2">
      <w:pPr>
        <w:pStyle w:val="TOC4"/>
        <w:rPr>
          <w:rFonts w:ascii="Arial" w:eastAsia="Times New Roman" w:hAnsi="Arial" w:cs="Arial"/>
          <w:noProof/>
          <w:sz w:val="20"/>
          <w:szCs w:val="20"/>
          <w:lang w:val="en-US"/>
        </w:rPr>
      </w:pPr>
      <w:hyperlink w:anchor="_Toc477251776" w:history="1">
        <w:r w:rsidR="00AE17D2" w:rsidRPr="001D608C">
          <w:rPr>
            <w:rStyle w:val="Hyperlink"/>
            <w:rFonts w:ascii="Arial" w:hAnsi="Arial" w:cs="Arial"/>
            <w:noProof/>
            <w:sz w:val="20"/>
            <w:szCs w:val="20"/>
          </w:rPr>
          <w:t>3.6.8.2.</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sidRPr="007B100E">
          <w:rPr>
            <w:rStyle w:val="Hyperlink"/>
            <w:rFonts w:ascii="Arial" w:hAnsi="Arial" w:cs="Arial"/>
            <w:noProof/>
            <w:sz w:val="20"/>
            <w:szCs w:val="20"/>
          </w:rPr>
          <w:t>Saopštenja</w:t>
        </w:r>
        <w:r w:rsidR="00AE17D2" w:rsidRPr="001D608C">
          <w:rPr>
            <w:rFonts w:ascii="Arial" w:hAnsi="Arial" w:cs="Arial"/>
            <w:noProof/>
            <w:webHidden/>
            <w:sz w:val="20"/>
            <w:szCs w:val="20"/>
          </w:rPr>
          <w:tab/>
        </w:r>
        <w:r w:rsidR="00CD68AF">
          <w:rPr>
            <w:rFonts w:ascii="Arial" w:hAnsi="Arial" w:cs="Arial"/>
            <w:noProof/>
            <w:webHidden/>
            <w:sz w:val="20"/>
            <w:szCs w:val="20"/>
            <w:lang w:val="sr-Latn-RS"/>
          </w:rPr>
          <w:t>132</w:t>
        </w:r>
      </w:hyperlink>
    </w:p>
    <w:p w:rsidR="00AE17D2" w:rsidRPr="001D608C" w:rsidRDefault="0011214A" w:rsidP="00AE17D2">
      <w:pPr>
        <w:pStyle w:val="TOC3"/>
        <w:rPr>
          <w:noProof/>
        </w:rPr>
      </w:pPr>
      <w:hyperlink w:anchor="_Toc477251777" w:history="1">
        <w:r w:rsidR="00AE17D2" w:rsidRPr="001D608C">
          <w:rPr>
            <w:rStyle w:val="Hyperlink"/>
            <w:noProof/>
          </w:rPr>
          <w:t>3.6.9.</w:t>
        </w:r>
        <w:r w:rsidR="00AE17D2" w:rsidRPr="001D608C">
          <w:rPr>
            <w:noProof/>
          </w:rPr>
          <w:tab/>
        </w:r>
        <w:r w:rsidR="007B100E">
          <w:rPr>
            <w:rStyle w:val="Hyperlink"/>
            <w:noProof/>
          </w:rPr>
          <w:t>Višestruka diskriminacije</w:t>
        </w:r>
        <w:r w:rsidR="00AE17D2" w:rsidRPr="001D608C">
          <w:rPr>
            <w:noProof/>
            <w:webHidden/>
          </w:rPr>
          <w:tab/>
        </w:r>
        <w:r w:rsidR="00CD68AF">
          <w:rPr>
            <w:noProof/>
            <w:webHidden/>
          </w:rPr>
          <w:t>132</w:t>
        </w:r>
      </w:hyperlink>
    </w:p>
    <w:p w:rsidR="00AE17D2" w:rsidRPr="001D608C" w:rsidRDefault="0011214A" w:rsidP="00AE17D2">
      <w:pPr>
        <w:pStyle w:val="TOC4"/>
        <w:rPr>
          <w:rFonts w:ascii="Arial" w:eastAsia="Times New Roman" w:hAnsi="Arial" w:cs="Arial"/>
          <w:noProof/>
          <w:sz w:val="20"/>
          <w:szCs w:val="20"/>
          <w:lang w:val="en-US"/>
        </w:rPr>
      </w:pPr>
      <w:hyperlink w:anchor="_Toc477251778" w:history="1">
        <w:r w:rsidR="00AE17D2" w:rsidRPr="001D608C">
          <w:rPr>
            <w:rStyle w:val="Hyperlink"/>
            <w:rFonts w:ascii="Arial" w:hAnsi="Arial" w:cs="Arial"/>
            <w:noProof/>
            <w:sz w:val="20"/>
            <w:szCs w:val="20"/>
          </w:rPr>
          <w:t>3.6.9.1</w:t>
        </w:r>
        <w:r w:rsidR="00AE17D2" w:rsidRPr="001D608C">
          <w:rPr>
            <w:rFonts w:ascii="Arial" w:eastAsia="Times New Roman" w:hAnsi="Arial" w:cs="Arial"/>
            <w:noProof/>
            <w:sz w:val="20"/>
            <w:szCs w:val="20"/>
            <w:lang w:val="en-US"/>
          </w:rPr>
          <w:tab/>
        </w:r>
        <w:r w:rsidR="00AE17D2" w:rsidRPr="001D608C">
          <w:rPr>
            <w:rFonts w:ascii="Arial" w:eastAsia="Times New Roman" w:hAnsi="Arial" w:cs="Arial"/>
            <w:noProof/>
            <w:sz w:val="20"/>
            <w:szCs w:val="20"/>
          </w:rPr>
          <w:t xml:space="preserve"> </w:t>
        </w:r>
        <w:r w:rsidR="007B100E" w:rsidRPr="007B100E">
          <w:rPr>
            <w:rStyle w:val="Hyperlink"/>
            <w:rFonts w:ascii="Arial" w:hAnsi="Arial" w:cs="Arial"/>
            <w:noProof/>
            <w:sz w:val="20"/>
            <w:szCs w:val="20"/>
          </w:rPr>
          <w:t>Mišljenja i preporuke</w:t>
        </w:r>
        <w:r w:rsidR="00AE17D2" w:rsidRPr="001D608C">
          <w:rPr>
            <w:rFonts w:ascii="Arial" w:hAnsi="Arial" w:cs="Arial"/>
            <w:noProof/>
            <w:webHidden/>
            <w:sz w:val="20"/>
            <w:szCs w:val="20"/>
          </w:rPr>
          <w:tab/>
        </w:r>
        <w:r w:rsidR="00CD68AF">
          <w:rPr>
            <w:rFonts w:ascii="Arial" w:hAnsi="Arial" w:cs="Arial"/>
            <w:noProof/>
            <w:webHidden/>
            <w:sz w:val="20"/>
            <w:szCs w:val="20"/>
            <w:lang w:val="sr-Latn-RS"/>
          </w:rPr>
          <w:t>132</w:t>
        </w:r>
      </w:hyperlink>
    </w:p>
    <w:p w:rsidR="00AE17D2" w:rsidRPr="00CD68AF" w:rsidRDefault="0011214A" w:rsidP="00CD68AF">
      <w:pPr>
        <w:pStyle w:val="TOC2"/>
        <w:rPr>
          <w:rFonts w:eastAsia="Times New Roman"/>
          <w:lang w:val="en-US"/>
        </w:rPr>
      </w:pPr>
      <w:hyperlink w:anchor="_Toc477251780" w:history="1">
        <w:r w:rsidR="00AE17D2" w:rsidRPr="00CD68AF">
          <w:rPr>
            <w:rStyle w:val="Hyperlink"/>
          </w:rPr>
          <w:t>3.7.</w:t>
        </w:r>
        <w:r w:rsidR="00AE17D2" w:rsidRPr="00CD68AF">
          <w:rPr>
            <w:rFonts w:eastAsia="Times New Roman"/>
            <w:lang w:val="en-US"/>
          </w:rPr>
          <w:tab/>
        </w:r>
        <w:r w:rsidR="007B100E" w:rsidRPr="00CD68AF">
          <w:rPr>
            <w:rStyle w:val="Hyperlink"/>
            <w:lang w:val="sr-Latn-RS"/>
          </w:rPr>
          <w:t>Predlozi za ocenu ustavnosti</w:t>
        </w:r>
        <w:r w:rsidR="00AE17D2" w:rsidRPr="00CD68AF">
          <w:rPr>
            <w:webHidden/>
          </w:rPr>
          <w:tab/>
        </w:r>
        <w:r w:rsidR="00CD68AF" w:rsidRPr="00CD68AF">
          <w:rPr>
            <w:webHidden/>
            <w:lang w:val="sr-Latn-RS"/>
          </w:rPr>
          <w:t>134</w:t>
        </w:r>
      </w:hyperlink>
    </w:p>
    <w:p w:rsidR="00AE17D2" w:rsidRPr="00CD68AF" w:rsidRDefault="0011214A" w:rsidP="00CD68AF">
      <w:pPr>
        <w:pStyle w:val="TOC2"/>
        <w:rPr>
          <w:rFonts w:eastAsia="Times New Roman"/>
          <w:lang w:val="en-US"/>
        </w:rPr>
      </w:pPr>
      <w:hyperlink w:anchor="_Toc477251781" w:history="1">
        <w:r w:rsidR="00AE17D2" w:rsidRPr="00CD68AF">
          <w:rPr>
            <w:rStyle w:val="Hyperlink"/>
          </w:rPr>
          <w:t>3.8.</w:t>
        </w:r>
        <w:r w:rsidR="00AE17D2" w:rsidRPr="00CD68AF">
          <w:rPr>
            <w:rFonts w:eastAsia="Times New Roman"/>
            <w:lang w:val="en-US"/>
          </w:rPr>
          <w:tab/>
        </w:r>
        <w:r w:rsidR="007B100E" w:rsidRPr="00CD68AF">
          <w:rPr>
            <w:rStyle w:val="Hyperlink"/>
            <w:lang w:val="sr-Latn-RS"/>
          </w:rPr>
          <w:t>Mišljenja na nacrte zakona i drugih opštih akata</w:t>
        </w:r>
        <w:r w:rsidR="00AE17D2" w:rsidRPr="00CD68AF">
          <w:rPr>
            <w:webHidden/>
          </w:rPr>
          <w:tab/>
        </w:r>
        <w:r w:rsidR="00CD68AF" w:rsidRPr="00CD68AF">
          <w:rPr>
            <w:webHidden/>
            <w:lang w:val="sr-Latn-RS"/>
          </w:rPr>
          <w:t>136</w:t>
        </w:r>
      </w:hyperlink>
    </w:p>
    <w:p w:rsidR="00AE17D2" w:rsidRPr="00CD68AF" w:rsidRDefault="0011214A" w:rsidP="00CD68AF">
      <w:pPr>
        <w:pStyle w:val="TOC2"/>
        <w:rPr>
          <w:rFonts w:eastAsia="Times New Roman"/>
          <w:lang w:val="en-US"/>
        </w:rPr>
      </w:pPr>
      <w:hyperlink w:anchor="_Toc477251782" w:history="1">
        <w:r w:rsidR="00AE17D2" w:rsidRPr="00CD68AF">
          <w:rPr>
            <w:rStyle w:val="Hyperlink"/>
          </w:rPr>
          <w:t>3.9.</w:t>
        </w:r>
        <w:r w:rsidR="00AE17D2" w:rsidRPr="00CD68AF">
          <w:rPr>
            <w:rFonts w:eastAsia="Times New Roman"/>
            <w:lang w:val="en-US"/>
          </w:rPr>
          <w:tab/>
        </w:r>
        <w:r w:rsidR="007B100E" w:rsidRPr="00CD68AF">
          <w:rPr>
            <w:rStyle w:val="Hyperlink"/>
            <w:lang w:val="sr-Latn-RS"/>
          </w:rPr>
          <w:t>Sudski postupci</w:t>
        </w:r>
        <w:r w:rsidR="00AE17D2" w:rsidRPr="00CD68AF">
          <w:rPr>
            <w:webHidden/>
          </w:rPr>
          <w:tab/>
        </w:r>
        <w:r w:rsidR="00CD68AF" w:rsidRPr="00CD68AF">
          <w:rPr>
            <w:webHidden/>
            <w:lang w:val="sr-Latn-RS"/>
          </w:rPr>
          <w:t>150</w:t>
        </w:r>
      </w:hyperlink>
    </w:p>
    <w:p w:rsidR="00AE17D2" w:rsidRPr="001D608C" w:rsidRDefault="0011214A" w:rsidP="00AE17D2">
      <w:pPr>
        <w:pStyle w:val="TOC3"/>
        <w:rPr>
          <w:noProof/>
        </w:rPr>
      </w:pPr>
      <w:hyperlink w:anchor="_Toc477251783" w:history="1">
        <w:r w:rsidR="00AE17D2" w:rsidRPr="001D608C">
          <w:rPr>
            <w:rStyle w:val="Hyperlink"/>
            <w:noProof/>
          </w:rPr>
          <w:t>3.9.1.</w:t>
        </w:r>
        <w:r w:rsidR="00AE17D2" w:rsidRPr="001D608C">
          <w:rPr>
            <w:noProof/>
          </w:rPr>
          <w:tab/>
        </w:r>
        <w:r w:rsidR="007B100E">
          <w:rPr>
            <w:rStyle w:val="Hyperlink"/>
            <w:noProof/>
          </w:rPr>
          <w:t>Parnični postupci</w:t>
        </w:r>
        <w:r w:rsidR="00AE17D2" w:rsidRPr="001D608C">
          <w:rPr>
            <w:noProof/>
            <w:webHidden/>
          </w:rPr>
          <w:tab/>
        </w:r>
        <w:r w:rsidR="00CD68AF">
          <w:rPr>
            <w:noProof/>
            <w:webHidden/>
          </w:rPr>
          <w:t>150</w:t>
        </w:r>
      </w:hyperlink>
    </w:p>
    <w:p w:rsidR="00AE17D2" w:rsidRPr="001D608C" w:rsidRDefault="0011214A" w:rsidP="00AE17D2">
      <w:pPr>
        <w:pStyle w:val="TOC3"/>
        <w:rPr>
          <w:noProof/>
        </w:rPr>
      </w:pPr>
      <w:hyperlink w:anchor="_Toc477251785" w:history="1">
        <w:r w:rsidR="00AE17D2" w:rsidRPr="001D608C">
          <w:rPr>
            <w:rStyle w:val="Hyperlink"/>
            <w:noProof/>
          </w:rPr>
          <w:t>3.9.2.</w:t>
        </w:r>
        <w:r w:rsidR="00AE17D2" w:rsidRPr="001D608C">
          <w:rPr>
            <w:noProof/>
          </w:rPr>
          <w:tab/>
        </w:r>
        <w:r w:rsidR="007B100E">
          <w:rPr>
            <w:rStyle w:val="Hyperlink"/>
            <w:noProof/>
          </w:rPr>
          <w:t>Krivične prijave</w:t>
        </w:r>
        <w:r w:rsidR="00AE17D2" w:rsidRPr="001D608C">
          <w:rPr>
            <w:noProof/>
            <w:webHidden/>
          </w:rPr>
          <w:tab/>
        </w:r>
        <w:r w:rsidR="00CD68AF">
          <w:rPr>
            <w:noProof/>
            <w:webHidden/>
          </w:rPr>
          <w:t>153</w:t>
        </w:r>
      </w:hyperlink>
    </w:p>
    <w:p w:rsidR="00AE17D2" w:rsidRPr="001D608C" w:rsidRDefault="0011214A" w:rsidP="00AE17D2">
      <w:pPr>
        <w:pStyle w:val="TOC3"/>
        <w:rPr>
          <w:rStyle w:val="Hyperlink"/>
          <w:noProof/>
        </w:rPr>
      </w:pPr>
      <w:hyperlink w:anchor="_Toc477251786" w:history="1">
        <w:r w:rsidR="007B100E">
          <w:rPr>
            <w:rStyle w:val="Hyperlink"/>
            <w:noProof/>
          </w:rPr>
          <w:t>3.9.3.</w:t>
        </w:r>
        <w:r w:rsidR="007B100E">
          <w:rPr>
            <w:rStyle w:val="Hyperlink"/>
            <w:noProof/>
          </w:rPr>
          <w:tab/>
          <w:t>Prekršajni postupci</w:t>
        </w:r>
        <w:r w:rsidR="00AE17D2" w:rsidRPr="001D608C">
          <w:rPr>
            <w:rStyle w:val="Hyperlink"/>
            <w:noProof/>
            <w:webHidden/>
          </w:rPr>
          <w:tab/>
        </w:r>
        <w:r w:rsidR="00CD68AF">
          <w:rPr>
            <w:rStyle w:val="Hyperlink"/>
            <w:noProof/>
            <w:webHidden/>
          </w:rPr>
          <w:t>154</w:t>
        </w:r>
      </w:hyperlink>
    </w:p>
    <w:p w:rsidR="00AE17D2" w:rsidRPr="001D608C" w:rsidRDefault="00AE17D2" w:rsidP="00AE17D2">
      <w:pPr>
        <w:pStyle w:val="TOC1"/>
        <w:rPr>
          <w:rStyle w:val="Hyperlink"/>
          <w:b w:val="0"/>
          <w:bCs w:val="0"/>
          <w:caps w:val="0"/>
          <w:smallCaps/>
        </w:rPr>
      </w:pPr>
      <w:r w:rsidRPr="001D608C">
        <w:rPr>
          <w:rStyle w:val="Hyperlink"/>
          <w:b w:val="0"/>
          <w:bCs w:val="0"/>
          <w:caps w:val="0"/>
          <w:smallCaps/>
          <w:u w:val="none"/>
        </w:rPr>
        <w:t xml:space="preserve"> </w:t>
      </w:r>
      <w:hyperlink w:anchor="_Toc477251787" w:history="1">
        <w:r w:rsidR="006D52BC">
          <w:rPr>
            <w:rStyle w:val="Hyperlink"/>
            <w:b w:val="0"/>
            <w:bCs w:val="0"/>
            <w:caps w:val="0"/>
            <w:smallCaps/>
          </w:rPr>
          <w:t>3.10.</w:t>
        </w:r>
        <w:r w:rsidR="006D52BC">
          <w:rPr>
            <w:rStyle w:val="Hyperlink"/>
            <w:b w:val="0"/>
            <w:bCs w:val="0"/>
            <w:caps w:val="0"/>
            <w:smallCaps/>
          </w:rPr>
          <w:tab/>
        </w:r>
        <w:r w:rsidR="006D52BC">
          <w:rPr>
            <w:rStyle w:val="Hyperlink"/>
            <w:b w:val="0"/>
            <w:bCs w:val="0"/>
            <w:caps w:val="0"/>
            <w:smallCaps/>
            <w:lang w:val="sr-Latn-RS"/>
          </w:rPr>
          <w:t>Ostali ishodi postupaka</w:t>
        </w:r>
        <w:r w:rsidRPr="001D608C">
          <w:rPr>
            <w:rStyle w:val="Hyperlink"/>
            <w:b w:val="0"/>
            <w:bCs w:val="0"/>
            <w:caps w:val="0"/>
            <w:smallCaps/>
            <w:webHidden/>
          </w:rPr>
          <w:tab/>
        </w:r>
        <w:r w:rsidR="00CD68AF">
          <w:rPr>
            <w:rStyle w:val="Hyperlink"/>
            <w:b w:val="0"/>
            <w:bCs w:val="0"/>
            <w:caps w:val="0"/>
            <w:smallCaps/>
            <w:webHidden/>
            <w:lang w:val="sr-Latn-RS"/>
          </w:rPr>
          <w:t>154</w:t>
        </w:r>
      </w:hyperlink>
    </w:p>
    <w:p w:rsidR="00AE17D2" w:rsidRPr="001D608C" w:rsidRDefault="0011214A" w:rsidP="00AE17D2">
      <w:pPr>
        <w:pStyle w:val="TOC1"/>
        <w:rPr>
          <w:rFonts w:eastAsia="Times New Roman"/>
          <w:lang w:val="en-US"/>
        </w:rPr>
      </w:pPr>
      <w:hyperlink w:anchor="_Toc477251792" w:history="1">
        <w:r w:rsidR="00AE17D2" w:rsidRPr="001D608C">
          <w:rPr>
            <w:rStyle w:val="Hyperlink"/>
          </w:rPr>
          <w:t>4.</w:t>
        </w:r>
        <w:r w:rsidR="00AE17D2" w:rsidRPr="001D608C">
          <w:rPr>
            <w:rFonts w:eastAsia="Times New Roman"/>
            <w:lang w:val="en-US"/>
          </w:rPr>
          <w:tab/>
        </w:r>
        <w:r w:rsidR="006D52BC">
          <w:rPr>
            <w:rStyle w:val="Hyperlink"/>
            <w:lang w:val="sr-Latn-RS"/>
          </w:rPr>
          <w:t>saradnja poverenika</w:t>
        </w:r>
        <w:r w:rsidR="00AE17D2" w:rsidRPr="001D608C">
          <w:rPr>
            <w:webHidden/>
          </w:rPr>
          <w:tab/>
        </w:r>
        <w:r w:rsidR="00CD68AF">
          <w:rPr>
            <w:webHidden/>
            <w:lang w:val="sr-Latn-RS"/>
          </w:rPr>
          <w:t>166</w:t>
        </w:r>
      </w:hyperlink>
    </w:p>
    <w:p w:rsidR="00AE17D2" w:rsidRPr="001D608C" w:rsidRDefault="0011214A" w:rsidP="00CD68AF">
      <w:pPr>
        <w:pStyle w:val="TOC2"/>
        <w:rPr>
          <w:rFonts w:eastAsia="Times New Roman"/>
          <w:lang w:val="en-US"/>
        </w:rPr>
      </w:pPr>
      <w:hyperlink w:anchor="_Toc477251793" w:history="1">
        <w:r w:rsidR="00AE17D2" w:rsidRPr="001D608C">
          <w:rPr>
            <w:rStyle w:val="Hyperlink"/>
          </w:rPr>
          <w:t>4.1.</w:t>
        </w:r>
        <w:r w:rsidR="00AE17D2" w:rsidRPr="001D608C">
          <w:rPr>
            <w:rFonts w:eastAsia="Times New Roman"/>
            <w:lang w:val="en-US"/>
          </w:rPr>
          <w:tab/>
        </w:r>
        <w:r w:rsidR="006D52BC">
          <w:rPr>
            <w:rStyle w:val="Hyperlink"/>
            <w:lang w:val="sr-Latn-RS"/>
          </w:rPr>
          <w:t>Saradnja sa organima javne vlasti</w:t>
        </w:r>
        <w:r w:rsidR="00AE17D2" w:rsidRPr="001D608C">
          <w:rPr>
            <w:webHidden/>
          </w:rPr>
          <w:tab/>
        </w:r>
        <w:r w:rsidR="00CD68AF">
          <w:rPr>
            <w:webHidden/>
            <w:lang w:val="sr-Latn-RS"/>
          </w:rPr>
          <w:t>167</w:t>
        </w:r>
      </w:hyperlink>
    </w:p>
    <w:p w:rsidR="00AE17D2" w:rsidRPr="001D608C" w:rsidRDefault="0011214A" w:rsidP="00AE17D2">
      <w:pPr>
        <w:pStyle w:val="TOC3"/>
        <w:rPr>
          <w:noProof/>
        </w:rPr>
      </w:pPr>
      <w:hyperlink w:anchor="_Toc477251794" w:history="1">
        <w:r w:rsidR="00AE17D2" w:rsidRPr="001D608C">
          <w:rPr>
            <w:rStyle w:val="Hyperlink"/>
            <w:noProof/>
          </w:rPr>
          <w:t>4.1.1.</w:t>
        </w:r>
        <w:r w:rsidR="00AE17D2" w:rsidRPr="001D608C">
          <w:rPr>
            <w:noProof/>
          </w:rPr>
          <w:tab/>
        </w:r>
        <w:r w:rsidR="006D52BC">
          <w:rPr>
            <w:rStyle w:val="Hyperlink"/>
            <w:noProof/>
          </w:rPr>
          <w:t>Saradnja sa Narodnom skupštinom Republike Srbije</w:t>
        </w:r>
        <w:r w:rsidR="00AE17D2" w:rsidRPr="001D608C">
          <w:rPr>
            <w:noProof/>
            <w:webHidden/>
          </w:rPr>
          <w:tab/>
        </w:r>
        <w:r w:rsidR="00CD68AF">
          <w:rPr>
            <w:noProof/>
            <w:webHidden/>
          </w:rPr>
          <w:t>167</w:t>
        </w:r>
      </w:hyperlink>
    </w:p>
    <w:p w:rsidR="00AE17D2" w:rsidRPr="001D608C" w:rsidRDefault="0011214A" w:rsidP="00AE17D2">
      <w:pPr>
        <w:pStyle w:val="TOC3"/>
        <w:rPr>
          <w:noProof/>
        </w:rPr>
      </w:pPr>
      <w:hyperlink w:anchor="_Toc477251795" w:history="1">
        <w:r w:rsidR="00AE17D2" w:rsidRPr="001D608C">
          <w:rPr>
            <w:rStyle w:val="Hyperlink"/>
            <w:noProof/>
          </w:rPr>
          <w:t>4.1.2.</w:t>
        </w:r>
        <w:r w:rsidR="00AE17D2" w:rsidRPr="001D608C">
          <w:rPr>
            <w:noProof/>
          </w:rPr>
          <w:tab/>
        </w:r>
        <w:r w:rsidR="006D52BC">
          <w:rPr>
            <w:rStyle w:val="Hyperlink"/>
            <w:noProof/>
            <w:spacing w:val="20"/>
          </w:rPr>
          <w:t>Saradnja sa predstavnicima izvršne vlasti</w:t>
        </w:r>
        <w:r w:rsidR="00AE17D2" w:rsidRPr="001D608C">
          <w:rPr>
            <w:noProof/>
            <w:webHidden/>
          </w:rPr>
          <w:tab/>
        </w:r>
        <w:r w:rsidR="00CD68AF">
          <w:rPr>
            <w:noProof/>
            <w:webHidden/>
          </w:rPr>
          <w:t>168</w:t>
        </w:r>
      </w:hyperlink>
    </w:p>
    <w:p w:rsidR="00AE17D2" w:rsidRPr="001D608C" w:rsidRDefault="0011214A" w:rsidP="00AE17D2">
      <w:pPr>
        <w:pStyle w:val="TOC3"/>
        <w:rPr>
          <w:noProof/>
        </w:rPr>
      </w:pPr>
      <w:hyperlink w:anchor="_Toc477251796" w:history="1">
        <w:r w:rsidR="00AE17D2" w:rsidRPr="001D608C">
          <w:rPr>
            <w:rStyle w:val="Hyperlink"/>
            <w:noProof/>
          </w:rPr>
          <w:t>4.1.3.</w:t>
        </w:r>
        <w:r w:rsidR="00AE17D2" w:rsidRPr="001D608C">
          <w:rPr>
            <w:noProof/>
          </w:rPr>
          <w:tab/>
        </w:r>
        <w:r w:rsidR="006D52BC">
          <w:rPr>
            <w:rStyle w:val="Hyperlink"/>
            <w:noProof/>
          </w:rPr>
          <w:t>Saradnja sa jedinicama lokalne samouprave</w:t>
        </w:r>
        <w:r w:rsidR="00AE17D2" w:rsidRPr="001D608C">
          <w:rPr>
            <w:noProof/>
            <w:webHidden/>
          </w:rPr>
          <w:tab/>
        </w:r>
        <w:r w:rsidR="00CD68AF">
          <w:rPr>
            <w:noProof/>
            <w:webHidden/>
          </w:rPr>
          <w:t>170</w:t>
        </w:r>
      </w:hyperlink>
    </w:p>
    <w:p w:rsidR="00AE17D2" w:rsidRPr="00CD68AF" w:rsidRDefault="00CD68AF" w:rsidP="00CD68AF">
      <w:pPr>
        <w:pStyle w:val="TOC2"/>
        <w:rPr>
          <w:rFonts w:eastAsia="Times New Roman"/>
          <w:lang w:val="sr-Latn-RS"/>
        </w:rPr>
      </w:pPr>
      <w:r>
        <w:rPr>
          <w:lang w:val="sr-Latn-RS"/>
        </w:rPr>
        <w:t xml:space="preserve"> </w:t>
      </w:r>
      <w:hyperlink w:anchor="_Toc477251797" w:history="1">
        <w:r w:rsidR="00AE17D2" w:rsidRPr="001D608C">
          <w:rPr>
            <w:rStyle w:val="Hyperlink"/>
          </w:rPr>
          <w:t>4.2.</w:t>
        </w:r>
        <w:r w:rsidR="00AE17D2" w:rsidRPr="001D608C">
          <w:rPr>
            <w:rFonts w:eastAsia="Times New Roman"/>
            <w:lang w:val="en-US"/>
          </w:rPr>
          <w:tab/>
        </w:r>
        <w:r w:rsidR="006D52BC">
          <w:rPr>
            <w:rStyle w:val="Hyperlink"/>
            <w:lang w:val="sr-Latn-RS"/>
          </w:rPr>
          <w:t>Saradnja sa organizacijama civilnog društva</w:t>
        </w:r>
        <w:r>
          <w:rPr>
            <w:rStyle w:val="Hyperlink"/>
            <w:lang w:val="sr-Latn-RS"/>
          </w:rPr>
          <w:t>..........................................................</w:t>
        </w:r>
      </w:hyperlink>
      <w:r>
        <w:rPr>
          <w:lang w:val="sr-Latn-RS"/>
        </w:rPr>
        <w:t>........</w:t>
      </w:r>
      <w:r w:rsidRPr="00CD68AF">
        <w:rPr>
          <w:lang w:val="sr-Latn-RS"/>
        </w:rPr>
        <w:t>171</w:t>
      </w:r>
    </w:p>
    <w:p w:rsidR="00AE17D2" w:rsidRPr="001D608C" w:rsidRDefault="0011214A" w:rsidP="00CD68AF">
      <w:pPr>
        <w:pStyle w:val="TOC2"/>
        <w:rPr>
          <w:rFonts w:eastAsia="Times New Roman"/>
          <w:lang w:val="en-US"/>
        </w:rPr>
      </w:pPr>
      <w:hyperlink w:anchor="_Toc477251798" w:history="1">
        <w:r w:rsidR="00AE17D2" w:rsidRPr="001D608C">
          <w:rPr>
            <w:rStyle w:val="Hyperlink"/>
          </w:rPr>
          <w:t>4.3.</w:t>
        </w:r>
        <w:r w:rsidR="00AE17D2" w:rsidRPr="001D608C">
          <w:rPr>
            <w:rFonts w:eastAsia="Times New Roman"/>
            <w:lang w:val="en-US"/>
          </w:rPr>
          <w:tab/>
        </w:r>
        <w:r w:rsidR="006D52BC">
          <w:rPr>
            <w:rStyle w:val="Hyperlink"/>
            <w:lang w:val="sr-Latn-RS"/>
          </w:rPr>
          <w:t>Međunarodna saradnja</w:t>
        </w:r>
        <w:r w:rsidR="00AE17D2" w:rsidRPr="001D608C">
          <w:rPr>
            <w:webHidden/>
          </w:rPr>
          <w:tab/>
        </w:r>
        <w:r w:rsidR="00CD68AF">
          <w:rPr>
            <w:webHidden/>
            <w:lang w:val="sr-Latn-RS"/>
          </w:rPr>
          <w:t>176</w:t>
        </w:r>
      </w:hyperlink>
    </w:p>
    <w:p w:rsidR="00AE17D2" w:rsidRPr="001D608C" w:rsidRDefault="0011214A" w:rsidP="00AE17D2">
      <w:pPr>
        <w:pStyle w:val="TOC3"/>
        <w:rPr>
          <w:noProof/>
        </w:rPr>
      </w:pPr>
      <w:hyperlink w:anchor="_Toc477251799" w:history="1">
        <w:r w:rsidR="00AE17D2" w:rsidRPr="001D608C">
          <w:rPr>
            <w:rStyle w:val="Hyperlink"/>
            <w:noProof/>
          </w:rPr>
          <w:t>4.3.1.</w:t>
        </w:r>
        <w:r w:rsidR="00AE17D2" w:rsidRPr="001D608C">
          <w:rPr>
            <w:noProof/>
          </w:rPr>
          <w:tab/>
        </w:r>
        <w:r w:rsidR="006D52BC">
          <w:rPr>
            <w:rStyle w:val="Hyperlink"/>
            <w:noProof/>
          </w:rPr>
          <w:t>Saradnja sa Misijom OEBS-a u Srbiji</w:t>
        </w:r>
        <w:r w:rsidR="00AE17D2" w:rsidRPr="001D608C">
          <w:rPr>
            <w:noProof/>
            <w:webHidden/>
          </w:rPr>
          <w:tab/>
        </w:r>
        <w:r w:rsidR="00CD68AF">
          <w:rPr>
            <w:noProof/>
            <w:webHidden/>
          </w:rPr>
          <w:t>178</w:t>
        </w:r>
      </w:hyperlink>
    </w:p>
    <w:p w:rsidR="00AE17D2" w:rsidRPr="001D608C" w:rsidRDefault="0011214A" w:rsidP="00AE17D2">
      <w:pPr>
        <w:pStyle w:val="TOC3"/>
        <w:rPr>
          <w:noProof/>
        </w:rPr>
      </w:pPr>
      <w:hyperlink w:anchor="_Toc477251800" w:history="1">
        <w:r w:rsidR="00AE17D2" w:rsidRPr="001D608C">
          <w:rPr>
            <w:rStyle w:val="Hyperlink"/>
            <w:noProof/>
          </w:rPr>
          <w:t>4.3.2.</w:t>
        </w:r>
        <w:r w:rsidR="00AE17D2" w:rsidRPr="001D608C">
          <w:rPr>
            <w:noProof/>
          </w:rPr>
          <w:tab/>
        </w:r>
        <w:r w:rsidR="00562DA8">
          <w:rPr>
            <w:rStyle w:val="Hyperlink"/>
            <w:noProof/>
          </w:rPr>
          <w:t>Saradnja sa Delegacijom Evropske Unije u Srbiji</w:t>
        </w:r>
        <w:r w:rsidR="00AE17D2" w:rsidRPr="001D608C">
          <w:rPr>
            <w:noProof/>
            <w:webHidden/>
          </w:rPr>
          <w:tab/>
        </w:r>
        <w:r w:rsidR="00CD68AF">
          <w:rPr>
            <w:noProof/>
            <w:webHidden/>
          </w:rPr>
          <w:t>179</w:t>
        </w:r>
      </w:hyperlink>
    </w:p>
    <w:p w:rsidR="00AE17D2" w:rsidRPr="001D608C" w:rsidRDefault="0011214A" w:rsidP="00AE17D2">
      <w:pPr>
        <w:pStyle w:val="TOC3"/>
        <w:rPr>
          <w:noProof/>
        </w:rPr>
      </w:pPr>
      <w:hyperlink w:anchor="_Toc477251801" w:history="1">
        <w:r w:rsidR="00AE17D2" w:rsidRPr="001D608C">
          <w:rPr>
            <w:rStyle w:val="Hyperlink"/>
            <w:noProof/>
          </w:rPr>
          <w:t>4.3.3.</w:t>
        </w:r>
        <w:r w:rsidR="00AE17D2" w:rsidRPr="001D608C">
          <w:rPr>
            <w:noProof/>
          </w:rPr>
          <w:tab/>
        </w:r>
        <w:r w:rsidR="00562DA8">
          <w:rPr>
            <w:rStyle w:val="Hyperlink"/>
            <w:noProof/>
          </w:rPr>
          <w:t>Saradnja sa Fondom Ujedinjenih nacija za decu (UNICEF)</w:t>
        </w:r>
        <w:r w:rsidR="00AE17D2" w:rsidRPr="001D608C">
          <w:rPr>
            <w:noProof/>
            <w:webHidden/>
          </w:rPr>
          <w:tab/>
        </w:r>
        <w:r w:rsidR="00CD68AF">
          <w:rPr>
            <w:noProof/>
            <w:webHidden/>
          </w:rPr>
          <w:t>180</w:t>
        </w:r>
      </w:hyperlink>
    </w:p>
    <w:p w:rsidR="00AE17D2" w:rsidRPr="001D608C" w:rsidRDefault="0011214A" w:rsidP="00AE17D2">
      <w:pPr>
        <w:pStyle w:val="TOC3"/>
        <w:rPr>
          <w:noProof/>
        </w:rPr>
      </w:pPr>
      <w:hyperlink w:anchor="_Toc477251802" w:history="1">
        <w:r w:rsidR="00AE17D2" w:rsidRPr="001D608C">
          <w:rPr>
            <w:rStyle w:val="Hyperlink"/>
            <w:noProof/>
          </w:rPr>
          <w:t>4.3.4.</w:t>
        </w:r>
        <w:r w:rsidR="00AE17D2" w:rsidRPr="001D608C">
          <w:rPr>
            <w:noProof/>
          </w:rPr>
          <w:tab/>
        </w:r>
        <w:r w:rsidR="00562DA8">
          <w:rPr>
            <w:rStyle w:val="Hyperlink"/>
            <w:noProof/>
          </w:rPr>
          <w:t>Saradnja sa GIZ-om</w:t>
        </w:r>
        <w:r w:rsidR="00AE17D2" w:rsidRPr="001D608C">
          <w:rPr>
            <w:noProof/>
            <w:webHidden/>
          </w:rPr>
          <w:tab/>
        </w:r>
        <w:r w:rsidR="00CD68AF">
          <w:rPr>
            <w:noProof/>
            <w:webHidden/>
          </w:rPr>
          <w:t>181</w:t>
        </w:r>
      </w:hyperlink>
    </w:p>
    <w:p w:rsidR="00AE17D2" w:rsidRPr="001D608C" w:rsidRDefault="0011214A" w:rsidP="00AE17D2">
      <w:pPr>
        <w:pStyle w:val="TOC3"/>
        <w:rPr>
          <w:noProof/>
        </w:rPr>
      </w:pPr>
      <w:hyperlink w:anchor="_Toc477251803" w:history="1">
        <w:r w:rsidR="00AE17D2" w:rsidRPr="001D608C">
          <w:rPr>
            <w:rStyle w:val="Hyperlink"/>
            <w:noProof/>
          </w:rPr>
          <w:t>4.3.5.</w:t>
        </w:r>
        <w:r w:rsidR="00AE17D2" w:rsidRPr="001D608C">
          <w:rPr>
            <w:noProof/>
          </w:rPr>
          <w:tab/>
        </w:r>
        <w:r w:rsidR="00562DA8">
          <w:rPr>
            <w:rStyle w:val="Hyperlink"/>
            <w:noProof/>
          </w:rPr>
          <w:t>Saradnja sa Savetom Evrope</w:t>
        </w:r>
        <w:r w:rsidR="00AE17D2" w:rsidRPr="001D608C">
          <w:rPr>
            <w:noProof/>
            <w:webHidden/>
          </w:rPr>
          <w:tab/>
        </w:r>
        <w:r w:rsidR="00CD68AF">
          <w:rPr>
            <w:noProof/>
            <w:webHidden/>
          </w:rPr>
          <w:t>181</w:t>
        </w:r>
      </w:hyperlink>
    </w:p>
    <w:p w:rsidR="00AE17D2" w:rsidRPr="001D608C" w:rsidRDefault="0011214A" w:rsidP="00CD68AF">
      <w:pPr>
        <w:pStyle w:val="TOC2"/>
        <w:rPr>
          <w:rFonts w:eastAsia="Times New Roman"/>
          <w:lang w:val="en-US"/>
        </w:rPr>
      </w:pPr>
      <w:hyperlink w:anchor="_Toc477251804" w:history="1">
        <w:r w:rsidR="00AE17D2" w:rsidRPr="001D608C">
          <w:rPr>
            <w:rStyle w:val="Hyperlink"/>
          </w:rPr>
          <w:t>4.4.</w:t>
        </w:r>
        <w:r w:rsidR="00AE17D2" w:rsidRPr="001D608C">
          <w:rPr>
            <w:rFonts w:eastAsia="Times New Roman"/>
            <w:lang w:val="en-US"/>
          </w:rPr>
          <w:tab/>
        </w:r>
        <w:r w:rsidR="00562DA8">
          <w:rPr>
            <w:rStyle w:val="Hyperlink"/>
            <w:lang w:val="sr-Latn-RS"/>
          </w:rPr>
          <w:t>Ostali vidovi saradnje</w:t>
        </w:r>
        <w:r w:rsidR="00AE17D2" w:rsidRPr="001D608C">
          <w:rPr>
            <w:webHidden/>
          </w:rPr>
          <w:tab/>
        </w:r>
        <w:r w:rsidR="00CD68AF">
          <w:rPr>
            <w:webHidden/>
            <w:lang w:val="sr-Latn-RS"/>
          </w:rPr>
          <w:t>182</w:t>
        </w:r>
      </w:hyperlink>
    </w:p>
    <w:p w:rsidR="00AE17D2" w:rsidRPr="001D608C" w:rsidRDefault="0011214A" w:rsidP="00AE17D2">
      <w:pPr>
        <w:pStyle w:val="TOC3"/>
        <w:rPr>
          <w:noProof/>
        </w:rPr>
      </w:pPr>
      <w:hyperlink w:anchor="_Toc477251805" w:history="1">
        <w:r w:rsidR="00AE17D2" w:rsidRPr="001D608C">
          <w:rPr>
            <w:rStyle w:val="Hyperlink"/>
            <w:noProof/>
          </w:rPr>
          <w:t>4.4.1.</w:t>
        </w:r>
        <w:r w:rsidR="00AE17D2" w:rsidRPr="001D608C">
          <w:rPr>
            <w:noProof/>
          </w:rPr>
          <w:tab/>
        </w:r>
        <w:r w:rsidR="00562DA8">
          <w:rPr>
            <w:rStyle w:val="Hyperlink"/>
            <w:noProof/>
          </w:rPr>
          <w:t>Saradnja sa Evropskom mrežom tela za ravnopravnost (EKVINET)</w:t>
        </w:r>
        <w:r w:rsidR="00AE17D2" w:rsidRPr="001D608C">
          <w:rPr>
            <w:noProof/>
            <w:webHidden/>
          </w:rPr>
          <w:tab/>
        </w:r>
        <w:r w:rsidR="00CD68AF">
          <w:rPr>
            <w:noProof/>
            <w:webHidden/>
          </w:rPr>
          <w:t>184</w:t>
        </w:r>
      </w:hyperlink>
    </w:p>
    <w:p w:rsidR="00AE17D2" w:rsidRPr="001D608C" w:rsidRDefault="0011214A" w:rsidP="00AE17D2">
      <w:pPr>
        <w:pStyle w:val="TOC3"/>
        <w:rPr>
          <w:noProof/>
        </w:rPr>
      </w:pPr>
      <w:hyperlink w:anchor="_Toc477251806" w:history="1">
        <w:r w:rsidR="00AE17D2" w:rsidRPr="001D608C">
          <w:rPr>
            <w:rStyle w:val="Hyperlink"/>
            <w:noProof/>
          </w:rPr>
          <w:t>4.4.2.</w:t>
        </w:r>
        <w:r w:rsidR="00AE17D2" w:rsidRPr="001D608C">
          <w:rPr>
            <w:noProof/>
          </w:rPr>
          <w:tab/>
        </w:r>
        <w:r w:rsidR="00562DA8">
          <w:rPr>
            <w:rStyle w:val="Hyperlink"/>
            <w:noProof/>
          </w:rPr>
          <w:t>Regionalna saradnja na unapređenju ravnopravnosti</w:t>
        </w:r>
        <w:r w:rsidR="00AE17D2" w:rsidRPr="001D608C">
          <w:rPr>
            <w:noProof/>
            <w:webHidden/>
          </w:rPr>
          <w:tab/>
        </w:r>
        <w:r w:rsidR="00CD68AF">
          <w:rPr>
            <w:noProof/>
            <w:webHidden/>
          </w:rPr>
          <w:t>186</w:t>
        </w:r>
      </w:hyperlink>
    </w:p>
    <w:p w:rsidR="00AE17D2" w:rsidRPr="001D608C" w:rsidRDefault="0011214A" w:rsidP="00AE17D2">
      <w:pPr>
        <w:pStyle w:val="TOC4"/>
        <w:rPr>
          <w:rFonts w:ascii="Arial" w:eastAsia="Times New Roman" w:hAnsi="Arial" w:cs="Arial"/>
          <w:noProof/>
          <w:sz w:val="20"/>
          <w:szCs w:val="20"/>
          <w:lang w:val="en-US"/>
        </w:rPr>
      </w:pPr>
      <w:hyperlink w:anchor="_Toc477251807" w:history="1">
        <w:r w:rsidR="00AE17D2" w:rsidRPr="001D608C">
          <w:rPr>
            <w:rStyle w:val="Hyperlink"/>
            <w:rFonts w:ascii="Arial" w:hAnsi="Arial" w:cs="Arial"/>
            <w:noProof/>
            <w:sz w:val="20"/>
            <w:szCs w:val="20"/>
          </w:rPr>
          <w:t>4.4.2.1.</w:t>
        </w:r>
        <w:r w:rsidR="00AE17D2" w:rsidRPr="001D608C">
          <w:rPr>
            <w:rFonts w:ascii="Arial" w:eastAsia="Times New Roman" w:hAnsi="Arial" w:cs="Arial"/>
            <w:noProof/>
            <w:sz w:val="20"/>
            <w:szCs w:val="20"/>
            <w:lang w:val="en-US"/>
          </w:rPr>
          <w:tab/>
        </w:r>
        <w:r w:rsidR="00562DA8">
          <w:rPr>
            <w:rStyle w:val="Hyperlink"/>
            <w:rFonts w:ascii="Arial" w:hAnsi="Arial" w:cs="Arial"/>
            <w:noProof/>
            <w:sz w:val="20"/>
            <w:szCs w:val="20"/>
            <w:lang w:val="sr-Latn-RS"/>
          </w:rPr>
          <w:t>Godišnja konferencija Poverenika povodom Međunarodnog dana tolerancije</w:t>
        </w:r>
        <w:r w:rsidR="00AE17D2" w:rsidRPr="001D608C">
          <w:rPr>
            <w:rFonts w:ascii="Arial" w:hAnsi="Arial" w:cs="Arial"/>
            <w:noProof/>
            <w:webHidden/>
            <w:sz w:val="20"/>
            <w:szCs w:val="20"/>
          </w:rPr>
          <w:t>............................................................................................................................</w:t>
        </w:r>
        <w:r w:rsidR="00CD68AF">
          <w:rPr>
            <w:rFonts w:ascii="Arial" w:hAnsi="Arial" w:cs="Arial"/>
            <w:noProof/>
            <w:webHidden/>
            <w:sz w:val="20"/>
            <w:szCs w:val="20"/>
            <w:lang w:val="sr-Latn-RS"/>
          </w:rPr>
          <w:t>187</w:t>
        </w:r>
      </w:hyperlink>
    </w:p>
    <w:p w:rsidR="00AE17D2" w:rsidRPr="001D608C" w:rsidRDefault="0011214A" w:rsidP="00AE17D2">
      <w:pPr>
        <w:pStyle w:val="TOC1"/>
        <w:rPr>
          <w:rFonts w:eastAsia="Times New Roman"/>
          <w:lang w:val="en-US"/>
        </w:rPr>
      </w:pPr>
      <w:hyperlink w:anchor="_Toc477251808" w:history="1">
        <w:r w:rsidR="00AE17D2" w:rsidRPr="001D608C">
          <w:rPr>
            <w:rStyle w:val="Hyperlink"/>
          </w:rPr>
          <w:t>5.</w:t>
        </w:r>
        <w:r w:rsidR="00AE17D2" w:rsidRPr="001D608C">
          <w:rPr>
            <w:rFonts w:eastAsia="Times New Roman"/>
            <w:lang w:val="en-US"/>
          </w:rPr>
          <w:tab/>
        </w:r>
        <w:r w:rsidR="00374F68">
          <w:rPr>
            <w:rStyle w:val="Hyperlink"/>
            <w:lang w:val="sr-Latn-RS"/>
          </w:rPr>
          <w:t>medijsko izveštavanje</w:t>
        </w:r>
        <w:r w:rsidR="00AE17D2" w:rsidRPr="001D608C">
          <w:rPr>
            <w:webHidden/>
          </w:rPr>
          <w:tab/>
        </w:r>
        <w:r w:rsidR="00CD68AF">
          <w:rPr>
            <w:webHidden/>
            <w:lang w:val="sr-Latn-RS"/>
          </w:rPr>
          <w:t>189</w:t>
        </w:r>
      </w:hyperlink>
    </w:p>
    <w:p w:rsidR="00AE17D2" w:rsidRPr="001D608C" w:rsidRDefault="0011214A" w:rsidP="00AE17D2">
      <w:pPr>
        <w:pStyle w:val="TOC1"/>
        <w:rPr>
          <w:rFonts w:eastAsia="Times New Roman"/>
          <w:lang w:val="en-US"/>
        </w:rPr>
      </w:pPr>
      <w:hyperlink w:anchor="_Toc477251809" w:history="1">
        <w:r w:rsidR="00AE17D2" w:rsidRPr="001D608C">
          <w:rPr>
            <w:rStyle w:val="Hyperlink"/>
          </w:rPr>
          <w:t>6.</w:t>
        </w:r>
        <w:r w:rsidR="00AE17D2" w:rsidRPr="001D608C">
          <w:rPr>
            <w:rFonts w:eastAsia="Times New Roman"/>
            <w:lang w:val="en-US"/>
          </w:rPr>
          <w:tab/>
        </w:r>
        <w:r w:rsidR="00374F68">
          <w:rPr>
            <w:rStyle w:val="Hyperlink"/>
            <w:lang w:val="sr-Latn-RS"/>
          </w:rPr>
          <w:t>publikacije poverenika</w:t>
        </w:r>
        <w:r w:rsidR="00AE17D2" w:rsidRPr="001D608C">
          <w:rPr>
            <w:webHidden/>
          </w:rPr>
          <w:tab/>
        </w:r>
        <w:r w:rsidR="00CD68AF">
          <w:rPr>
            <w:webHidden/>
            <w:lang w:val="sr-Latn-RS"/>
          </w:rPr>
          <w:t>191</w:t>
        </w:r>
      </w:hyperlink>
    </w:p>
    <w:p w:rsidR="00AE17D2" w:rsidRPr="00CD68AF" w:rsidRDefault="0011214A" w:rsidP="00AE17D2">
      <w:pPr>
        <w:pStyle w:val="TOC1"/>
        <w:rPr>
          <w:rFonts w:eastAsia="Times New Roman"/>
          <w:lang w:val="sr-Latn-RS"/>
        </w:rPr>
      </w:pPr>
      <w:hyperlink w:anchor="_Toc477251810" w:history="1">
        <w:r w:rsidR="00AE17D2" w:rsidRPr="001D608C">
          <w:rPr>
            <w:rStyle w:val="Hyperlink"/>
          </w:rPr>
          <w:t>7.</w:t>
        </w:r>
        <w:r w:rsidR="00AE17D2" w:rsidRPr="001D608C">
          <w:rPr>
            <w:rFonts w:eastAsia="Times New Roman"/>
            <w:lang w:val="en-US"/>
          </w:rPr>
          <w:tab/>
        </w:r>
        <w:r w:rsidR="00374F68">
          <w:rPr>
            <w:rStyle w:val="Hyperlink"/>
            <w:lang w:val="sr-Latn-RS"/>
          </w:rPr>
          <w:t>izvršavanje obaveza po zakonu o slobodnom pristupu informacijama od javnog značaja</w:t>
        </w:r>
        <w:r w:rsidR="00AE17D2" w:rsidRPr="001D608C">
          <w:rPr>
            <w:webHidden/>
          </w:rPr>
          <w:tab/>
        </w:r>
        <w:r w:rsidR="00CD68AF">
          <w:rPr>
            <w:webHidden/>
            <w:lang w:val="sr-Latn-RS"/>
          </w:rPr>
          <w:t>19</w:t>
        </w:r>
      </w:hyperlink>
      <w:r w:rsidR="00CD68AF">
        <w:rPr>
          <w:lang w:val="sr-Latn-RS"/>
        </w:rPr>
        <w:t>2</w:t>
      </w:r>
    </w:p>
    <w:p w:rsidR="00AE17D2" w:rsidRPr="00CD68AF" w:rsidRDefault="0011214A" w:rsidP="00AE17D2">
      <w:pPr>
        <w:pStyle w:val="TOC1"/>
        <w:rPr>
          <w:rFonts w:eastAsia="Times New Roman"/>
          <w:lang w:val="sr-Latn-RS"/>
        </w:rPr>
      </w:pPr>
      <w:hyperlink w:anchor="_Toc477251811" w:history="1">
        <w:r w:rsidR="00AE17D2" w:rsidRPr="001D608C">
          <w:rPr>
            <w:rStyle w:val="Hyperlink"/>
          </w:rPr>
          <w:t>8.</w:t>
        </w:r>
        <w:r w:rsidR="00AE17D2" w:rsidRPr="001D608C">
          <w:rPr>
            <w:rFonts w:eastAsia="Times New Roman"/>
            <w:lang w:val="en-US"/>
          </w:rPr>
          <w:tab/>
        </w:r>
        <w:r w:rsidR="00374F68">
          <w:rPr>
            <w:rStyle w:val="Hyperlink"/>
            <w:lang w:val="sr-Latn-RS"/>
          </w:rPr>
          <w:t>izveštaj o izvršenju finansijskog plana</w:t>
        </w:r>
        <w:r w:rsidR="00AE17D2" w:rsidRPr="001D608C">
          <w:rPr>
            <w:webHidden/>
          </w:rPr>
          <w:tab/>
        </w:r>
        <w:r w:rsidR="00CD68AF">
          <w:rPr>
            <w:webHidden/>
            <w:lang w:val="sr-Latn-RS"/>
          </w:rPr>
          <w:t>19</w:t>
        </w:r>
      </w:hyperlink>
      <w:r w:rsidR="00CD68AF">
        <w:rPr>
          <w:lang w:val="sr-Latn-RS"/>
        </w:rPr>
        <w:t>4</w:t>
      </w:r>
    </w:p>
    <w:p w:rsidR="00AE17D2" w:rsidRPr="001D608C" w:rsidRDefault="0011214A" w:rsidP="00AE17D2">
      <w:pPr>
        <w:pStyle w:val="TOC1"/>
        <w:rPr>
          <w:rFonts w:eastAsia="Times New Roman"/>
          <w:lang w:val="en-US"/>
        </w:rPr>
      </w:pPr>
      <w:hyperlink w:anchor="_Toc477251812" w:history="1">
        <w:r w:rsidR="00AE17D2" w:rsidRPr="001D608C">
          <w:rPr>
            <w:rStyle w:val="Hyperlink"/>
          </w:rPr>
          <w:t>9.</w:t>
        </w:r>
        <w:r w:rsidR="00AE17D2" w:rsidRPr="001D608C">
          <w:rPr>
            <w:rFonts w:eastAsia="Times New Roman"/>
            <w:lang w:val="en-US"/>
          </w:rPr>
          <w:tab/>
        </w:r>
        <w:r w:rsidR="00374F68">
          <w:rPr>
            <w:rStyle w:val="Hyperlink"/>
            <w:lang w:val="sr-Latn-RS"/>
          </w:rPr>
          <w:t>preporuke za suzbijanje diskriminacije i unapređenje ravnopravnosti</w:t>
        </w:r>
        <w:r w:rsidR="00AE17D2" w:rsidRPr="001D608C">
          <w:rPr>
            <w:webHidden/>
          </w:rPr>
          <w:tab/>
        </w:r>
        <w:r w:rsidR="00CD68AF">
          <w:rPr>
            <w:webHidden/>
            <w:lang w:val="sr-Latn-RS"/>
          </w:rPr>
          <w:t>199</w:t>
        </w:r>
      </w:hyperlink>
    </w:p>
    <w:p w:rsidR="00AE17D2" w:rsidRPr="001D608C" w:rsidRDefault="0011214A" w:rsidP="00AE17D2">
      <w:pPr>
        <w:pStyle w:val="TOC1"/>
        <w:rPr>
          <w:rFonts w:eastAsia="Times New Roman"/>
          <w:lang w:val="en-US"/>
        </w:rPr>
      </w:pPr>
      <w:hyperlink w:anchor="_Toc477251813" w:history="1">
        <w:r w:rsidR="00374F68">
          <w:rPr>
            <w:rStyle w:val="Hyperlink"/>
            <w:lang w:val="sr-Latn-RS"/>
          </w:rPr>
          <w:t>prilog</w:t>
        </w:r>
        <w:r w:rsidR="00AE17D2" w:rsidRPr="001D608C">
          <w:rPr>
            <w:rStyle w:val="Hyperlink"/>
          </w:rPr>
          <w:t xml:space="preserve">: </w:t>
        </w:r>
        <w:r w:rsidR="00374F68">
          <w:rPr>
            <w:rStyle w:val="Hyperlink"/>
            <w:lang w:val="sr-Latn-RS"/>
          </w:rPr>
          <w:t xml:space="preserve">statistički prikaz rada poverenika u </w:t>
        </w:r>
        <w:r w:rsidR="00AE17D2" w:rsidRPr="001D608C">
          <w:rPr>
            <w:rStyle w:val="Hyperlink"/>
          </w:rPr>
          <w:t xml:space="preserve">2016. </w:t>
        </w:r>
        <w:r w:rsidR="00374F68">
          <w:rPr>
            <w:rStyle w:val="Hyperlink"/>
            <w:lang w:val="sr-Latn-RS"/>
          </w:rPr>
          <w:t>godini</w:t>
        </w:r>
        <w:r w:rsidR="00AE17D2" w:rsidRPr="001D608C">
          <w:rPr>
            <w:webHidden/>
          </w:rPr>
          <w:tab/>
        </w:r>
        <w:r w:rsidR="00CD68AF">
          <w:rPr>
            <w:webHidden/>
            <w:lang w:val="sr-Latn-RS"/>
          </w:rPr>
          <w:t>203</w:t>
        </w:r>
      </w:hyperlink>
    </w:p>
    <w:p w:rsidR="00135D51" w:rsidRPr="008D533A" w:rsidRDefault="00AE17D2" w:rsidP="00C30765">
      <w:pPr>
        <w:pStyle w:val="Heading1"/>
        <w:numPr>
          <w:ilvl w:val="0"/>
          <w:numId w:val="0"/>
        </w:numPr>
        <w:spacing w:line="276" w:lineRule="auto"/>
        <w:jc w:val="left"/>
        <w:rPr>
          <w:rFonts w:cs="Arial"/>
          <w:sz w:val="20"/>
        </w:rPr>
      </w:pPr>
      <w:r>
        <w:rPr>
          <w:rFonts w:eastAsia="Calibri" w:cs="Arial"/>
          <w:sz w:val="20"/>
        </w:rPr>
        <w:fldChar w:fldCharType="end"/>
      </w:r>
      <w:bookmarkEnd w:id="0"/>
      <w:bookmarkEnd w:id="1"/>
      <w:bookmarkEnd w:id="2"/>
    </w:p>
    <w:p w:rsidR="00135D51" w:rsidRPr="00525677" w:rsidRDefault="00135D51" w:rsidP="00135D51">
      <w:pPr>
        <w:pStyle w:val="Heading1"/>
        <w:numPr>
          <w:ilvl w:val="0"/>
          <w:numId w:val="0"/>
        </w:numPr>
        <w:spacing w:line="276" w:lineRule="auto"/>
        <w:jc w:val="left"/>
        <w:rPr>
          <w:rFonts w:cs="Arial"/>
          <w:sz w:val="22"/>
          <w:szCs w:val="22"/>
          <w:lang w:val="sr-Latn-RS"/>
        </w:rPr>
      </w:pPr>
      <w:r w:rsidRPr="00135D51">
        <w:rPr>
          <w:rFonts w:cs="Arial"/>
          <w:sz w:val="20"/>
        </w:rPr>
        <w:br w:type="page"/>
      </w:r>
      <w:r w:rsidR="00525677">
        <w:rPr>
          <w:rFonts w:cs="Arial"/>
          <w:szCs w:val="22"/>
          <w:lang w:val="sr-Latn-RS"/>
        </w:rPr>
        <w:lastRenderedPageBreak/>
        <w:t>UVODNA REČ</w:t>
      </w:r>
    </w:p>
    <w:p w:rsidR="00135D51" w:rsidRPr="00CE5606" w:rsidRDefault="00135D51" w:rsidP="00135D51">
      <w:pPr>
        <w:spacing w:line="276" w:lineRule="auto"/>
        <w:rPr>
          <w:rFonts w:cs="Arial"/>
          <w:sz w:val="20"/>
        </w:rPr>
      </w:pPr>
    </w:p>
    <w:p w:rsidR="00525677" w:rsidRPr="00525677" w:rsidRDefault="00525677" w:rsidP="00525677">
      <w:pPr>
        <w:spacing w:line="276" w:lineRule="auto"/>
        <w:rPr>
          <w:rFonts w:cs="Arial"/>
        </w:rPr>
      </w:pPr>
      <w:r w:rsidRPr="00525677">
        <w:rPr>
          <w:rFonts w:cs="Arial"/>
        </w:rPr>
        <w:t xml:space="preserve">Poštovane narodne poslanice i poslanici, </w:t>
      </w:r>
    </w:p>
    <w:p w:rsidR="00525677" w:rsidRPr="00525677" w:rsidRDefault="00525677" w:rsidP="00525677">
      <w:pPr>
        <w:spacing w:line="276" w:lineRule="auto"/>
        <w:rPr>
          <w:rFonts w:cs="Arial"/>
        </w:rPr>
      </w:pPr>
      <w:r w:rsidRPr="00525677">
        <w:rPr>
          <w:rFonts w:cs="Arial"/>
        </w:rPr>
        <w:t xml:space="preserve">Uvažene čitateljke i čitaoci, </w:t>
      </w:r>
    </w:p>
    <w:p w:rsidR="00525677" w:rsidRPr="00525677" w:rsidRDefault="00525677" w:rsidP="00525677">
      <w:pPr>
        <w:spacing w:line="276" w:lineRule="auto"/>
        <w:rPr>
          <w:rFonts w:cs="Arial"/>
        </w:rPr>
      </w:pPr>
    </w:p>
    <w:p w:rsidR="00525677" w:rsidRPr="00525677" w:rsidRDefault="00525677" w:rsidP="00525677">
      <w:pPr>
        <w:spacing w:line="276" w:lineRule="auto"/>
        <w:rPr>
          <w:rFonts w:cs="Arial"/>
        </w:rPr>
      </w:pPr>
      <w:r w:rsidRPr="00525677">
        <w:rPr>
          <w:rFonts w:cs="Arial"/>
        </w:rPr>
        <w:t xml:space="preserve">Pred vama je sedmi Redovni godišnji izveštaj Poverenika za zaštitu ravnopravnosti Republike Srbije, za 2016, iza kojeg stoji još jedna godina kontinuiranog i intenzivnog rada u skladu s mandatom i nadležnostima koje su nam poverene Zakonom o zabrani diskriminacije. U prethodnom periodu, naša institucija nastavila je da aktivno deluje na polju sprečavanja i zaštite od diskriminacije, kao i da širokim spektrom različitih aktivnosti unapređuje poštovanje principa ravnopravnosti. </w:t>
      </w:r>
    </w:p>
    <w:p w:rsidR="00525677" w:rsidRDefault="00525677" w:rsidP="00525677">
      <w:pPr>
        <w:spacing w:line="276" w:lineRule="auto"/>
        <w:rPr>
          <w:rFonts w:cs="Arial"/>
          <w:lang w:val="sr-Latn-RS"/>
        </w:rPr>
      </w:pPr>
      <w:r w:rsidRPr="00525677">
        <w:rPr>
          <w:rFonts w:cs="Arial"/>
        </w:rPr>
        <w:t xml:space="preserve">Ukupno povećanje broja predmeta nastalih u radu na zaštiti od diskriminacije i unapređenju ravnopravnosti, nastavljeno je i u 2016. godini. Kao najčešći osnov diskriminacije, građani i građanke su navodili pol, invaliditet i starosnu dob, a kada su u pitanju oblasti društvenog života na koje se pritužbe odnose, ostaju i dalje oblast rada i zapošljavanja i postupci pred organima javne vlasti. Jedan od ključnih razloga za porast ukupnog broja naših predmeta predstavlja činjenica da smo uputili znatno veći broj preporuka mera za ostvarivanje ravnopravnosti različitim društvenim akterima u različitim segmentima društvenog života. Praksa Poverenika je pokazala da su preporuke mera najefikasniji način preventivnog delovanja, a naročito imajući u vidu procenat postupanja po ovim preporukama. Takođe, uočeno je da, nakon upućenih preporuka mera za ostvarivanje ravnopravnosti organima javne vlasti i drugim licima, građani i građanke veoma retko podnose pritužbe Povereniku zbog situacija na koje se preporuka odnosila. </w:t>
      </w:r>
    </w:p>
    <w:p w:rsidR="00525677" w:rsidRDefault="00525677" w:rsidP="00135D51">
      <w:pPr>
        <w:spacing w:after="100" w:afterAutospacing="1" w:line="276" w:lineRule="auto"/>
        <w:rPr>
          <w:rFonts w:cs="Arial"/>
          <w:lang w:val="sr-Latn-RS"/>
        </w:rPr>
      </w:pPr>
      <w:r w:rsidRPr="00525677">
        <w:rPr>
          <w:rFonts w:cs="Arial"/>
        </w:rPr>
        <w:t xml:space="preserve">Nova Strategija razvoja institucije, koja je kreirana u širokom krugu konsultacija, uz učešće eksperata i ekspertkinja, kao i organizacija civilnog društva, doneta je u aprilu 2016. i obuhvata period do 2020. godine. Ovaj dokument predstavlja pravac budućeg delovanja i izrađen je na osnovu svih relevantnih podataka kojima raspolaže institucija. Pokazalo se da je Strategija u korelaciji s rezultatima istraživanja „Odnos građana i građanki Srbije prema diskriminaciji“, koje je Poverenik za zaštitu ravnopravnosti objavio krajem 2016. uz podršku Tvining projekta Evropske unije. Uprkos činjenici da je broj građana koji bi se obratio institucijama mnogo veći nego 2013. godine, na efikasnost suzbijanja diskriminacije utiče i dalje nizak nivo prepoznavanja diskriminacije. Na osnovu rezultata poslednjeg istraživanja, može se zaključiti da svega četvrtina od ukupnog broja ispitanika razume diskriminaciju kao nejednako postupanje koje je zasnovano na nekom ličnom svojstvu. Kako je prepoznavanje diskriminacije preduslov njenog prijavljivanja, nemogućnost da se jasno prepozna diskriminacija značajno ograničava zaštitu u ovoj oblasti, zbog čega će Poverenik u narednom periodu nastaviti aktivnosti usmerene na podizanje nivoa informisanosti građana o pojmu i oblicima diskriminacije kao negativnoj društvenoj pojavi, u skladu sa strateškim ciljevima institucije. </w:t>
      </w:r>
    </w:p>
    <w:p w:rsidR="00525677" w:rsidRDefault="00525677" w:rsidP="00135D51">
      <w:pPr>
        <w:spacing w:after="100" w:afterAutospacing="1" w:line="276" w:lineRule="auto"/>
        <w:rPr>
          <w:rFonts w:cs="Arial"/>
          <w:lang w:val="sr-Latn-RS"/>
        </w:rPr>
      </w:pPr>
      <w:r w:rsidRPr="00525677">
        <w:rPr>
          <w:rFonts w:cs="Arial"/>
        </w:rPr>
        <w:t xml:space="preserve">U pogledu unapređenja ravnopravnosti Poverenik je posebnu pažnju u 2016. godini posvetio regionalnoj saradnji, pre svega s institucijama za ravnopravnost u Jugoistočnoj Evropi. Unapređenje međusobnih odnosa i razmena iskustava dobili su i svoju formalnu potvrdu 16. Novembra, na Međunarodni dan tolerancije, kada je u Beogradu, na inicijativu Poverenika za zaštitu ravnopravnosti Republike Srbije, na Regionalnoj konferenciji tela za ravnopravnost </w:t>
      </w:r>
      <w:r w:rsidRPr="00525677">
        <w:rPr>
          <w:rFonts w:cs="Arial"/>
        </w:rPr>
        <w:lastRenderedPageBreak/>
        <w:t xml:space="preserve">Jugoistočne Evrope potpisana zajednička Izjava o saradnji institucija za ravnopravnost i ljudska prava Albanije, Bosne i Hercegovine, Hrvatske, Makedonije, Crne Gore i Srbije. Ovaj skup, organizovan uz podršku Misije OEBS-a i sa više od 200 predstavnika državnih organa, regionalnih tela za ravnopravnost, diplomatskih misija, Ekvineta, civilnog sektora, medija, dobio je značajan publicitet u javnosti i medijima širom regiona. Na taj način Republika Srbija i Poverenik za zaštitu ravnopravnosti kao domaćin, okupili su regionalna tela za ravnopravnost oko zajedničke ideje – tolerancije kao jednog od osnovnih principa svakog društva. </w:t>
      </w:r>
    </w:p>
    <w:p w:rsidR="006F6E95" w:rsidRPr="006F6E95" w:rsidRDefault="006F6E95" w:rsidP="006F6E95">
      <w:pPr>
        <w:spacing w:after="100" w:afterAutospacing="1" w:line="276" w:lineRule="auto"/>
        <w:rPr>
          <w:rFonts w:cs="Arial"/>
        </w:rPr>
      </w:pPr>
      <w:r w:rsidRPr="006F6E95">
        <w:rPr>
          <w:rFonts w:cs="Arial"/>
        </w:rPr>
        <w:t xml:space="preserve">Međunarodna saradnja nastavljena je i u okviru Evropske mreže tela za ravnopravnost (EKVINET), s kojima smo, uz Savet Evrope i Agenciju za zaštitu ljudskih prava EU (FRA), bili domaćini trećeg sastanka Platforme za saradnju Saveta Evrope, Agencije za osnovna prava Evropske unije, Evropske mreže nacionalnih institucija za ljudska prava i Evropske mreže tela za ravnopravnost o o socijalnim i ekonomskim pravima, učestvujući aktivno uz zemlje članice Evropske unije u kreiranju budućih javnih politika u oblasti socijalnih i ekonomskih prava. </w:t>
      </w:r>
    </w:p>
    <w:p w:rsidR="006F6E95" w:rsidRDefault="006F6E95" w:rsidP="006F6E95">
      <w:pPr>
        <w:spacing w:after="100" w:afterAutospacing="1" w:line="276" w:lineRule="auto"/>
        <w:rPr>
          <w:rFonts w:cs="Arial"/>
          <w:lang w:val="sr-Latn-RS"/>
        </w:rPr>
      </w:pPr>
      <w:r w:rsidRPr="006F6E95">
        <w:rPr>
          <w:rFonts w:cs="Arial"/>
        </w:rPr>
        <w:t xml:space="preserve">Poverenik za zaštitu ravnopravnosti organizovao je veliki broj obuka i edukacija, posebno za policijske službenike i službenice širom Srbije, sudije, predstavnike lokalnih samouprava, kao i studente i studentkinje s više fakulteta. </w:t>
      </w:r>
    </w:p>
    <w:p w:rsidR="006F6E95" w:rsidRPr="006F6E95" w:rsidRDefault="006F6E95" w:rsidP="006F6E95">
      <w:pPr>
        <w:spacing w:after="100" w:afterAutospacing="1" w:line="276" w:lineRule="auto"/>
        <w:rPr>
          <w:rFonts w:cs="Arial"/>
        </w:rPr>
      </w:pPr>
      <w:r w:rsidRPr="006F6E95">
        <w:rPr>
          <w:rFonts w:cs="Arial"/>
        </w:rPr>
        <w:t xml:space="preserve">Objavili smo i više publikacija kao antidiskriminatornih vodiča za različite profesionalne grupacije, među kojima i Priručnik za prepoznavanje slučajeva diskriminacije pred organima javne vlasti i Priručnik za medije – Borba za ravnopravnost, koji predstavljaju svojevrsne putokaze u radu državnih službenika i službenica, odnosno novinara i novinarki. </w:t>
      </w:r>
    </w:p>
    <w:p w:rsidR="006F6E95" w:rsidRDefault="006F6E95" w:rsidP="006F6E95">
      <w:pPr>
        <w:spacing w:after="100" w:afterAutospacing="1" w:line="276" w:lineRule="auto"/>
        <w:rPr>
          <w:rFonts w:cs="Arial"/>
          <w:lang w:val="sr-Latn-RS"/>
        </w:rPr>
      </w:pPr>
      <w:r w:rsidRPr="006F6E95">
        <w:rPr>
          <w:rFonts w:cs="Arial"/>
        </w:rPr>
        <w:t>Posle više od šest godina rada u neodgovarajućim poslovnim prostorijama, krajem novembra 2016. godine uselili smo se u adekvatan poslovni prostor, tako da sada stručna služba Poverenika funkcioniše na jednoj lokaciji. Preseljenjem su stvoreni bolji uslovi za rad, kao i bolja dostupnost institucije građanima i građankama.</w:t>
      </w:r>
    </w:p>
    <w:p w:rsidR="006F6E95" w:rsidRDefault="006F6E95" w:rsidP="006F6E95">
      <w:pPr>
        <w:spacing w:line="276" w:lineRule="auto"/>
        <w:rPr>
          <w:rFonts w:cs="Arial"/>
          <w:lang w:val="sr-Latn-RS"/>
        </w:rPr>
      </w:pPr>
      <w:r w:rsidRPr="006F6E95">
        <w:rPr>
          <w:rFonts w:cs="Arial"/>
        </w:rPr>
        <w:t>Iza nas je godina intenzivnih aktivnosti, koje nastavljamo i u narednom periodu. Verujem da će, uz proaktivan pristup, naš rad i u budućnosti obeležiti adekvatna i efikasna zaštita od diskriminacije svakog građanina i građanke, kao i dalje unapređenje ravnopravnosti koje je jedan od postulata društva u kojem, sigurna sam, svi želimo da živimo. „Potrebno je da se međusobno razlikujemo, da naučimo da vidimo drugačije ljude od sebe i da ih poštujemo zbog toga što jesu“ (Herman Hese).</w:t>
      </w:r>
    </w:p>
    <w:p w:rsidR="006F6E95" w:rsidRPr="006F6E95" w:rsidRDefault="006F6E95" w:rsidP="006F6E95">
      <w:pPr>
        <w:spacing w:line="276" w:lineRule="auto"/>
        <w:rPr>
          <w:rFonts w:cs="Arial"/>
          <w:lang w:val="sr-Latn-RS"/>
        </w:rPr>
      </w:pPr>
    </w:p>
    <w:p w:rsidR="006F6E95" w:rsidRPr="006F6E95" w:rsidRDefault="006F6E95" w:rsidP="006F6E95">
      <w:pPr>
        <w:spacing w:line="276" w:lineRule="auto"/>
        <w:jc w:val="right"/>
        <w:rPr>
          <w:rFonts w:cs="Arial"/>
        </w:rPr>
      </w:pPr>
      <w:r w:rsidRPr="006F6E95">
        <w:rPr>
          <w:rFonts w:cs="Arial"/>
        </w:rPr>
        <w:t>Brankica Janković,</w:t>
      </w:r>
    </w:p>
    <w:p w:rsidR="00135D51" w:rsidRPr="00135D51" w:rsidRDefault="006F6E95" w:rsidP="006F6E95">
      <w:pPr>
        <w:spacing w:line="276" w:lineRule="auto"/>
        <w:jc w:val="right"/>
        <w:rPr>
          <w:rFonts w:cs="Arial"/>
        </w:rPr>
      </w:pPr>
      <w:r w:rsidRPr="006F6E95">
        <w:rPr>
          <w:rFonts w:cs="Arial"/>
        </w:rPr>
        <w:t>Poverenica za zaštitu ravnopravnosti</w:t>
      </w:r>
    </w:p>
    <w:p w:rsidR="004D3E3D" w:rsidRDefault="004D3E3D" w:rsidP="00135D51">
      <w:pPr>
        <w:pStyle w:val="Heading1"/>
        <w:numPr>
          <w:ilvl w:val="0"/>
          <w:numId w:val="0"/>
        </w:numPr>
        <w:spacing w:line="276" w:lineRule="auto"/>
        <w:jc w:val="left"/>
        <w:rPr>
          <w:rFonts w:cs="Arial"/>
          <w:szCs w:val="22"/>
          <w:lang w:val="sr-Latn-RS"/>
        </w:rPr>
      </w:pPr>
    </w:p>
    <w:p w:rsidR="00BF3D2E" w:rsidRDefault="00BF3D2E" w:rsidP="00BF3D2E">
      <w:pPr>
        <w:rPr>
          <w:lang w:val="sr-Latn-RS"/>
        </w:rPr>
      </w:pPr>
    </w:p>
    <w:p w:rsidR="00BF3D2E" w:rsidRPr="00BF3D2E" w:rsidRDefault="00BF3D2E" w:rsidP="00BF3D2E">
      <w:pPr>
        <w:rPr>
          <w:lang w:val="sr-Latn-RS"/>
        </w:rPr>
      </w:pPr>
    </w:p>
    <w:p w:rsidR="00135D51" w:rsidRPr="001231BC" w:rsidRDefault="001231BC" w:rsidP="00135D51">
      <w:pPr>
        <w:pStyle w:val="Heading1"/>
        <w:numPr>
          <w:ilvl w:val="0"/>
          <w:numId w:val="0"/>
        </w:numPr>
        <w:spacing w:line="276" w:lineRule="auto"/>
        <w:jc w:val="left"/>
        <w:rPr>
          <w:rFonts w:cs="Arial"/>
          <w:szCs w:val="22"/>
          <w:lang w:val="sr-Latn-RS"/>
        </w:rPr>
      </w:pPr>
      <w:r>
        <w:rPr>
          <w:rFonts w:cs="Arial"/>
          <w:szCs w:val="22"/>
          <w:lang w:val="sr-Latn-RS"/>
        </w:rPr>
        <w:lastRenderedPageBreak/>
        <w:t>SAŽETAK</w:t>
      </w:r>
    </w:p>
    <w:p w:rsidR="00135D51" w:rsidRPr="00524E5F" w:rsidRDefault="00135D51" w:rsidP="00135D51">
      <w:pPr>
        <w:tabs>
          <w:tab w:val="left" w:pos="4440"/>
          <w:tab w:val="center" w:pos="4986"/>
        </w:tabs>
        <w:spacing w:line="276" w:lineRule="auto"/>
        <w:rPr>
          <w:rFonts w:cs="Arial"/>
          <w:b/>
          <w:i/>
          <w:sz w:val="16"/>
        </w:rPr>
      </w:pPr>
    </w:p>
    <w:p w:rsidR="001231BC" w:rsidRPr="001231BC" w:rsidRDefault="001231BC" w:rsidP="001231BC">
      <w:pPr>
        <w:spacing w:after="100" w:afterAutospacing="1" w:line="276" w:lineRule="auto"/>
        <w:rPr>
          <w:rFonts w:cs="Arial"/>
        </w:rPr>
      </w:pPr>
      <w:r w:rsidRPr="001231BC">
        <w:rPr>
          <w:rFonts w:cs="Arial"/>
        </w:rPr>
        <w:t>Poverenik za zaštitu ravnopravnosti nastavio je delovanje na suzbijanju svih oblika i slučajeva diskriminacije i unapređivanju ravnopravnosti u 2016. godini, koristeći svoja zakonska ovlašćenja. Sedmi redovni godišnji izveštaj Poverenika za zaštitu ravnopravnosti ujedno je drugi izveštaj o radu u petogodišnjem mandatu poverenice Brankice Janković, koju je Narodna skupština Republike Srbije izabrala 27. maja 2015. godine. Stručna služba Poverenika započela je rad u novim prostorijama, krajem oktobra 2016. godine, čime su stvoreni bolji uslovi za rad Poverenika, kao i bolja dostupnost institucije građanima.</w:t>
      </w:r>
    </w:p>
    <w:p w:rsidR="001231BC" w:rsidRDefault="001231BC" w:rsidP="001231BC">
      <w:pPr>
        <w:spacing w:after="100" w:afterAutospacing="1" w:line="276" w:lineRule="auto"/>
        <w:rPr>
          <w:rFonts w:cs="Arial"/>
          <w:lang w:val="sr-Latn-RS"/>
        </w:rPr>
      </w:pPr>
      <w:r w:rsidRPr="001231BC">
        <w:rPr>
          <w:rFonts w:cs="Arial"/>
        </w:rPr>
        <w:t>Broj predmeta u kojima je Poverenik za zaštitu ravnopravnosti postupao u 2016. godini iznosi 1.346, od čega je 626 pritužbi koje su podneli građani Povereniku i 665 preporuka mera za ostvarivanje ravnopravnosti. Takođe, Poverenik je dao 40 mišljenja na nacrte zakona i drugih opštih akata, podneo tri krivične prijave, jedan zahtev za pokretanje prekršajnog postupka, jedan predlog za ocenu ustavnosti i zakonitosti, jednu inicijativu za izmenu zakona i izdao devet upozorenja i 25 saopštenja za javnost. U postupku po 51 pritužbi doneta su mišljenja, od čega u postupku po pet pritužbi nije utvrđena diskriminacija i izdate odgovarajuće preporuke, dok je u preostalim slučajevima utvrđena diskriminacija. U 14 slučajeva doneto je mišljenje kojim je utvrđena diskriminacija grupe lica (LGBT, osobe sa invaliditetom, Romi i Romkinje, žene i sl.), dok se u ostalim slučajevima radilo o diskriminaciji pojedinaca. Po preporukama koje se odnose na konkretne slučajeve diskriminacije postupljeno je u 76,7% slučajeva. Najveći broj preporuka po kojima nije postupljeno odnosi se na preporuke date u postupku po pritužbama zbog diskriminacije po osnovu seksualne orijentacije. Što se tiče preporuka mera za ostvarivanje ravnopravnosti koje su upućene organima javne vlasti i drugim licima, postupljeno je u 93,9% slučajeva, što ukupno s postupanjem po preporukama datim u pojedinačnim slučajevima u proseku iznosi 85,3%.</w:t>
      </w:r>
    </w:p>
    <w:p w:rsidR="001231BC" w:rsidRPr="001231BC" w:rsidRDefault="001231BC" w:rsidP="001231BC">
      <w:pPr>
        <w:spacing w:after="100" w:afterAutospacing="1" w:line="276" w:lineRule="auto"/>
        <w:contextualSpacing/>
        <w:rPr>
          <w:rFonts w:cs="Arial"/>
        </w:rPr>
      </w:pPr>
      <w:r w:rsidRPr="001231BC">
        <w:rPr>
          <w:rFonts w:cs="Arial"/>
        </w:rPr>
        <w:t>Povereniku za zaštitu ravnopravnosti pritužbe zbog diskriminacije najčešće podnose fizička lica. Kao i prethodnih godina, muškarci se češće obraćaju nego žene, pa od svih pritužbi koje su podnela fizička lica, muškarci su podneli oko 58%, a žene oko 42%. Tokom 2016. godine, pravna lica podnela su 34 pritužbe, a organizacije civilnog društva 83.</w:t>
      </w:r>
    </w:p>
    <w:p w:rsidR="001231BC" w:rsidRPr="001231BC" w:rsidRDefault="001231BC" w:rsidP="001231BC">
      <w:pPr>
        <w:spacing w:after="100" w:afterAutospacing="1" w:line="276" w:lineRule="auto"/>
        <w:contextualSpacing/>
        <w:rPr>
          <w:rFonts w:cs="Arial"/>
        </w:rPr>
      </w:pPr>
      <w:r w:rsidRPr="001231BC">
        <w:rPr>
          <w:rFonts w:cs="Arial"/>
        </w:rPr>
        <w:t xml:space="preserve">Najviše pritužbi ove godine podneto je zbog diskriminacije na osnovu invaliditeta (12,9%), na osnovu pola (12,9%), zatim slede pritužbe podnete zbog diskriminacije na osnovu starosnog doba (11,8%) i diskriminacije na osnovu nacionalne pripadnosti (9,4%). Dalji redosled osnova diskriminacije prema broju pritužbi, sličan je kao i prethodnih godina: zbog diskriminacije na osnovu zdravstvenog stanja podneto je 8,6% pritužbi, zbog bračnog i porodičnog statusa 8,2%, zatim po osnovu članstva u političkim, sindikalnim i drugim organizacijama 7,7% pritužbi, i po osnovu imovnog stanja 5,7%. Od ostalih osnova diskriminacije, verska i politička ubeđenja naznačena su kao osnov diskriminacije u 4,6% pritužbi, seksualna orijentacija u 4,1% pritužbi, osuđivanost u 2,8%, a državljanstvo u 1,6%. </w:t>
      </w:r>
    </w:p>
    <w:p w:rsidR="001231BC" w:rsidRPr="001231BC" w:rsidRDefault="001231BC" w:rsidP="001231BC">
      <w:pPr>
        <w:spacing w:after="100" w:afterAutospacing="1" w:line="276" w:lineRule="auto"/>
        <w:contextualSpacing/>
        <w:rPr>
          <w:rFonts w:cs="Arial"/>
        </w:rPr>
      </w:pPr>
    </w:p>
    <w:p w:rsidR="001231BC" w:rsidRDefault="001231BC" w:rsidP="00135D51">
      <w:pPr>
        <w:spacing w:after="100" w:afterAutospacing="1" w:line="276" w:lineRule="auto"/>
        <w:rPr>
          <w:rFonts w:cs="Arial"/>
          <w:lang w:val="sr-Latn-RS"/>
        </w:rPr>
      </w:pPr>
      <w:r w:rsidRPr="001231BC">
        <w:rPr>
          <w:rFonts w:cs="Arial"/>
        </w:rPr>
        <w:t xml:space="preserve">Što se tiče oblasti u kojima se diskriminacija najčešće pojavljuje, najveći broj pritužbi, kao i prethodnih godina, podneto je zbog diskriminacije u postupku zapošljavanja ili na poslu (33,9%), a sledeće po broju su pritužbe zbog diskriminacije u postupku pred organima javne vlasti (oko 23,3%) i zbog diskriminacije prilikom pružanja javnih usluga ili pri korišćenju objekata i površina (9,4%). Slično kao i prethodnih godina, najveći broj pritužbi podnet je protiv državnih organa, odnosno organa javne vlasti (38,9%), a nakon toga slede pravna lica </w:t>
      </w:r>
      <w:r w:rsidRPr="001231BC">
        <w:rPr>
          <w:rFonts w:cs="Arial"/>
        </w:rPr>
        <w:lastRenderedPageBreak/>
        <w:t>(30,5%) i fizička lica (20,3%). Oblast obrazovanja i stručnog osposobljavanja se nalazi na četvrtom mestu, s obzirom na to da se 7,5% pritužbi odnosi na ovu sferu društvenih odnosa, a zatim slede zdravstvena zaštita (5%), javno informisanje i mediji (4,6%), javna sfera (3,8), socijalna zaštita (2,9%), dok su ostale oblasti društvenog života zastupljene u malom procentu.</w:t>
      </w:r>
    </w:p>
    <w:p w:rsidR="00334CE3" w:rsidRDefault="00334CE3" w:rsidP="00135D51">
      <w:pPr>
        <w:spacing w:after="100" w:afterAutospacing="1" w:line="276" w:lineRule="auto"/>
        <w:rPr>
          <w:rFonts w:cs="Arial"/>
          <w:lang w:val="sr-Latn-RS"/>
        </w:rPr>
      </w:pPr>
      <w:r w:rsidRPr="00334CE3">
        <w:rPr>
          <w:rFonts w:cs="Arial"/>
        </w:rPr>
        <w:t xml:space="preserve">Pritužbe podnete Povereniku u 2016. godini ukazuju da su u Srbiji diskriminaciji najviše izložene žene i osobe sa invaliditetom, dok je diskriminacija na osnovu starosnog doba takođe prisutna u velikoj meri, što ne odstupa u značajnoj meri u odnosu na 2015, ali i prethodne godine. Pritužbe po osnovu pola, koje u najvećoj meri podnose žene, podnete su u nešto manjem procentu nego što je to bio slučaj prethodne godine. U 2015. godini jedan od ključnih razloga koji je uticao na broj pritužbi po ovom osnovu bila je sporna diskriminatorna odredba u Zakonu o načinu određivanja maksimalnog broja zaposlenih u javnom sektoru, koja se odnosila na žene i njihov odlazak u penziju. I ove godine je uočljivo da su žene uglavnom podnosile pritužbe, jer im zbog njihovog pola, ali i porodičnog statusa, nije bilo omogućeno da napreduju na poslu, ili zbog toga što su tokom odsustva s rada zbog nege deteta dobijale otkaz ugovora o radu ili su raspoređivane na druga radna mesta, koja su, po pravilu, nižeg ranga i s manjom zaradom. Osobe sa invaliditetom su jedna od najugroženijih i najdiskriminisanijih društvenih grupa u svim oblastima javnog i privatnog života, posebno u oblasti obrazovanja i stručnog usavršavanja i prilikom pružanja javnih usluga ili pri korišćenju objekata i površina,  rada i zapošljavanja. U 2016. godini diskriminacija na osnovu starosnog doba nalazi se odmah iza pola i invaliditeta i ukazuje na nepovoljan položaj kako dece u oblasti obrazovanja, tako i posebno građana životnog doba 50–65 godina u oblasti rada i zapošljavanja. Prisutna je diskriminacija i po osnovu nacionalne pripadnosti ili etničkog porekla, posebno romske populacije, ali u nešto manjoj meri u odnosu na prethodnu godinu, jer su, između ostalog, romske organizacije podnosile manji broj pritužbi. Po broju pritužbi slede pritužbe podnete zbog diskriminacije na osnovu zdravstvenog stanja, bračnog ili porodičnog statusa, članstva u političkim, sindikalnim i drugim organizacijama, imovnog stanja, verskih ili političkih ubeđenja i seksualne orijentacije. </w:t>
      </w:r>
    </w:p>
    <w:p w:rsidR="00C0574F" w:rsidRDefault="00C0574F" w:rsidP="00135D51">
      <w:pPr>
        <w:spacing w:after="100" w:afterAutospacing="1" w:line="276" w:lineRule="auto"/>
        <w:rPr>
          <w:rFonts w:cs="Arial"/>
          <w:lang w:val="sr-Latn-RS"/>
        </w:rPr>
      </w:pPr>
      <w:r w:rsidRPr="00C0574F">
        <w:rPr>
          <w:rFonts w:cs="Arial"/>
        </w:rPr>
        <w:t xml:space="preserve">Rezultati istraživanja Poverenika „Odnos građana i građanki prema diskriminaciji u Srbiji“, sprovedenog uz podršku Evropske unije kroz Tvining projekat „Podrška unapređenju ljudskih prava i nulta tolerancija na diskriminaciju“, pokazuju da postoje i druge društvene grupe, ali i izazovi s kojima se naše društvo suočava u pogledu dostizanja pune ravnopravnosti garantovane Ustavom i zakonom. Istraživanje ukazuje na pozitivne pomake u oblasti zaštite od diskriminacije. Najznačajniji pokazatelji su da je znatno povećan broj građana koji bi se obratili institucijama države u slučaju da dožive diskriminaciju. Istovremeno, smanjen je broj građana koji smatraju da diskriminacija u Srbiji raste, što prati i smanjenje nepoverenja u državne institucije. Isto tako, znatno su povećani vidljivost i poverenje u Poverenika za zaštitu ravnopravnosti, što je posebno važno u smislu obezbeđivanja zaštite od diskriminacije građana. Ipak, iako su prisutne pozitivne tendencije, država se i dalje suočava sa značajnim izazovima u zaštiti građana od diskriminacije. Istraživanje pokazuje da iako su uslovi za efikasnu borbu protiv diskriminacije poboljšani, to još uvek nije dovelo do konkretnih rezultata. Tako je broj građana koji smatraju da je diskriminacija rasprostranjena na istom nivou kao i 2013. godine, a nepromenjen je i broj onih koji smatraju da je diskriminacija prihvatljiva. Većina građana smatra da diskriminacija u Srbiji uopšte nije sankcionisana. Osim toga, rezultati pokazuju da najveći broj građana nema dovoljno znanja da prepozna diskriminaciju: trećina ne zna da je diskriminacija zabranjena zakonom, ili smatra da nije, a </w:t>
      </w:r>
      <w:r w:rsidRPr="00C0574F">
        <w:rPr>
          <w:rFonts w:cs="Arial"/>
        </w:rPr>
        <w:lastRenderedPageBreak/>
        <w:t>većina veruje da nisu dovoljno informisani o problemu diskriminacije. Građani vide Rome, pripadnike LGBT populacije i siromašne kao grupe koje su u najvećoj meri diskriminisane u Republici Srbiji, a kao oblast života u kojoj postoji najviše diskriminacije ističu oblast rada i zapošljavanja. Ovakva percepcija građana u korelaciji je s rezultatima dobijenim merenjem socijalne distance, koja je najizraženija takođe prema LGBT osobama. Međutim, broj podnetih pritužbi zbog diskriminacije ove manjinske grupe nije veliki. Karakteristično je da je najviše pritužbi podneto zbog diskriminacije LGBT osoba u oblasti javnog informisanja i medija, a u najvećem broju slučajeva podnosioci pritužbi bile su organizacije civilnog društva. Siromašni građani su percipirani kao izuzetno diskriminisana društvena grupa, ali je nažalost broj pritužbi po osnovu imovnog stanja zanemarljivo mali, što ukazuje na neophodnu pomoć i podršku ovoj društvenoj grupi u prevazilaženju brojnih problema s kojima se susreću.</w:t>
      </w:r>
    </w:p>
    <w:p w:rsidR="00C0574F" w:rsidRPr="00C0574F" w:rsidRDefault="00C0574F" w:rsidP="00C0574F">
      <w:pPr>
        <w:spacing w:after="100" w:afterAutospacing="1" w:line="276" w:lineRule="auto"/>
        <w:rPr>
          <w:rFonts w:cs="Arial"/>
        </w:rPr>
      </w:pPr>
      <w:r w:rsidRPr="00C0574F">
        <w:rPr>
          <w:rFonts w:cs="Arial"/>
        </w:rPr>
        <w:t>S obzirom na to da praksa Poverenika, kao i sprovedena istraživanja, izveštaji međunarodnih i domaćih organizacija, pokazuju da je najprisutnija diskriminacija u oblasti rada i zapošljavanja i u postupku pred organima javne vlasti, potrebno je u narednoj godini dodatno raditi na unapređenju ravnopravnosti i zaštiti od diskriminacije, naročito u navedenim oblastima društvenog života, pre svega povećanjem informisanosti građana o diskriminaciji kao negativnoj društvenoj pojavi, mogućnostima zaštite od diskriminacije i podizanjem svesti različitih profesionalnih grupa o pojmu i oblicima diskriminacije. Praksa Poverenika pokazuje da putem preporuka mera Poverenik najefikasnije sprovodi preventivno delovanje, uzimajući u obzir procenat postupanja po ovim preporukama.</w:t>
      </w:r>
    </w:p>
    <w:p w:rsidR="00C0574F" w:rsidRPr="00C0574F" w:rsidRDefault="00C0574F" w:rsidP="00C0574F">
      <w:pPr>
        <w:spacing w:after="100" w:afterAutospacing="1" w:line="276" w:lineRule="auto"/>
        <w:rPr>
          <w:rFonts w:cs="Arial"/>
        </w:rPr>
      </w:pPr>
      <w:r w:rsidRPr="00C0574F">
        <w:rPr>
          <w:rFonts w:cs="Arial"/>
        </w:rPr>
        <w:t xml:space="preserve">Tokom 2016. godine nastavljen je rad na povećanju dostupnosti i vidljivosti institucije i na promovisanju principa ravnopravnosti i zabrane diskriminacije kroz brojne obuke, predavanja, organizovanjem i učešćem na konferencijama i stručnim skupovima, izdavanjem publikacija i sl. Proširena je saradnja s organima javne vlasti, organizacijama civilnog društva, međunarodnim organizacijama, drugim institucijama i medijima.  </w:t>
      </w:r>
    </w:p>
    <w:p w:rsidR="00C0574F" w:rsidRDefault="00C0574F" w:rsidP="00C0574F">
      <w:pPr>
        <w:spacing w:after="100" w:afterAutospacing="1" w:line="276" w:lineRule="auto"/>
        <w:rPr>
          <w:rFonts w:cs="Arial"/>
          <w:lang w:val="sr-Latn-RS"/>
        </w:rPr>
      </w:pPr>
      <w:r w:rsidRPr="00C0574F">
        <w:rPr>
          <w:rFonts w:cs="Arial"/>
        </w:rPr>
        <w:t xml:space="preserve">Pored toga, nastavljena je uspešna saradnja Poverenika za zaštitu ravnopravnosti sa Evropskom mrežom tela za ravnopravnost, učešćem u radu Izvršnog odbora i Godišnje skupštine Ekvineta, kao i učešćem na treninzima i seminarima i članstvom u radnim grupama ovog tela. </w:t>
      </w:r>
    </w:p>
    <w:p w:rsidR="00C0574F" w:rsidRPr="00C0574F" w:rsidRDefault="00C0574F" w:rsidP="00C0574F">
      <w:pPr>
        <w:spacing w:after="100" w:afterAutospacing="1" w:line="276" w:lineRule="auto"/>
        <w:rPr>
          <w:rFonts w:cs="Arial"/>
        </w:rPr>
      </w:pPr>
      <w:r w:rsidRPr="00C0574F">
        <w:rPr>
          <w:rFonts w:cs="Arial"/>
        </w:rPr>
        <w:t xml:space="preserve">Višegodišnja saradnja nastavljena je sa Savetom Evrope radom sa Evropskom komisijom protiv rasizma i netolerancije i sa kancelarijom u Beogradu daljim sprovođenjem projekta „Ne ceni knjigu po koricama – Živa biblioteka u Srbiji“. U partnerstvu s Fondacijom za otvoreno društvo nastavljeno je sprovođenje projekta „Simulacija suđenja“ (Moot court) u oblasti zaštite od diskriminacije. Dalja saradnja sa Crvenim krstom Srbije nastavljena je kroz projekat „Položaj starijih na selu“, uz finansijsku podršku Populacionog fonda Ujedinjenih nacija (UNFPA). Jedna od ključnih projektnih aktivnosti bilo je zajednički realizovano istraživanje o položaju starijih u ruralnim oblastima. </w:t>
      </w:r>
    </w:p>
    <w:p w:rsidR="00C0574F" w:rsidRPr="00C0574F" w:rsidRDefault="00C0574F" w:rsidP="00C0574F">
      <w:pPr>
        <w:spacing w:after="100" w:afterAutospacing="1" w:line="276" w:lineRule="auto"/>
        <w:rPr>
          <w:rFonts w:cs="Arial"/>
        </w:rPr>
      </w:pPr>
      <w:r w:rsidRPr="00C0574F">
        <w:rPr>
          <w:rFonts w:cs="Arial"/>
        </w:rPr>
        <w:t xml:space="preserve">Povodom 16. novembra, Međunarodnog dana tolerancije, Poverenik za zaštitu ravnopravnosti organizovao je konferenciju pod nazivom „Regionalna konferencija tela za ravnopravnost Jugoistočne Evrope“, uz podršku Misije OEBS-a u Srbiji i Fondacije za otvoreno društvo. Ovogodišnja, treća po redu konferencija Poverenika bila je regionalnog karaktera. Konferenciji je prisustvovalo više od 200 predstavnika institucija, diplomatskih misija, civilnog sektora, medija, ali i predstavnika Ekvineta i regionalnih tela za </w:t>
      </w:r>
      <w:r w:rsidRPr="00C0574F">
        <w:rPr>
          <w:rFonts w:cs="Arial"/>
        </w:rPr>
        <w:lastRenderedPageBreak/>
        <w:t xml:space="preserve">ravnopravnost, koja su potpisala Izjavu o saradnji devet tela za ravnopravnost u Jugoistočnoj Evropi. </w:t>
      </w:r>
    </w:p>
    <w:p w:rsidR="00CB084B" w:rsidRPr="00CB084B" w:rsidRDefault="00CB084B" w:rsidP="00CB084B">
      <w:pPr>
        <w:tabs>
          <w:tab w:val="left" w:pos="993"/>
        </w:tabs>
        <w:spacing w:after="100" w:afterAutospacing="1" w:line="276" w:lineRule="auto"/>
        <w:rPr>
          <w:rFonts w:cs="Arial"/>
        </w:rPr>
      </w:pPr>
      <w:r w:rsidRPr="00CB084B">
        <w:rPr>
          <w:rFonts w:cs="Arial"/>
        </w:rPr>
        <w:t xml:space="preserve">Na konferenciji su dodeljene i Godišnje medijske nagrade za toleranciju Poverenika za zaštitu ravnopravnosti i OEBS-a, ustanovljene 2015. sa ciljem promovisanja nulte tolerancije na diskriminaciju. Možemo konstatovati da je interesovanje medija za teme ravnopravnosti, tolerancije i zaštite ljudskih prava povećano u odnosu na prethodnu godinu, a jedan broj tema novinari su pronalazili upravo u  preporukama, upozorenjima ili izjavama poverenice. Povodom 10. decembra, Međunarodnog dana ljudskih prava, predstavljen je priručnik za medije Borba za ravnopravnost, Poverenika za zaštitu ravnopravnosti, čiju je izradu podržala Misija OEBS-a u Srbiji. </w:t>
      </w:r>
    </w:p>
    <w:p w:rsidR="00CB084B" w:rsidRPr="00CB084B" w:rsidRDefault="00CB084B" w:rsidP="00CB084B">
      <w:pPr>
        <w:tabs>
          <w:tab w:val="left" w:pos="993"/>
        </w:tabs>
        <w:spacing w:after="100" w:afterAutospacing="1" w:line="276" w:lineRule="auto"/>
        <w:rPr>
          <w:rFonts w:cs="Arial"/>
        </w:rPr>
      </w:pPr>
      <w:r w:rsidRPr="00CB084B">
        <w:rPr>
          <w:rFonts w:cs="Arial"/>
        </w:rPr>
        <w:t>U okviru saradnje s Evropskim centrom za prava Roma iz Budimpešte (ERRC), Poverenik za zaštitu ravnopravnosti organizovao je po drugi put šestomesečni program stažiranja u stručnoj službi Poverenika za stažiste romske nacionalnosti, koji su imali priliku da se bolje upoznaju s radom i funkcionisanjem Poverenika za zaštitu ravnopravnosti, steknu znanja i primene praktična iskustva kroz svakodnevni rad u instituciji, prodube znanja o različitim aspektima politika ravnopravnosti koje su usmerene na inkluziju romske zajednice i podignu svest o neophodnosti uključivanja svih manjinskih grupa u rad organa javne vlasti.</w:t>
      </w:r>
    </w:p>
    <w:p w:rsidR="00CB084B" w:rsidRPr="00CB084B" w:rsidRDefault="00CB084B" w:rsidP="00CB084B">
      <w:pPr>
        <w:tabs>
          <w:tab w:val="left" w:pos="993"/>
        </w:tabs>
        <w:spacing w:after="100" w:afterAutospacing="1" w:line="276" w:lineRule="auto"/>
        <w:rPr>
          <w:rFonts w:cs="Arial"/>
        </w:rPr>
      </w:pPr>
      <w:r w:rsidRPr="00CB084B">
        <w:rPr>
          <w:rFonts w:cs="Arial"/>
        </w:rPr>
        <w:t>Zakonom o budžetu Republike Srbije za 2016. godinu</w:t>
      </w:r>
      <w:r w:rsidR="005C5DC2">
        <w:rPr>
          <w:rStyle w:val="FootnoteReference"/>
          <w:rFonts w:cs="Arial"/>
        </w:rPr>
        <w:footnoteReference w:id="1"/>
      </w:r>
      <w:r w:rsidRPr="00CB084B">
        <w:rPr>
          <w:rFonts w:cs="Arial"/>
        </w:rPr>
        <w:t xml:space="preserve">  Povereniku za zaštitu ravnopravnosti dodeljena su sredstva za Program „Unapređenje i zaštita ljudskih i manjinski prava i sloboda“, u iznosu od 81.255.000 dinara, što je nešto više u odnosu na 2015, kada je odobreno 72.904.000. Uključivanjem neutrošenih sredstava donacija iz prethodne godine, kao i sredstava koja su kao donacije pristigla u toku 2016. godine, raspoloživa sredstva u budžetu za Program, odnosno iznos koji se nalazio na tekućim aproprijacijama, iznosio je ukupno 84.200.412 dinara.</w:t>
      </w:r>
    </w:p>
    <w:p w:rsidR="00CB084B" w:rsidRPr="00CB084B" w:rsidRDefault="00CB084B" w:rsidP="00CB084B">
      <w:pPr>
        <w:tabs>
          <w:tab w:val="left" w:pos="993"/>
        </w:tabs>
        <w:spacing w:after="100" w:afterAutospacing="1" w:line="276" w:lineRule="auto"/>
        <w:rPr>
          <w:rFonts w:cs="Arial"/>
        </w:rPr>
      </w:pPr>
      <w:r w:rsidRPr="00CB084B">
        <w:rPr>
          <w:rFonts w:cs="Arial"/>
        </w:rPr>
        <w:t xml:space="preserve">U 2016. godini sprovedene su u celosti pojedine preporuke koje je Poverenik dao u svom godišnjem izveštaju za 2015. godinu, a neke preporuke su sprovedene u samo određenom delu. </w:t>
      </w:r>
    </w:p>
    <w:p w:rsidR="00CB084B" w:rsidRDefault="00CB084B" w:rsidP="00CB084B">
      <w:pPr>
        <w:tabs>
          <w:tab w:val="left" w:pos="993"/>
        </w:tabs>
        <w:spacing w:after="100" w:afterAutospacing="1" w:line="276" w:lineRule="auto"/>
        <w:rPr>
          <w:rFonts w:cs="Arial"/>
          <w:lang w:val="sr-Latn-RS"/>
        </w:rPr>
      </w:pPr>
      <w:r w:rsidRPr="00CB084B">
        <w:rPr>
          <w:rFonts w:cs="Arial"/>
        </w:rPr>
        <w:t>U tom smislu u izveštajnom periodu doneti su: Zakon o sprečavanju nasilja u porodici</w:t>
      </w:r>
      <w:r w:rsidR="005C5DC2">
        <w:rPr>
          <w:rStyle w:val="FootnoteReference"/>
          <w:rFonts w:cs="Arial"/>
        </w:rPr>
        <w:footnoteReference w:id="2"/>
      </w:r>
      <w:r w:rsidRPr="00CB084B">
        <w:rPr>
          <w:rFonts w:cs="Arial"/>
        </w:rPr>
        <w:t xml:space="preserve"> , Zakon o izmenama i dopunama Krivičnog zakonika</w:t>
      </w:r>
      <w:r w:rsidR="005C5DC2">
        <w:rPr>
          <w:rStyle w:val="FootnoteReference"/>
          <w:rFonts w:cs="Arial"/>
        </w:rPr>
        <w:footnoteReference w:id="3"/>
      </w:r>
      <w:r w:rsidRPr="00CB084B">
        <w:rPr>
          <w:rFonts w:cs="Arial"/>
        </w:rPr>
        <w:t>, Zakon o zaposlenima u autonomnim pokrajinama i jedinicama lokalne samouprave</w:t>
      </w:r>
      <w:r w:rsidR="005C5DC2">
        <w:rPr>
          <w:rStyle w:val="FootnoteReference"/>
          <w:rFonts w:cs="Arial"/>
        </w:rPr>
        <w:footnoteReference w:id="4"/>
      </w:r>
      <w:r w:rsidRPr="00CB084B">
        <w:rPr>
          <w:rFonts w:cs="Arial"/>
        </w:rPr>
        <w:t xml:space="preserve">, </w:t>
      </w:r>
      <w:r w:rsidRPr="005C5DC2">
        <w:rPr>
          <w:rFonts w:cs="Arial"/>
          <w:i/>
        </w:rPr>
        <w:t>Nacionalna strategija za rodnu ravnopravnost za period od 2016. do 2020. godine</w:t>
      </w:r>
      <w:r w:rsidR="005C5DC2">
        <w:rPr>
          <w:rStyle w:val="FootnoteReference"/>
          <w:rFonts w:cs="Arial"/>
          <w:i/>
        </w:rPr>
        <w:footnoteReference w:id="5"/>
      </w:r>
      <w:r w:rsidRPr="00CB084B">
        <w:rPr>
          <w:rFonts w:cs="Arial"/>
        </w:rPr>
        <w:t xml:space="preserve">, </w:t>
      </w:r>
      <w:r w:rsidRPr="005C5DC2">
        <w:rPr>
          <w:rFonts w:cs="Arial"/>
          <w:i/>
        </w:rPr>
        <w:t>Strategija za socijalno uključivanje Roma i Romkinja u Republici Srbiji za period od 2016. do 2025. godine</w:t>
      </w:r>
      <w:r w:rsidR="005C5DC2">
        <w:rPr>
          <w:rStyle w:val="FootnoteReference"/>
          <w:rFonts w:cs="Arial"/>
          <w:i/>
        </w:rPr>
        <w:footnoteReference w:id="6"/>
      </w:r>
      <w:r w:rsidRPr="005C5DC2">
        <w:rPr>
          <w:rFonts w:cs="Arial"/>
          <w:i/>
        </w:rPr>
        <w:t xml:space="preserve"> , Pravilnik o merilima i postupku za upis učenika – pripadnika romske nacionalne manjine u srednju školu pod </w:t>
      </w:r>
      <w:r w:rsidRPr="005C5DC2">
        <w:rPr>
          <w:rFonts w:cs="Arial"/>
          <w:i/>
        </w:rPr>
        <w:lastRenderedPageBreak/>
        <w:t>povoljnijim uslovima radi postizanja pune ravnopravnosti</w:t>
      </w:r>
      <w:r w:rsidR="005C5DC2">
        <w:rPr>
          <w:rStyle w:val="FootnoteReference"/>
          <w:rFonts w:cs="Arial"/>
          <w:i/>
        </w:rPr>
        <w:footnoteReference w:id="7"/>
      </w:r>
      <w:r w:rsidRPr="005C5DC2">
        <w:rPr>
          <w:rFonts w:cs="Arial"/>
          <w:i/>
        </w:rPr>
        <w:t xml:space="preserve"> , Pravilnik o merilima i postupku za upis polaznika koji su završili program osnovnog obrazovanja odraslih u srednju školu pod povoljnijim uslovima radi postizanja pune ravnopravnosti</w:t>
      </w:r>
      <w:r w:rsidR="005C5DC2">
        <w:rPr>
          <w:rStyle w:val="FootnoteReference"/>
          <w:rFonts w:cs="Arial"/>
          <w:i/>
        </w:rPr>
        <w:footnoteReference w:id="8"/>
      </w:r>
      <w:r w:rsidRPr="005C5DC2">
        <w:rPr>
          <w:rFonts w:cs="Arial"/>
          <w:i/>
        </w:rPr>
        <w:t xml:space="preserve"> , Pravilnik o bližim kriterijumima za prepoznavanje oblika diskriminacije od strane zaposlenog, deteta, učenika ili trećeg lica u ustanovi obrazovanja i vaspitanja</w:t>
      </w:r>
      <w:r w:rsidR="005C5DC2">
        <w:rPr>
          <w:rStyle w:val="FootnoteReference"/>
          <w:rFonts w:cs="Arial"/>
          <w:i/>
        </w:rPr>
        <w:footnoteReference w:id="9"/>
      </w:r>
      <w:r w:rsidRPr="005C5DC2">
        <w:rPr>
          <w:rFonts w:cs="Arial"/>
          <w:i/>
        </w:rPr>
        <w:t xml:space="preserve"> , Pravilnik o načinu i postupku davanja stručne ocene i stručnog mišljenja o kvalitetu rukopisa udžbenika, priručnika i nastavnog materijala, donetih nastavnih sredstava, nastavnih pomagala, didaktičkih sredstava i didaktičkih igrovnih sredstava</w:t>
      </w:r>
      <w:r w:rsidR="005C5DC2">
        <w:rPr>
          <w:rStyle w:val="FootnoteReference"/>
          <w:rFonts w:cs="Arial"/>
          <w:i/>
        </w:rPr>
        <w:footnoteReference w:id="10"/>
      </w:r>
      <w:r w:rsidRPr="00CB084B">
        <w:rPr>
          <w:rFonts w:cs="Arial"/>
        </w:rPr>
        <w:t>.  Takođe, Poverenik je sproveo edukaciju nosilaca pravosudnih funkcija, policijskih službenika, zaposlenih u državnoj upravi, kao i zaposlenih u jednom broju radnih službi u oblasti obrazovanja i socijalne zaštite.</w:t>
      </w:r>
    </w:p>
    <w:p w:rsidR="00CB084B" w:rsidRPr="00CB084B" w:rsidRDefault="00CB084B" w:rsidP="00CB084B">
      <w:pPr>
        <w:spacing w:after="100" w:afterAutospacing="1" w:line="276" w:lineRule="auto"/>
        <w:rPr>
          <w:rFonts w:cs="Arial"/>
        </w:rPr>
      </w:pPr>
      <w:r w:rsidRPr="00CB084B">
        <w:rPr>
          <w:rFonts w:cs="Arial"/>
        </w:rPr>
        <w:t xml:space="preserve">Na osnovu uvida stečenih u postupku po pritužbama tokom 2016. godine, kao i na osnovu drugih relevantnih dostupnih podataka o problemima u ostvarivanju ravnopravnosti, Poverenik za zaštitu ravnopravnosti daje sledeće preporuke. </w:t>
      </w:r>
    </w:p>
    <w:p w:rsidR="00CB084B" w:rsidRPr="00CB084B" w:rsidRDefault="00CB084B" w:rsidP="00CB084B">
      <w:pPr>
        <w:spacing w:after="100" w:afterAutospacing="1" w:line="276" w:lineRule="auto"/>
        <w:rPr>
          <w:rFonts w:cs="Arial"/>
        </w:rPr>
      </w:pPr>
      <w:r w:rsidRPr="00CB084B">
        <w:rPr>
          <w:rFonts w:cs="Arial"/>
          <w:b/>
        </w:rPr>
        <w:t>1.</w:t>
      </w:r>
      <w:r w:rsidRPr="00CB084B">
        <w:rPr>
          <w:rFonts w:cs="Arial"/>
        </w:rPr>
        <w:t xml:space="preserve"> Uspostaviti i operacionalizovati jedinstven, centralizovan i standardizovan sistem za prikupljanje i analizu relevantnih podataka koji služe za praćenje pojave diskriminacije i efikasnosti sistema zaštite od diskriminacije.</w:t>
      </w:r>
    </w:p>
    <w:p w:rsidR="00CB084B" w:rsidRPr="00CB084B" w:rsidRDefault="00CB084B" w:rsidP="00CB084B">
      <w:pPr>
        <w:spacing w:after="100" w:afterAutospacing="1" w:line="276" w:lineRule="auto"/>
        <w:rPr>
          <w:rFonts w:cs="Arial"/>
        </w:rPr>
      </w:pPr>
      <w:r w:rsidRPr="00CB084B">
        <w:rPr>
          <w:rFonts w:cs="Arial"/>
          <w:b/>
        </w:rPr>
        <w:t>2.</w:t>
      </w:r>
      <w:r w:rsidRPr="00CB084B">
        <w:rPr>
          <w:rFonts w:cs="Arial"/>
        </w:rPr>
        <w:t xml:space="preserve"> Pristupiti izradi strateških dokumenata čije je važenje isteklo u 2016. ili ističe u 2017. godini. To se prvenstveno odnosi na donošenje strategije unapređenja položaja osoba sa invaliditetom, osoba koje žive sa HIV-om, strategije o starenju, strategije razvoja obrazovanja odraslih, kao i donošenje strategije koja će unaprediti zaštitu mentalnog zdravlja. Novi strateški dokumenti bi trebalo da budu bazirani na evaluaciji prethodno važećih strategija i uz uvažavanje trenutnog stanja i potreba društvenih grupa na koje se odnose. Prilikom pripreme svih strateških dokumenata obezbediti rodnu perspektivu, realno definisati ciljeve i aktivnosti, obezbediti izvore finansiranja i sprovesti širok konsultativni proces sa svim zainteresovanim akterima. </w:t>
      </w:r>
    </w:p>
    <w:p w:rsidR="00CB084B" w:rsidRPr="00CB084B" w:rsidRDefault="00CB084B" w:rsidP="00CB084B">
      <w:pPr>
        <w:spacing w:after="100" w:afterAutospacing="1" w:line="276" w:lineRule="auto"/>
        <w:rPr>
          <w:rFonts w:cs="Arial"/>
        </w:rPr>
      </w:pPr>
      <w:r w:rsidRPr="00CB084B">
        <w:rPr>
          <w:rFonts w:cs="Arial"/>
          <w:b/>
        </w:rPr>
        <w:t>3.</w:t>
      </w:r>
      <w:r w:rsidRPr="00CB084B">
        <w:rPr>
          <w:rFonts w:cs="Arial"/>
        </w:rPr>
        <w:t xml:space="preserve"> Neophodno je doneti zakon o rodnoj ravnopravnosti. Potrebno je propisati obavezu „urodnjavanja“ javnih politika, tj. integrisanje rodne perspektive u javne politike, kako bi se obezbedilo uklanjanje uzroka rodne neravnopravnosti, te propisati obavezu svih organa javne vlasti i privatnih poslodavaca da razviju interne mehanizme za suzbijanje i zaštitu od diskriminacije i vođenje rodno balansirane kadrovske politike.  </w:t>
      </w:r>
    </w:p>
    <w:p w:rsidR="00CB084B" w:rsidRPr="00CB084B" w:rsidRDefault="00CB084B" w:rsidP="00CB084B">
      <w:pPr>
        <w:spacing w:after="100" w:afterAutospacing="1" w:line="276" w:lineRule="auto"/>
        <w:rPr>
          <w:rFonts w:cs="Arial"/>
        </w:rPr>
      </w:pPr>
      <w:r w:rsidRPr="00CB084B">
        <w:rPr>
          <w:rFonts w:cs="Arial"/>
          <w:b/>
        </w:rPr>
        <w:t>4.</w:t>
      </w:r>
      <w:r w:rsidRPr="00CB084B">
        <w:rPr>
          <w:rFonts w:cs="Arial"/>
        </w:rPr>
        <w:t xml:space="preserve"> U cilju ekonomskog osnaživanja  žena potrebno je kontinuirano preduzimati mere za podsticanje zapošljavanja i ženskog preduzetništva, za zaštitu žena od diskriminacije na tržištu rada, kao i propisivanje posebnih mera i za unapređenje položaja žena koje se bave poljoprivredom, posebno prilikom upisa u registar poljoprivrednih gazdinstava.</w:t>
      </w:r>
    </w:p>
    <w:p w:rsidR="00CB084B" w:rsidRPr="00CB084B" w:rsidRDefault="00CB084B" w:rsidP="00CB084B">
      <w:pPr>
        <w:spacing w:after="100" w:afterAutospacing="1" w:line="276" w:lineRule="auto"/>
        <w:rPr>
          <w:rFonts w:cs="Arial"/>
        </w:rPr>
      </w:pPr>
      <w:r w:rsidRPr="00CB084B">
        <w:rPr>
          <w:rFonts w:cs="Arial"/>
          <w:b/>
        </w:rPr>
        <w:lastRenderedPageBreak/>
        <w:t>5.</w:t>
      </w:r>
      <w:r w:rsidRPr="00CB084B">
        <w:rPr>
          <w:rFonts w:cs="Arial"/>
        </w:rPr>
        <w:t xml:space="preserve"> Potrebno je da nadležni organi preduzmu mere i obezbede koordinisano i efikasno delovanje institucija sistema u pružanju zaštite od nasilja u porodici i drugih oblika rodno zasnovanog nasilja, s ciljem pune primene zakona. </w:t>
      </w:r>
    </w:p>
    <w:p w:rsidR="00CB084B" w:rsidRPr="00CB084B" w:rsidRDefault="00CB084B" w:rsidP="00CB084B">
      <w:pPr>
        <w:spacing w:after="100" w:afterAutospacing="1" w:line="276" w:lineRule="auto"/>
        <w:rPr>
          <w:rFonts w:cs="Arial"/>
        </w:rPr>
      </w:pPr>
      <w:r w:rsidRPr="00CB084B">
        <w:rPr>
          <w:rFonts w:cs="Arial"/>
          <w:b/>
        </w:rPr>
        <w:t>6.</w:t>
      </w:r>
      <w:r w:rsidRPr="00CB084B">
        <w:rPr>
          <w:rFonts w:cs="Arial"/>
        </w:rPr>
        <w:t xml:space="preserve"> Usvojiti zakon o besplatnoj pravnoj pomoći, kojim će se obezbediti delotvoran pristup pravdi, bez diskriminacije po bilo kom osnovu, uključujući i pristup pravdi za žrtve diskriminacije.</w:t>
      </w:r>
    </w:p>
    <w:p w:rsidR="00CB084B" w:rsidRPr="00CB084B" w:rsidRDefault="00CB084B" w:rsidP="00CB084B">
      <w:pPr>
        <w:spacing w:after="100" w:afterAutospacing="1" w:line="276" w:lineRule="auto"/>
        <w:rPr>
          <w:rFonts w:cs="Arial"/>
        </w:rPr>
      </w:pPr>
      <w:r w:rsidRPr="00CB084B">
        <w:rPr>
          <w:rFonts w:cs="Arial"/>
          <w:b/>
        </w:rPr>
        <w:t>7.</w:t>
      </w:r>
      <w:r w:rsidRPr="00CB084B">
        <w:rPr>
          <w:rFonts w:cs="Arial"/>
        </w:rPr>
        <w:t xml:space="preserve"> Intenzivirati rad na uklanjanju svih vrsta barijera koje osobama sa invaliditetom otežavaju pristup javnim objektima i površinama, prevozu, komunikacijama, uslugama. Obezbediti da informacije o radu svih organa javne vlasti budu dostupne u odgovarajućim formatima, uključujući i sadržaje internet prezentacija. Potrebno je obezbediti osobama sa invaliditetom uslove za puno ostvarivanje svih zagarantovanih prava (izbornog prava, prava na obrazovanje i sl.). </w:t>
      </w:r>
    </w:p>
    <w:p w:rsidR="00CB084B" w:rsidRPr="00CB084B" w:rsidRDefault="00CB084B" w:rsidP="00CB084B">
      <w:pPr>
        <w:spacing w:after="100" w:afterAutospacing="1" w:line="276" w:lineRule="auto"/>
        <w:rPr>
          <w:rFonts w:cs="Arial"/>
        </w:rPr>
      </w:pPr>
      <w:r w:rsidRPr="00CB084B">
        <w:rPr>
          <w:rFonts w:cs="Arial"/>
          <w:b/>
        </w:rPr>
        <w:t>8.</w:t>
      </w:r>
      <w:r w:rsidRPr="00CB084B">
        <w:rPr>
          <w:rFonts w:cs="Arial"/>
        </w:rPr>
        <w:t xml:space="preserve"> Intenzivirati proces deinstitucionalizacije i obezbediti adekvatnu podršku osobama sa invaliditetom za samostalan život u najmanje restriktivnom okruženju, uz kontinuirano razvijanje raznovrsnih usluga u lokalnoj zajednici namenjenih deci i odraslima sa invaliditetom.</w:t>
      </w:r>
    </w:p>
    <w:p w:rsidR="00CB084B" w:rsidRPr="00CB084B" w:rsidRDefault="00CB084B" w:rsidP="00CB084B">
      <w:pPr>
        <w:spacing w:after="100" w:afterAutospacing="1" w:line="276" w:lineRule="auto"/>
        <w:rPr>
          <w:rFonts w:cs="Arial"/>
        </w:rPr>
      </w:pPr>
      <w:r w:rsidRPr="00CB084B">
        <w:rPr>
          <w:rFonts w:cs="Arial"/>
          <w:b/>
        </w:rPr>
        <w:t>9.</w:t>
      </w:r>
      <w:r w:rsidRPr="00CB084B">
        <w:rPr>
          <w:rFonts w:cs="Arial"/>
        </w:rPr>
        <w:t xml:space="preserve"> Preduzeti mere za unapređenje/usklađivanje pravnog okvira kako bi se omogućilo osobama sa invaliditetom da efikasno i bez diskriminacije koriste pečat koji sadrži podatke o ličnom identitetu ili pečat s ugraviranim potpisom prilikom ostvarivanja prava i korišćenja usluga.</w:t>
      </w:r>
    </w:p>
    <w:p w:rsidR="00CB084B" w:rsidRPr="00CB084B" w:rsidRDefault="00CB084B" w:rsidP="00CB084B">
      <w:pPr>
        <w:spacing w:after="100" w:afterAutospacing="1" w:line="276" w:lineRule="auto"/>
        <w:rPr>
          <w:rFonts w:cs="Arial"/>
        </w:rPr>
      </w:pPr>
      <w:r w:rsidRPr="00CB084B">
        <w:rPr>
          <w:rFonts w:cs="Arial"/>
          <w:b/>
        </w:rPr>
        <w:t>10.</w:t>
      </w:r>
      <w:r w:rsidRPr="00CB084B">
        <w:rPr>
          <w:rFonts w:cs="Arial"/>
        </w:rPr>
        <w:t xml:space="preserve"> Preduzeti mere na stvaranju uslova za osposobljavanje za kretanje sa psom vodičem, u skladu sa Zakonom o kretanju uz pomoć psa vodiča.</w:t>
      </w:r>
    </w:p>
    <w:p w:rsidR="00CB084B" w:rsidRPr="00CB084B" w:rsidRDefault="00CB084B" w:rsidP="00CB084B">
      <w:pPr>
        <w:spacing w:after="100" w:afterAutospacing="1" w:line="276" w:lineRule="auto"/>
        <w:rPr>
          <w:rFonts w:cs="Arial"/>
        </w:rPr>
      </w:pPr>
      <w:r w:rsidRPr="00CB084B">
        <w:rPr>
          <w:rFonts w:cs="Arial"/>
          <w:b/>
        </w:rPr>
        <w:t>11.</w:t>
      </w:r>
      <w:r w:rsidRPr="00CB084B">
        <w:rPr>
          <w:rFonts w:cs="Arial"/>
        </w:rPr>
        <w:t xml:space="preserve"> Potrebno je izmeniti zakonske propise koji uređuju pitanje lišenja poslovne sposobnosti i starateljstva nad punoletnim osobama u skladu sa savremenim međunarodnima standardima i preporukama, što podrazumeva  promenu u  pristupu osobama sa invaliditetom od preovlađujućeg medicinskog modela prema socijalnom.</w:t>
      </w:r>
    </w:p>
    <w:p w:rsidR="00CB084B" w:rsidRPr="00CB084B" w:rsidRDefault="00CB084B" w:rsidP="00CB084B">
      <w:pPr>
        <w:spacing w:after="100" w:afterAutospacing="1" w:line="276" w:lineRule="auto"/>
        <w:rPr>
          <w:rFonts w:cs="Arial"/>
        </w:rPr>
      </w:pPr>
      <w:r w:rsidRPr="00CB084B">
        <w:rPr>
          <w:rFonts w:cs="Arial"/>
          <w:b/>
        </w:rPr>
        <w:t>12.</w:t>
      </w:r>
      <w:r w:rsidRPr="00CB084B">
        <w:rPr>
          <w:rFonts w:cs="Arial"/>
        </w:rPr>
        <w:t xml:space="preserve"> Potrebno je da nadležni državni organi preduzmu sve neophodne radnje i mere iz svoje nadležnosti kojima će obezbediti angažovanje pedagoškog asistenta za decu i učenike kojima je potrebna dodatna podrška u obrazovanju i vaspitanju i nastaviti rad na razvoju inkluzivnog obrazovanja, u skladu s principima jednakosti i dostupnosti u obrazovanju na svim nivoima.</w:t>
      </w:r>
    </w:p>
    <w:p w:rsidR="00CB084B" w:rsidRPr="00CB084B" w:rsidRDefault="00CB084B" w:rsidP="00CB084B">
      <w:pPr>
        <w:spacing w:after="100" w:afterAutospacing="1" w:line="276" w:lineRule="auto"/>
        <w:rPr>
          <w:rFonts w:cs="Arial"/>
        </w:rPr>
      </w:pPr>
      <w:r w:rsidRPr="00CB084B">
        <w:rPr>
          <w:rFonts w:cs="Arial"/>
          <w:b/>
        </w:rPr>
        <w:t>13.</w:t>
      </w:r>
      <w:r w:rsidRPr="00CB084B">
        <w:rPr>
          <w:rFonts w:cs="Arial"/>
        </w:rPr>
        <w:t xml:space="preserve"> Unaprediti normativni okvir za zaštitu prava deteta u smislu usaglašavanja s Konvencijom o pravima deteta, a posebno u pogledu definisanja pojmova, zabrane fizičkog kažnjavanja, zabrane diskriminacije i zaštite od ekonomske eksploatacije. </w:t>
      </w:r>
    </w:p>
    <w:p w:rsidR="00CB084B" w:rsidRPr="00CB084B" w:rsidRDefault="00CB084B" w:rsidP="00CB084B">
      <w:pPr>
        <w:spacing w:after="100" w:afterAutospacing="1" w:line="276" w:lineRule="auto"/>
        <w:rPr>
          <w:rFonts w:cs="Arial"/>
        </w:rPr>
      </w:pPr>
      <w:r w:rsidRPr="00CB084B">
        <w:rPr>
          <w:rFonts w:cs="Arial"/>
          <w:b/>
        </w:rPr>
        <w:t>14.</w:t>
      </w:r>
      <w:r w:rsidRPr="00CB084B">
        <w:rPr>
          <w:rFonts w:cs="Arial"/>
        </w:rPr>
        <w:t xml:space="preserve"> Kontinuirano raditi na obezbeđivanju jednakih mogućnosti u pristupu visokom obrazovanju mladima iz marginalizovanih društvenih grupa, uvođenjem posebnih mera i dopunom standarda za akreditaciju visokoškolskih ustanova, a naročito u pogledu pristupačnosti prostora, obezbeđivanja asistivnih tehnologija i odgovarajućih servisa za podršku studentima. </w:t>
      </w:r>
    </w:p>
    <w:p w:rsidR="00CB084B" w:rsidRPr="00CB084B" w:rsidRDefault="00CB084B" w:rsidP="00CB084B">
      <w:pPr>
        <w:spacing w:after="100" w:afterAutospacing="1" w:line="276" w:lineRule="auto"/>
        <w:rPr>
          <w:rFonts w:cs="Arial"/>
        </w:rPr>
      </w:pPr>
      <w:r w:rsidRPr="00CB084B">
        <w:rPr>
          <w:rFonts w:cs="Arial"/>
          <w:b/>
        </w:rPr>
        <w:lastRenderedPageBreak/>
        <w:t>15.</w:t>
      </w:r>
      <w:r w:rsidRPr="00CB084B">
        <w:rPr>
          <w:rFonts w:cs="Arial"/>
        </w:rPr>
        <w:t xml:space="preserve"> Preduzeti mere kako bi se u nastavne programe i nastavne materijale integrisale teme koje razvijaju kulturu mira, tolerancije, razumevanja i uvažavanja različitosti, rodne ravnopravnosti i nediskriminacije. Iz nastavnih materijala ukloniti diskriminatorne sadržaje i sadržaje koji podržavaju stereotipe i predrasude. U školske programe treba uvesti zdravstveno i vaspitanje o reproduktivnom i seksualnom zdravlju.</w:t>
      </w:r>
    </w:p>
    <w:p w:rsidR="00CB084B" w:rsidRPr="00CB084B" w:rsidRDefault="00CB084B" w:rsidP="00CB084B">
      <w:pPr>
        <w:spacing w:after="100" w:afterAutospacing="1" w:line="276" w:lineRule="auto"/>
        <w:rPr>
          <w:rFonts w:cs="Arial"/>
        </w:rPr>
      </w:pPr>
      <w:r w:rsidRPr="00CB084B">
        <w:rPr>
          <w:rFonts w:cs="Arial"/>
          <w:b/>
        </w:rPr>
        <w:t>16.</w:t>
      </w:r>
      <w:r w:rsidRPr="00CB084B">
        <w:rPr>
          <w:rFonts w:cs="Arial"/>
        </w:rPr>
        <w:t xml:space="preserve"> Izmeniti Zakon o finansijskoj podršci porodici sa decom, posebno u pogledu propisivanja prava očeva na roditeljski dodatak, ukoliko majka nema državljanstvo Republike Srbije, boljeg obuhvata lica koja mogu ostvariti pravo na naknadu za vreme porodiljskog odsustva i odsustva s rada radi nege deteta, kao i unapređenja drugih odredaba ovog zakona s ciljem postizanja pune ravnopravnosti. </w:t>
      </w:r>
    </w:p>
    <w:p w:rsidR="00CB084B" w:rsidRPr="00CB084B" w:rsidRDefault="00CB084B" w:rsidP="00CB084B">
      <w:pPr>
        <w:spacing w:after="100" w:afterAutospacing="1" w:line="276" w:lineRule="auto"/>
        <w:rPr>
          <w:rFonts w:cs="Arial"/>
        </w:rPr>
      </w:pPr>
      <w:r w:rsidRPr="00CB084B">
        <w:rPr>
          <w:rFonts w:cs="Arial"/>
          <w:b/>
        </w:rPr>
        <w:t>17.</w:t>
      </w:r>
      <w:r w:rsidRPr="00CB084B">
        <w:rPr>
          <w:rFonts w:cs="Arial"/>
        </w:rPr>
        <w:t xml:space="preserve"> Intenzivirati rad na poboljšanju položaja starijih, naročito u ruralnim i nepristupačnim područjima, posebno u pogledu pružanja usluga socijalne i zdravstvene zaštite (mobilni timovi, mobilne apoteke i prodavnice i sl.). To podrazumeva i rano prepoznavanje socijalne isključenosti i blagovremeno aktiviranje svih oblika podrške i pomoći.</w:t>
      </w:r>
    </w:p>
    <w:p w:rsidR="00CB084B" w:rsidRPr="00CB084B" w:rsidRDefault="00CB084B" w:rsidP="00CB084B">
      <w:pPr>
        <w:spacing w:after="100" w:afterAutospacing="1" w:line="276" w:lineRule="auto"/>
        <w:rPr>
          <w:rFonts w:cs="Arial"/>
        </w:rPr>
      </w:pPr>
      <w:r w:rsidRPr="00CB084B">
        <w:rPr>
          <w:rFonts w:cs="Arial"/>
          <w:b/>
        </w:rPr>
        <w:t>18.</w:t>
      </w:r>
      <w:r w:rsidRPr="00CB084B">
        <w:rPr>
          <w:rFonts w:cs="Arial"/>
        </w:rPr>
        <w:t xml:space="preserve"> Preduzimati mere za unapređivanje položaja osuđenih lica i njihovu punu socijalnu uključenost, bez stigmatizacije, posebno u postupku zapošljavanja. To podrazumeva i odgovarajuće normativne izmene kako bi se u potpunosti obezbedilo poštovanje odredbe člana 102. Krivičnog zakonika, kojom je propisano da niko nema pravo da traži od građana da podnose dokaz o svojoj osuđivanosti ili neosuđivanosti.</w:t>
      </w:r>
    </w:p>
    <w:p w:rsidR="00CB084B" w:rsidRPr="00CB084B" w:rsidRDefault="00CB084B" w:rsidP="00CB084B">
      <w:pPr>
        <w:spacing w:after="100" w:afterAutospacing="1" w:line="276" w:lineRule="auto"/>
        <w:rPr>
          <w:rFonts w:cs="Arial"/>
        </w:rPr>
      </w:pPr>
      <w:r w:rsidRPr="00CB084B">
        <w:rPr>
          <w:rFonts w:cs="Arial"/>
          <w:b/>
        </w:rPr>
        <w:t>19.</w:t>
      </w:r>
      <w:r w:rsidRPr="00CB084B">
        <w:rPr>
          <w:rFonts w:cs="Arial"/>
        </w:rPr>
        <w:t xml:space="preserve"> Unaprediti pravni položaj transpolnih osoba, donošenjem posebnog zakona ili izmenama i dopunama postojećih propisa, kako bi se transpolnim osobama omogućilo da novi identitet u potpunosti integrišu u svoj privatni i profesionalni život, uz puno poštovanje prava na privatnost.  </w:t>
      </w:r>
    </w:p>
    <w:p w:rsidR="00CB084B" w:rsidRPr="00CB084B" w:rsidRDefault="00CB084B" w:rsidP="00CB084B">
      <w:pPr>
        <w:spacing w:after="100" w:afterAutospacing="1" w:line="276" w:lineRule="auto"/>
        <w:rPr>
          <w:rFonts w:cs="Arial"/>
        </w:rPr>
      </w:pPr>
      <w:r w:rsidRPr="00CB084B">
        <w:rPr>
          <w:rFonts w:cs="Arial"/>
          <w:b/>
        </w:rPr>
        <w:t>20.</w:t>
      </w:r>
      <w:r w:rsidRPr="00CB084B">
        <w:rPr>
          <w:rFonts w:cs="Arial"/>
        </w:rPr>
        <w:t xml:space="preserve"> Doneti propise kojima se omogućava registracija istopolnih parova i regulišu dejstva, pravne posledice i način prestanka registrovanih partnerstva, u skladu s preporukama Saveta Evrope.</w:t>
      </w:r>
    </w:p>
    <w:p w:rsidR="00CB084B" w:rsidRPr="00CB084B" w:rsidRDefault="00CB084B" w:rsidP="00CB084B">
      <w:pPr>
        <w:spacing w:after="100" w:afterAutospacing="1" w:line="276" w:lineRule="auto"/>
        <w:rPr>
          <w:rFonts w:cs="Arial"/>
        </w:rPr>
      </w:pPr>
      <w:r w:rsidRPr="00CB084B">
        <w:rPr>
          <w:rFonts w:cs="Arial"/>
          <w:b/>
        </w:rPr>
        <w:t>21.</w:t>
      </w:r>
      <w:r w:rsidRPr="00CB084B">
        <w:rPr>
          <w:rFonts w:cs="Arial"/>
        </w:rPr>
        <w:t xml:space="preserve"> Preduzeti sve potrebne mere kako bi sastav državnih organa, organa lokalne samouprave i drugih organa javne vlasti odgovarao nacionalnom sastavu stanovništva na njihovom području, i preduzeti mere s ciljem upravljanja nacionalnom, etničkom, verskom, jezičkom i drugom raznovrsnošću.</w:t>
      </w:r>
    </w:p>
    <w:p w:rsidR="00CB084B" w:rsidRPr="00CB084B" w:rsidRDefault="00CB084B" w:rsidP="00CB084B">
      <w:pPr>
        <w:spacing w:after="100" w:afterAutospacing="1" w:line="276" w:lineRule="auto"/>
        <w:rPr>
          <w:rFonts w:cs="Arial"/>
        </w:rPr>
      </w:pPr>
      <w:r w:rsidRPr="00CB084B">
        <w:rPr>
          <w:rFonts w:cs="Arial"/>
          <w:b/>
        </w:rPr>
        <w:t>22.</w:t>
      </w:r>
      <w:r w:rsidRPr="00CB084B">
        <w:rPr>
          <w:rFonts w:cs="Arial"/>
        </w:rPr>
        <w:t xml:space="preserve"> Kontinuirano raditi na edukaciji nosilaca pravosudnih funkcija, policijskih službenika, zaposlenih u državnoj upravi, zaposlenih u sistemu obrazovanja, zdravstvene i socijalne zaštite i zaposlenih u inspekcijskim službama iz oblasti antidiskriminacionog prava, kako bi se obezbedilo pravilno i ujednačeno tumačenje i primena antidiskriminacionih propisa, u skladu s međunarodnim standardima i praksom međunarodnih institucija.</w:t>
      </w:r>
    </w:p>
    <w:p w:rsidR="00CB084B" w:rsidRPr="00CB084B" w:rsidRDefault="00CB084B" w:rsidP="00CB084B">
      <w:pPr>
        <w:spacing w:after="100" w:afterAutospacing="1" w:line="276" w:lineRule="auto"/>
        <w:rPr>
          <w:rFonts w:cs="Arial"/>
        </w:rPr>
      </w:pPr>
      <w:r w:rsidRPr="00CB084B">
        <w:rPr>
          <w:rFonts w:cs="Arial"/>
          <w:b/>
        </w:rPr>
        <w:t>23.</w:t>
      </w:r>
      <w:r w:rsidRPr="00CB084B">
        <w:rPr>
          <w:rFonts w:cs="Arial"/>
        </w:rPr>
        <w:t xml:space="preserve"> Preduzimati mere i aktivnosti na edukaciji novinara o zabrani govora mržnje i drugih oblika diskriminacije, kao i o važnosti principa ravnopravnosti i tolerancije. </w:t>
      </w:r>
    </w:p>
    <w:p w:rsidR="00525B2F" w:rsidRPr="00525B2F" w:rsidRDefault="00CB084B" w:rsidP="00CB084B">
      <w:pPr>
        <w:spacing w:after="100" w:afterAutospacing="1" w:line="276" w:lineRule="auto"/>
        <w:rPr>
          <w:rFonts w:cs="Arial"/>
        </w:rPr>
      </w:pPr>
      <w:r w:rsidRPr="00CB084B">
        <w:rPr>
          <w:rFonts w:cs="Arial"/>
          <w:b/>
        </w:rPr>
        <w:t>24.</w:t>
      </w:r>
      <w:r w:rsidRPr="00CB084B">
        <w:rPr>
          <w:rFonts w:cs="Arial"/>
        </w:rPr>
        <w:t xml:space="preserve"> Izmeniti i dopuniti Zakon o zabrani diskriminacije, u saradnji s Poverenikom za zaštitu ravnopravnosti, s ciljem postizanja pune usklađenosti s pravnim tekovinama Evropske unije. </w:t>
      </w:r>
      <w:r w:rsidRPr="00CB084B">
        <w:rPr>
          <w:rFonts w:cs="Arial"/>
        </w:rPr>
        <w:lastRenderedPageBreak/>
        <w:t xml:space="preserve">Takođe, izmenama i dopunama propisati adekvatna rešenja za prevazilaženje problema i teškoća koji su uočeni u primeni Zakona.  </w:t>
      </w:r>
    </w:p>
    <w:p w:rsidR="00135D51" w:rsidRDefault="00135D51" w:rsidP="00135D51">
      <w:pPr>
        <w:tabs>
          <w:tab w:val="left" w:pos="4440"/>
          <w:tab w:val="center" w:pos="4986"/>
        </w:tabs>
        <w:spacing w:line="276" w:lineRule="auto"/>
        <w:rPr>
          <w:rFonts w:cs="Arial"/>
          <w:b/>
          <w:i/>
          <w:sz w:val="40"/>
        </w:rPr>
      </w:pPr>
    </w:p>
    <w:p w:rsidR="00135D51" w:rsidRPr="00135D51" w:rsidRDefault="00D6495D" w:rsidP="00135D51">
      <w:pPr>
        <w:pStyle w:val="Heading1"/>
        <w:spacing w:line="276" w:lineRule="auto"/>
        <w:ind w:left="0" w:firstLine="0"/>
        <w:jc w:val="left"/>
        <w:rPr>
          <w:rFonts w:cs="Arial"/>
          <w:szCs w:val="22"/>
        </w:rPr>
      </w:pPr>
      <w:r>
        <w:rPr>
          <w:rFonts w:cs="Arial"/>
          <w:szCs w:val="22"/>
          <w:lang w:val="sr-Latn-RS"/>
        </w:rPr>
        <w:t>O POVERENIKU ZA ZAŠTITU RAVNOPRAVNOSTI</w:t>
      </w:r>
    </w:p>
    <w:p w:rsidR="00135D51" w:rsidRPr="00524E5F" w:rsidRDefault="00135D51" w:rsidP="00135D51">
      <w:pPr>
        <w:spacing w:line="276" w:lineRule="auto"/>
        <w:rPr>
          <w:rFonts w:cs="Arial"/>
          <w:sz w:val="8"/>
        </w:rPr>
      </w:pPr>
    </w:p>
    <w:p w:rsidR="00D6495D" w:rsidRPr="00D6495D" w:rsidRDefault="00D6495D" w:rsidP="00D6495D">
      <w:pPr>
        <w:spacing w:after="100" w:afterAutospacing="1" w:line="276" w:lineRule="auto"/>
        <w:rPr>
          <w:rFonts w:cs="Arial"/>
        </w:rPr>
      </w:pPr>
      <w:r w:rsidRPr="00D6495D">
        <w:rPr>
          <w:rFonts w:cs="Arial"/>
        </w:rPr>
        <w:t>Poverenik za zaštitu ravnopravnosti je samostalan i nezavisan inokosni državni organ, ustanovljen Zakonom o zabrani diskriminacije</w:t>
      </w:r>
      <w:r w:rsidR="00B67B6D">
        <w:rPr>
          <w:rStyle w:val="FootnoteReference"/>
          <w:rFonts w:cs="Arial"/>
        </w:rPr>
        <w:footnoteReference w:id="11"/>
      </w:r>
      <w:r w:rsidRPr="00D6495D">
        <w:rPr>
          <w:rFonts w:cs="Arial"/>
        </w:rPr>
        <w:t xml:space="preserve"> , sa širokim krugom zakonskih ovlašćenja koja ga čine centralnom nacionalnom institucijom specijalizovanom za sprečavanje i suzbijanje svih oblika i vidova diskriminacije. Nadležnost Poverenika široko je određena, u skladu s međunarodnim standardima, kako bi se omogućilo da efikasno i delotvorno sprečava i štiti od diskriminacije i doprinosi ostvarivanju i unapređenju ravnopravnosti. Narodna skupština Republike Srbije izabrala je Brankicu Janković za poverenicu za zaštitu ravnopravnosti 27. maja 2015, na period od pet godina.</w:t>
      </w:r>
    </w:p>
    <w:p w:rsidR="00D6495D" w:rsidRPr="00D6495D" w:rsidRDefault="00D6495D" w:rsidP="00D6495D">
      <w:pPr>
        <w:spacing w:after="100" w:afterAutospacing="1" w:line="276" w:lineRule="auto"/>
        <w:rPr>
          <w:rFonts w:cs="Arial"/>
        </w:rPr>
      </w:pPr>
      <w:r w:rsidRPr="00D6495D">
        <w:rPr>
          <w:rFonts w:cs="Arial"/>
        </w:rPr>
        <w:t xml:space="preserve">Samostalnost i nezavisnost institucije Poverenika predstavljaju osnovne postulate i ključne pretpostavke za uspešno ostvarivanje društvene uloge i misije. Poverenik nije ovlašćen da diskriminatore kažnjava ako ne poštuju preporuke, ali ih može uveriti autoritetom institucije koju predstavlja, snagom argumenata i pritiskom javnosti. </w:t>
      </w:r>
    </w:p>
    <w:p w:rsidR="00D6495D" w:rsidRPr="00D6495D" w:rsidRDefault="00D6495D" w:rsidP="00D6495D">
      <w:pPr>
        <w:spacing w:after="100" w:afterAutospacing="1" w:line="276" w:lineRule="auto"/>
        <w:rPr>
          <w:rFonts w:cs="Arial"/>
        </w:rPr>
      </w:pPr>
      <w:r w:rsidRPr="00D6495D">
        <w:rPr>
          <w:rFonts w:cs="Arial"/>
        </w:rPr>
        <w:t>Prema odredbama Zakona o zabrani diskriminacije, Poverenik je nadležan da postupa po pritužbama zbog diskriminacije. Pritužbu može podneti svako fizičko i pravno lice, grupa lica koja smatraju da su pretrpela diskriminaciju, kao i organizacije koje se bave zaštitom ljudskih prava ili drugo lice u ime i uz saglasnost lica koje smatra da je pretrpelo diskriminaciju. Postupak pred Poverenikom je besplatan. U postupku po pritužbama Poverenik za zaštitu ravnopravnosti daje mišljenje da li je došlo do povrede Zakona o zabrani diskriminacije, daje preporuke o načinu otklanjanja povrede prava i izriče zakonom utvrđene mere za slučaj da diskriminator ne postupi po preporuci Poverenika.</w:t>
      </w:r>
    </w:p>
    <w:p w:rsidR="00D6495D" w:rsidRPr="00D6495D" w:rsidRDefault="00D6495D" w:rsidP="00D6495D">
      <w:pPr>
        <w:spacing w:after="100" w:afterAutospacing="1" w:line="276" w:lineRule="auto"/>
        <w:rPr>
          <w:rFonts w:cs="Arial"/>
        </w:rPr>
      </w:pPr>
      <w:r w:rsidRPr="00D6495D">
        <w:rPr>
          <w:rFonts w:cs="Arial"/>
        </w:rPr>
        <w:t>Poverenik pruža informacije podnosiocu pritužbe o njegovom pravu i mogućnosti pokretanja sudskog ili drugog postupka zaštite, odnosno o načinima zaštite prava, a ovlašćen je da preporuči medijaciju ukoliko oceni da je slučaj podoban za medijaciju.</w:t>
      </w:r>
    </w:p>
    <w:p w:rsidR="00D6495D" w:rsidRPr="00D6495D" w:rsidRDefault="00D6495D" w:rsidP="00D6495D">
      <w:pPr>
        <w:spacing w:after="100" w:afterAutospacing="1" w:line="276" w:lineRule="auto"/>
        <w:rPr>
          <w:rFonts w:cs="Arial"/>
        </w:rPr>
      </w:pPr>
      <w:r w:rsidRPr="00D6495D">
        <w:rPr>
          <w:rFonts w:cs="Arial"/>
        </w:rPr>
        <w:t xml:space="preserve">Poverenik je ovlašćen da u javnom interesu pokreće tzv. strateške parnice za zaštitu od diskriminacije. Pored toga, Poverenik je ovlašćen da podnosi i prekršajne i krivične prijave, kao i predloge za ocenu ustavnosti i zakonitosti. </w:t>
      </w:r>
    </w:p>
    <w:p w:rsidR="00D6495D" w:rsidRPr="00D6495D" w:rsidRDefault="00D6495D" w:rsidP="00D6495D">
      <w:pPr>
        <w:spacing w:after="100" w:afterAutospacing="1" w:line="276" w:lineRule="auto"/>
        <w:rPr>
          <w:rFonts w:cs="Arial"/>
        </w:rPr>
      </w:pPr>
      <w:r w:rsidRPr="00D6495D">
        <w:rPr>
          <w:rFonts w:cs="Arial"/>
        </w:rPr>
        <w:t xml:space="preserve">Poverenik je ovlašćen da upozorava javnost na najčešće, tipične i teške slučajeve diskriminacije, kao i da preporučuje organima javne vlasti i drugim licima preduzimanje mera za ostvarivanje ravnopravnosti. </w:t>
      </w:r>
    </w:p>
    <w:p w:rsidR="00D6495D" w:rsidRPr="00D6495D" w:rsidRDefault="00D6495D" w:rsidP="00D6495D">
      <w:pPr>
        <w:spacing w:after="100" w:afterAutospacing="1" w:line="276" w:lineRule="auto"/>
        <w:rPr>
          <w:rFonts w:cs="Arial"/>
        </w:rPr>
      </w:pPr>
      <w:r w:rsidRPr="00D6495D">
        <w:rPr>
          <w:rFonts w:cs="Arial"/>
        </w:rPr>
        <w:t xml:space="preserve">Poverenik Narodnoj skupštini Republike Srbije podnosi redovan godišnji izveštaj o radu, koji sadrži i ocenu stanja u oblasti zaštite ravnopravnosti, a ako postoje naročito važni razlozi, može samoinicijativno ili na zahtev Narodne skupštine da podnosi i posebne izveštaje. Svaki </w:t>
      </w:r>
      <w:r w:rsidRPr="00D6495D">
        <w:rPr>
          <w:rFonts w:cs="Arial"/>
        </w:rPr>
        <w:lastRenderedPageBreak/>
        <w:t>izveštaj sadrži preporuke za preduzimanje mera čiji je cilj prevazilaženje uočenih slabosti ili delotvornije sprečavanje i suzbijanje diskriminacije.</w:t>
      </w:r>
    </w:p>
    <w:p w:rsidR="00D6495D" w:rsidRPr="00D6495D" w:rsidRDefault="00D6495D" w:rsidP="00D6495D">
      <w:pPr>
        <w:spacing w:after="100" w:afterAutospacing="1" w:line="276" w:lineRule="auto"/>
        <w:rPr>
          <w:rFonts w:cs="Arial"/>
        </w:rPr>
      </w:pPr>
      <w:r w:rsidRPr="00D6495D">
        <w:rPr>
          <w:rFonts w:cs="Arial"/>
        </w:rPr>
        <w:t>Poverenik prati sprovođenje  zakona i drugih propisa, inicira donošenje ili izmenu propisa radi sprovođenja i unapređivanja zaštite od diskriminacije i daje mišljenja o odredbama nacrta zakona i drugih propisa koji se tiču zabrana diskriminacije.</w:t>
      </w:r>
    </w:p>
    <w:p w:rsidR="00D6495D" w:rsidRPr="00D6495D" w:rsidRDefault="00D6495D" w:rsidP="00D6495D">
      <w:pPr>
        <w:spacing w:after="100" w:afterAutospacing="1" w:line="276" w:lineRule="auto"/>
        <w:rPr>
          <w:rFonts w:cs="Arial"/>
        </w:rPr>
      </w:pPr>
      <w:r w:rsidRPr="00D6495D">
        <w:rPr>
          <w:rFonts w:cs="Arial"/>
        </w:rPr>
        <w:t>Takođe, Poverenik uspostavlja i održava saradnju s organima nadležnim za ostvarivanje ravnopravnosti i zaštitu ljudskih prava na teritoriji autonomne pokrajine i  lokalne samouprave.</w:t>
      </w:r>
    </w:p>
    <w:p w:rsidR="00BF3D2E" w:rsidRDefault="00D6495D" w:rsidP="00BF3D2E">
      <w:pPr>
        <w:spacing w:after="0" w:line="276" w:lineRule="auto"/>
        <w:rPr>
          <w:rFonts w:cs="Arial"/>
          <w:lang w:val="sr-Latn-RS"/>
        </w:rPr>
      </w:pPr>
      <w:r w:rsidRPr="00D6495D">
        <w:rPr>
          <w:rFonts w:cs="Arial"/>
        </w:rPr>
        <w:t>Poverenik ostvaruje saradnju i s organizacijama civilnog društva, međunarodnim i domaćim organizacijama i institucijama koje se bave zaštitom ljudskih prava.</w:t>
      </w:r>
    </w:p>
    <w:p w:rsidR="00BF3D2E" w:rsidRDefault="00BF3D2E" w:rsidP="00BF3D2E">
      <w:pPr>
        <w:spacing w:after="0" w:line="276" w:lineRule="auto"/>
        <w:rPr>
          <w:rFonts w:cs="Arial"/>
          <w:lang w:val="sr-Latn-RS"/>
        </w:rPr>
      </w:pPr>
    </w:p>
    <w:p w:rsidR="00BF3D2E" w:rsidRDefault="00BF3D2E" w:rsidP="00BF3D2E">
      <w:pPr>
        <w:spacing w:after="0" w:line="276" w:lineRule="auto"/>
        <w:rPr>
          <w:rFonts w:cs="Arial"/>
          <w:lang w:val="sr-Latn-RS"/>
        </w:rPr>
      </w:pPr>
    </w:p>
    <w:p w:rsidR="00BF3D2E" w:rsidRDefault="004950B3" w:rsidP="00D93153">
      <w:pPr>
        <w:pStyle w:val="Heading2"/>
        <w:numPr>
          <w:ilvl w:val="1"/>
          <w:numId w:val="40"/>
        </w:numPr>
        <w:rPr>
          <w:lang w:val="sr-Latn-RS"/>
        </w:rPr>
      </w:pPr>
      <w:r>
        <w:rPr>
          <w:lang w:val="sr-Latn-RS"/>
        </w:rPr>
        <w:t>Stručna služba Poverenika</w:t>
      </w:r>
      <w:bookmarkStart w:id="4" w:name="_Toc477248594"/>
      <w:bookmarkStart w:id="5" w:name="_Toc477251719"/>
    </w:p>
    <w:p w:rsidR="00BF3D2E" w:rsidRDefault="004950B3" w:rsidP="00BF3D2E">
      <w:pPr>
        <w:spacing w:after="0" w:line="276" w:lineRule="auto"/>
        <w:rPr>
          <w:rFonts w:cs="Arial"/>
          <w:lang w:val="sr-Latn-RS"/>
        </w:rPr>
      </w:pPr>
      <w:r w:rsidRPr="004950B3">
        <w:rPr>
          <w:rFonts w:cs="Arial"/>
        </w:rPr>
        <w:t xml:space="preserve">Zakonom o zabrani diskriminacije propisano je da Poverenik ima stručnu službu koja mu pomaže u vršenju njegovih nadležnosti. Od svog osnivanja, stručna služba Poverenika se konstantno razvijala i jačala kapacitete, u skladu s postojećim uslovima. </w:t>
      </w:r>
    </w:p>
    <w:p w:rsidR="00BF3D2E" w:rsidRDefault="004950B3" w:rsidP="00BF3D2E">
      <w:pPr>
        <w:spacing w:after="0" w:line="276" w:lineRule="auto"/>
        <w:rPr>
          <w:rFonts w:cs="Arial"/>
          <w:lang w:val="sr-Latn-RS"/>
        </w:rPr>
      </w:pPr>
      <w:r w:rsidRPr="004950B3">
        <w:rPr>
          <w:rFonts w:cs="Arial"/>
        </w:rPr>
        <w:t>Zaključkom Komisije za stambena pitanja i raspodelu službenih zgrada i poslovnih prostorija Vlade Republike Srbije, 77 broj 361-11575/2015, od 30. oktobra 2015. godine, Povereniku je dodeljen adekvatan poslovni prostor u Bulevaru kralja Aleksandra br. 84, ukupne površine od 1.008 m2. Nakon renoviranja, od oktobra 2016. godine Poverenik za zaštitu ravnopravnosti se preselio u novi prostor, čime su stvoreni uslovi da se sedištu Poverenika pripoji prijemna kancelarija, koja je do useljenja u nove prostorije bila odvojena od sedišta organa i nalazila se u poslovnom prostoru organa državne uprave, što je otežavalo organizaciju rada Poverenika za zaštitu ravnopravnosti.</w:t>
      </w:r>
    </w:p>
    <w:p w:rsidR="00BF3D2E" w:rsidRDefault="004950B3" w:rsidP="00BF3D2E">
      <w:pPr>
        <w:spacing w:after="0" w:line="276" w:lineRule="auto"/>
        <w:rPr>
          <w:rFonts w:cs="Arial"/>
          <w:lang w:val="sr-Latn-RS"/>
        </w:rPr>
      </w:pPr>
      <w:r w:rsidRPr="004950B3">
        <w:rPr>
          <w:rFonts w:cs="Arial"/>
        </w:rPr>
        <w:t xml:space="preserve">Pored toga, unapređenjem prostornih kapaciteta stvoreni su uslovi za prijem novih zaposlenih u radni odnos na neodređeno vreme. Naime, u stručnoj službi Poverenika za zaštitu ravnopravnosti popunjenost sistematizovanih radnih mesta iznosi 50% (31 zaposleni na neodređeno vreme). Dinamika i obim poslova koji se obavljaju u stručnoj službi Poverenika ukazuju na neophodnost jačanja kadrovskih kapaciteta, tako da je kadrovskim planom za 2017. godinu planirano da stručna služba Poverenika u ovoj godini ima ukupno 50 zaposlenih (bez lica koja bira Narodna skupština – poverenica), od ukupno 60 izvršilaca predviđenih Pravilnikom o unutrašnjem uređenju i sistematizaciji radnih mesta u stručnoj službi Poverenika za zaštitu ravnopravnosti i Odlukom o maksimalnom broju zaposlenih na neodređeno vreme u stručnoj službi Poverenika za zaštitu ravnopravnosti, koju je donela Narodna skupština Republike Srbije. </w:t>
      </w:r>
    </w:p>
    <w:p w:rsidR="004950B3" w:rsidRPr="004950B3" w:rsidRDefault="004950B3" w:rsidP="00BF3D2E">
      <w:pPr>
        <w:spacing w:after="0" w:line="276" w:lineRule="auto"/>
        <w:rPr>
          <w:rFonts w:cs="Arial"/>
          <w:b/>
          <w:bCs/>
        </w:rPr>
      </w:pPr>
      <w:r w:rsidRPr="004950B3">
        <w:rPr>
          <w:rFonts w:cs="Arial"/>
        </w:rPr>
        <w:t xml:space="preserve">Kao i u prethodnom periodu, Regionalna kancelarija Povernika u Novom Pazaru je i u ovom izveštajnom periodu imala izuzetno mali broj obraćanja lokalnog stanovništva po bilo kom osnovu. </w:t>
      </w:r>
    </w:p>
    <w:p w:rsidR="004950B3" w:rsidRPr="004950B3" w:rsidRDefault="004950B3" w:rsidP="004950B3">
      <w:pPr>
        <w:pStyle w:val="Heading2"/>
        <w:spacing w:after="100" w:afterAutospacing="1" w:line="276" w:lineRule="auto"/>
        <w:rPr>
          <w:rFonts w:ascii="Arial" w:eastAsia="Calibri" w:hAnsi="Arial" w:cs="Arial"/>
          <w:b w:val="0"/>
          <w:bCs w:val="0"/>
          <w:spacing w:val="0"/>
          <w:sz w:val="22"/>
          <w:szCs w:val="22"/>
        </w:rPr>
      </w:pPr>
      <w:r w:rsidRPr="004950B3">
        <w:rPr>
          <w:rFonts w:ascii="Arial" w:eastAsia="Calibri" w:hAnsi="Arial" w:cs="Arial"/>
          <w:b w:val="0"/>
          <w:bCs w:val="0"/>
          <w:spacing w:val="0"/>
          <w:sz w:val="22"/>
          <w:szCs w:val="22"/>
        </w:rPr>
        <w:lastRenderedPageBreak/>
        <w:t>Zaposleni u stručnoj službi Poverenika se kontinuirano upućuju na obuke i seminare koji doprinose unapređenju rada i profesionalnih kompetencija. U protekloj godini zaposleni su pohađali veliki broj radionica, obuka i stručnih seminara organizovanih s ciljem unapređenja znanja i razmene iskustava. NJima su bile obuhvaćene različite teme i oblasti, kao što su: obuka iz pravnog engleskog, program „When Citizens Complain“, radionice na temu ljudskih prava i međunarodne saradnje, vođenja strateških parnica, seminar na temu diskriminacije na osnovu rase i etničkog porekla, stručni seminari iz oblasti javnih nabavki, pristupa informacijama od javnog značaja, seminar na temu etike i integriteta u javnom sektoru, prevencija korupcije i dr. U oblasti unapređenja međunarodne saradnje, jedna zaposlena je završila Osnovni program diplomatske obuke, s maksimalnom prosečnom ocenom 10, što je ujedno i najbolji ostvareni uspeh u istoriji Diplomatske akademije. Zaposleni u stručnoj službi su u toku 2016. godine aktivno učestvovali u radu radnih grupa Evropske mreže tela za ravnopravnost (Ekvinet).</w:t>
      </w:r>
    </w:p>
    <w:p w:rsidR="004950B3" w:rsidRPr="004950B3" w:rsidRDefault="004950B3" w:rsidP="004950B3">
      <w:pPr>
        <w:pStyle w:val="Heading2"/>
        <w:spacing w:after="100" w:afterAutospacing="1" w:line="276" w:lineRule="auto"/>
        <w:rPr>
          <w:rFonts w:ascii="Arial" w:eastAsia="Calibri" w:hAnsi="Arial" w:cs="Arial"/>
          <w:b w:val="0"/>
          <w:bCs w:val="0"/>
          <w:spacing w:val="0"/>
          <w:sz w:val="22"/>
          <w:szCs w:val="22"/>
        </w:rPr>
      </w:pPr>
      <w:r w:rsidRPr="004950B3">
        <w:rPr>
          <w:rFonts w:ascii="Arial" w:eastAsia="Calibri" w:hAnsi="Arial" w:cs="Arial"/>
          <w:b w:val="0"/>
          <w:bCs w:val="0"/>
          <w:spacing w:val="0"/>
          <w:sz w:val="22"/>
          <w:szCs w:val="22"/>
        </w:rPr>
        <w:t>Postignut nivo znanja, stručnost i iskustvo zaposlenih u stručnoj službi Poverenika omogućavaju im da i sami drže obuke i seminare iz oblasti antidiskriminacionog prava za različite profesionalne grupe i najširu javnost. U toku 2016. godine zaposleni su održali više seminara o zaštiti od diskriminacije za službenike zaposlene u državnoj upravi, u okviru programa obuke Službe za upravljanje kadrovima. Pored toga, održane su obuke za policijske službenike i službenice o prepoznavanju diskriminacije i reagovanju na nju, treninzi za trenere nosioce pravosudnih funkcija u oblasti antidiskriminacionog zakonodavstva, kao i niz obuka za matičare i zaposlene u centrima za socijalni rad i policijskim upravama o ravnopravnosti u ostvarivanju prava u oblasti državljanstva i za predstavnike lokalnih samouprava o pravima interno raseljenih lica u kontekstu zabrane diskriminacije. Studenti i studentkinje Pravnog fakulteta Univerziteta u Beogradu prošli su obuku Poverenika o procesnopravnim aspektima zaštite od diskriminacije, dok su predstavnici medija i organizacija civilnog društva stekli nova znanja o suzbijanju diskriminacije i praksi Poverenika.</w:t>
      </w:r>
    </w:p>
    <w:p w:rsidR="004950B3" w:rsidRDefault="004950B3" w:rsidP="004950B3">
      <w:pPr>
        <w:pStyle w:val="Heading2"/>
        <w:spacing w:after="100" w:afterAutospacing="1" w:line="276" w:lineRule="auto"/>
        <w:rPr>
          <w:rFonts w:ascii="Arial" w:eastAsia="Calibri" w:hAnsi="Arial" w:cs="Arial"/>
          <w:b w:val="0"/>
          <w:bCs w:val="0"/>
          <w:spacing w:val="0"/>
          <w:sz w:val="22"/>
          <w:szCs w:val="22"/>
          <w:lang w:val="sr-Latn-RS"/>
        </w:rPr>
      </w:pPr>
      <w:r w:rsidRPr="004950B3">
        <w:rPr>
          <w:rFonts w:ascii="Arial" w:eastAsia="Calibri" w:hAnsi="Arial" w:cs="Arial"/>
          <w:b w:val="0"/>
          <w:bCs w:val="0"/>
          <w:spacing w:val="0"/>
          <w:sz w:val="22"/>
          <w:szCs w:val="22"/>
        </w:rPr>
        <w:t>U saradnji s Američkom agencijom za međunarodni razvoj (USAID) i uz podršku Projekta za reformu pravosuđa i odgovornu vlast, Poverenik je tokom 2016. godine izradio novu internet prezentaciju, koja je obogaćena novim sadržajima i unapređena u pogledu dostupnosti sadržaja osobama sa oštećenim sluhom i vidom. Pored toga, u nastojanju da bude dostupniji građanima, Poverenik je pripremio poseban sadržaj za predstavljanje na društvenim mrežama / socijalnim medijima i podstiče interaktivnu komunikaciju posredstvom svojih zvaničnih naloga na fejsbuku, tviteru i jutjubu (YouTube).</w:t>
      </w:r>
    </w:p>
    <w:p w:rsidR="004950B3" w:rsidRPr="004950B3" w:rsidRDefault="004950B3" w:rsidP="004950B3">
      <w:pPr>
        <w:rPr>
          <w:lang w:val="sr-Latn-RS"/>
        </w:rPr>
      </w:pPr>
    </w:p>
    <w:bookmarkEnd w:id="4"/>
    <w:bookmarkEnd w:id="5"/>
    <w:p w:rsidR="004950B3" w:rsidRPr="00135D51" w:rsidRDefault="004950B3" w:rsidP="00D93153">
      <w:pPr>
        <w:pStyle w:val="Heading2"/>
        <w:numPr>
          <w:ilvl w:val="0"/>
          <w:numId w:val="9"/>
        </w:numPr>
        <w:spacing w:after="100" w:afterAutospacing="1" w:line="276" w:lineRule="auto"/>
        <w:ind w:left="426"/>
        <w:rPr>
          <w:rFonts w:ascii="Arial" w:hAnsi="Arial" w:cs="Arial"/>
          <w:sz w:val="22"/>
          <w:szCs w:val="22"/>
        </w:rPr>
      </w:pPr>
      <w:r>
        <w:rPr>
          <w:rFonts w:ascii="Arial" w:hAnsi="Arial" w:cs="Arial"/>
          <w:sz w:val="22"/>
          <w:szCs w:val="22"/>
          <w:lang w:val="sr-Latn-RS"/>
        </w:rPr>
        <w:t xml:space="preserve">Strateški plan Poverenika za zaštitu ravnopravnosti </w:t>
      </w:r>
      <w:r w:rsidRPr="00135D51">
        <w:rPr>
          <w:rFonts w:ascii="Arial" w:hAnsi="Arial" w:cs="Arial"/>
          <w:sz w:val="22"/>
          <w:szCs w:val="22"/>
        </w:rPr>
        <w:t>2016</w:t>
      </w:r>
      <w:r>
        <w:rPr>
          <w:rFonts w:ascii="Arial" w:hAnsi="Arial" w:cs="Arial"/>
          <w:sz w:val="22"/>
          <w:szCs w:val="22"/>
        </w:rPr>
        <w:t>–</w:t>
      </w:r>
      <w:r w:rsidRPr="00135D51">
        <w:rPr>
          <w:rFonts w:ascii="Arial" w:hAnsi="Arial" w:cs="Arial"/>
          <w:sz w:val="22"/>
          <w:szCs w:val="22"/>
        </w:rPr>
        <w:t>2020. године</w:t>
      </w:r>
    </w:p>
    <w:p w:rsidR="0095246E" w:rsidRPr="0095246E" w:rsidRDefault="0095246E" w:rsidP="0095246E">
      <w:pPr>
        <w:spacing w:after="100" w:afterAutospacing="1" w:line="276" w:lineRule="auto"/>
        <w:rPr>
          <w:rFonts w:cs="Arial"/>
        </w:rPr>
      </w:pPr>
      <w:r w:rsidRPr="0095246E">
        <w:rPr>
          <w:rFonts w:cs="Arial"/>
        </w:rPr>
        <w:t>Poverenik za zaštitu ravnopravnosti doneo je svoju prvu Strategiju razvoja institucije u maju 2012. godine</w:t>
      </w:r>
      <w:r w:rsidR="000B6D58">
        <w:rPr>
          <w:rStyle w:val="FootnoteReference"/>
          <w:rFonts w:cs="Arial"/>
        </w:rPr>
        <w:footnoteReference w:id="12"/>
      </w:r>
      <w:r w:rsidRPr="0095246E">
        <w:rPr>
          <w:rFonts w:cs="Arial"/>
        </w:rPr>
        <w:t xml:space="preserve">.  S obzirom na to da je istekao period za koji je doneta ova strategija, blagovremeno su započete aktivnosti na izradi novog Strateškog plana Poverenika za zaštitu ravnopravnosti 2016–2020. Uz aktivno učešće svih zaposlenih u stručnoj službi Poverenika, </w:t>
      </w:r>
      <w:r w:rsidRPr="0095246E">
        <w:rPr>
          <w:rFonts w:cs="Arial"/>
        </w:rPr>
        <w:lastRenderedPageBreak/>
        <w:t>a uz pomoć i podršku Nemačke organizacije za tehničku saradnju (GIZ) Srbija, izvršena je evaluacija prethodne strategije. Analizirani su ostvareni rezultati u kontekstu projektovanih ciljeva, teškoća i izazova s kojima se Poverenik susretao u svom radu.</w:t>
      </w:r>
    </w:p>
    <w:p w:rsidR="0095246E" w:rsidRPr="0095246E" w:rsidRDefault="0095246E" w:rsidP="0095246E">
      <w:pPr>
        <w:spacing w:after="100" w:afterAutospacing="1" w:line="276" w:lineRule="auto"/>
        <w:rPr>
          <w:rFonts w:cs="Arial"/>
        </w:rPr>
      </w:pPr>
      <w:r w:rsidRPr="0095246E">
        <w:rPr>
          <w:rFonts w:cs="Arial"/>
        </w:rPr>
        <w:t xml:space="preserve">Evaluacija prethodne strategije pokazala je određeni stepen izvršenja postavljenih strateških ciljeva i zadataka. Analiza je takođe pokazala da su pojedini strateški zadaci bili preširoko i preambiciozno postavljeni. Osim toga, određene ciljeve i zadatke nije bilo moguće realizovati u potpunosti ili u planiranim rokovima, zbog nedostatka sredstava i nedovoljnih kapaciteta, koji se nisu razvijali planiranom brzinom, a od nekih zadataka se potpuno odustalo u toku realizacije Strategije. </w:t>
      </w:r>
    </w:p>
    <w:p w:rsidR="0095246E" w:rsidRPr="0095246E" w:rsidRDefault="0095246E" w:rsidP="0095246E">
      <w:pPr>
        <w:spacing w:after="100" w:afterAutospacing="1" w:line="276" w:lineRule="auto"/>
        <w:rPr>
          <w:rFonts w:cs="Arial"/>
        </w:rPr>
      </w:pPr>
      <w:r w:rsidRPr="0095246E">
        <w:rPr>
          <w:rFonts w:cs="Arial"/>
        </w:rPr>
        <w:t>Tokom procesa strateškog planiranja za naredni petogodišnji period određena su tri opšta cilja: 1) zaštita od diskriminacije; 2) unapređenje ravnopravnosti; i 3) unapređenje kapaciteta Poverenika za zaštitu ravnopravnosti. U okviru svakog cilja definisani su posebni ciljevi i aktivnosti.</w:t>
      </w:r>
    </w:p>
    <w:p w:rsidR="0095246E" w:rsidRPr="0095246E" w:rsidRDefault="0095246E" w:rsidP="0095246E">
      <w:pPr>
        <w:spacing w:after="100" w:afterAutospacing="1" w:line="276" w:lineRule="auto"/>
        <w:rPr>
          <w:rFonts w:cs="Arial"/>
        </w:rPr>
      </w:pPr>
      <w:r w:rsidRPr="0095246E">
        <w:rPr>
          <w:rFonts w:cs="Arial"/>
        </w:rPr>
        <w:t>Postavljeni opšti cilj koji se odnosi na zaštitu od diskriminacije podrazumeva obezbeđivanje funkcionisanja efikasnog mehanizma zaštite građana od diskriminacije, njegovo stalno unapređenje, kao i podizanje nivoa informisanosti građana o mogućnostima i načinima zaštite od diskriminacije. U okviru ovog opšteg cilja postavljena su dva posebna cilja: a) unapređenje pravnog okvira i razvoj sistema praćenja stanja u oblasti zaštite ravnopravnosti i b) povećanje informisanosti javnosti o vidovima zaštite od diskriminacije koje pruža Poverenik.</w:t>
      </w:r>
    </w:p>
    <w:p w:rsidR="0095246E" w:rsidRPr="0095246E" w:rsidRDefault="0095246E" w:rsidP="0095246E">
      <w:pPr>
        <w:spacing w:after="100" w:afterAutospacing="1" w:line="276" w:lineRule="auto"/>
        <w:rPr>
          <w:rFonts w:cs="Arial"/>
        </w:rPr>
      </w:pPr>
      <w:r w:rsidRPr="0095246E">
        <w:rPr>
          <w:rFonts w:cs="Arial"/>
        </w:rPr>
        <w:t>Unapređenje ravnopravnosti podrazumeva preventivno delovanje Poverenika i ostvarivanje šireg uticaja u pogledu suzbijanja diskriminacije i omogućavanja uživanja i zaštite Ustavom garantovanog prava na ravnopravnost. U narednom petogodišnjem periodu planirano je da se ostvaruje dostizanjem četiri operativna cilja: a) stvaranje preduslova za smanjenje najčešće zastupljenih vidova diskriminacije; b) održavanje i unapređenje saradnje s organizacijama koje se bave ostvarivanjem ravnopravnosti i zaštitom ljudskih prava u zemlji i inostranstvu; v) održavanje i unapređenje saradnje s organima javne vlasti; i g) podizanje svesti građana o diskriminaciji kao negativnoj društvenoj pojavi.</w:t>
      </w:r>
    </w:p>
    <w:p w:rsidR="00B16096" w:rsidRDefault="0095246E" w:rsidP="0095246E">
      <w:pPr>
        <w:spacing w:after="100" w:afterAutospacing="1" w:line="276" w:lineRule="auto"/>
        <w:rPr>
          <w:rFonts w:cs="Arial"/>
          <w:lang w:val="sr-Latn-RS"/>
        </w:rPr>
      </w:pPr>
      <w:r w:rsidRPr="0095246E">
        <w:rPr>
          <w:rFonts w:cs="Arial"/>
        </w:rPr>
        <w:t>Bolji uslovi rada stručne službe Poverenika i kontinuirano jačanje kapaciteta zaposlenih doprineće daljem unapređenju rada Poverenika i razvoju stručne službe kao efektivno organizovanog i efikasnog servisa građana.</w:t>
      </w:r>
    </w:p>
    <w:p w:rsidR="000B6D58" w:rsidRPr="000B6D58" w:rsidRDefault="000B6D58" w:rsidP="0095246E">
      <w:pPr>
        <w:spacing w:after="100" w:afterAutospacing="1" w:line="276" w:lineRule="auto"/>
        <w:rPr>
          <w:rFonts w:eastAsia="SimSun" w:cs="Arial"/>
          <w:color w:val="000000"/>
          <w:lang w:val="sr-Latn-RS" w:eastAsia="ar-SA"/>
        </w:rPr>
      </w:pPr>
    </w:p>
    <w:p w:rsidR="00135D51" w:rsidRPr="00135D51" w:rsidRDefault="00C668DD" w:rsidP="00135D51">
      <w:pPr>
        <w:pStyle w:val="Heading1"/>
        <w:spacing w:line="276" w:lineRule="auto"/>
        <w:ind w:left="0" w:firstLine="0"/>
        <w:jc w:val="both"/>
        <w:rPr>
          <w:rFonts w:cs="Arial"/>
          <w:szCs w:val="22"/>
        </w:rPr>
      </w:pPr>
      <w:bookmarkStart w:id="6" w:name="_Toc477248595"/>
      <w:bookmarkStart w:id="7" w:name="_Toc477251720"/>
      <w:r>
        <w:rPr>
          <w:rFonts w:cs="Arial"/>
          <w:szCs w:val="22"/>
          <w:lang w:val="sr-Latn-RS"/>
        </w:rPr>
        <w:t>NORMATIVNI OKVIR OSTVARIVANJA I ZAŠTITE RAVNOPRAVNOSTI</w:t>
      </w:r>
      <w:bookmarkEnd w:id="6"/>
      <w:bookmarkEnd w:id="7"/>
    </w:p>
    <w:p w:rsidR="00135D51" w:rsidRPr="00135D51" w:rsidRDefault="00135D51" w:rsidP="00135D51">
      <w:pPr>
        <w:spacing w:line="276" w:lineRule="auto"/>
        <w:rPr>
          <w:rFonts w:cs="Arial"/>
        </w:rPr>
      </w:pPr>
    </w:p>
    <w:p w:rsidR="00135D51" w:rsidRPr="00135D51" w:rsidRDefault="00C668DD" w:rsidP="00D93153">
      <w:pPr>
        <w:pStyle w:val="Heading2"/>
        <w:numPr>
          <w:ilvl w:val="0"/>
          <w:numId w:val="10"/>
        </w:numPr>
        <w:spacing w:after="100" w:afterAutospacing="1" w:line="276" w:lineRule="auto"/>
        <w:ind w:left="426"/>
        <w:rPr>
          <w:rFonts w:ascii="Arial" w:eastAsia="Calibri" w:hAnsi="Arial" w:cs="Arial"/>
          <w:sz w:val="22"/>
          <w:szCs w:val="22"/>
        </w:rPr>
      </w:pPr>
      <w:r>
        <w:rPr>
          <w:rFonts w:ascii="Arial" w:eastAsia="Calibri" w:hAnsi="Arial" w:cs="Arial"/>
          <w:sz w:val="22"/>
          <w:szCs w:val="22"/>
          <w:lang w:val="sr-Latn-RS"/>
        </w:rPr>
        <w:t>Pregled važećih propisa</w:t>
      </w:r>
    </w:p>
    <w:p w:rsidR="003620DC" w:rsidRPr="003620DC" w:rsidRDefault="003620DC" w:rsidP="003620DC">
      <w:pPr>
        <w:spacing w:after="100" w:afterAutospacing="1" w:line="276" w:lineRule="auto"/>
        <w:rPr>
          <w:rFonts w:cs="Arial"/>
        </w:rPr>
      </w:pPr>
      <w:r w:rsidRPr="003620DC">
        <w:rPr>
          <w:rFonts w:cs="Arial"/>
        </w:rPr>
        <w:t xml:space="preserve">Republika Srbija je proteklih godina izgradila valjan antidiskriminacioni okvir. Razumevajući važnost poštovanja ljudskih prava i nediskriminacije, ratifikovala je najvažnije univerzalne i regionalne sporazume u oblasti ljudskih prava i zabrane diskriminacije. </w:t>
      </w:r>
    </w:p>
    <w:p w:rsidR="003620DC" w:rsidRDefault="003620DC" w:rsidP="003620DC">
      <w:pPr>
        <w:spacing w:after="100" w:afterAutospacing="1" w:line="276" w:lineRule="auto"/>
        <w:rPr>
          <w:rFonts w:cs="Arial"/>
          <w:lang w:val="sr-Latn-RS"/>
        </w:rPr>
      </w:pPr>
      <w:r w:rsidRPr="003620DC">
        <w:rPr>
          <w:rFonts w:cs="Arial"/>
        </w:rPr>
        <w:lastRenderedPageBreak/>
        <w:t>Diskriminacija je zabranjena Ustavom Republike Srbije</w:t>
      </w:r>
      <w:r w:rsidR="00435BB5">
        <w:rPr>
          <w:rStyle w:val="FootnoteReference"/>
          <w:rFonts w:cs="Arial"/>
        </w:rPr>
        <w:footnoteReference w:id="13"/>
      </w:r>
      <w:r w:rsidRPr="003620DC">
        <w:rPr>
          <w:rFonts w:cs="Arial"/>
        </w:rPr>
        <w:t xml:space="preserve"> , koji u članu 21. propisuje da su pred Ustavom i zakonom svi jednaki, da svako ima pravo na jednaku zakonsku zaštitu, bez diskriminacije, da je zabranjena svaka diskriminacija, neposredna ili posredna, po bilo kom osnovu, a naročito po osnovu rase, pola, nacionalne pripadnosti, društvenog porekla, rođenja, veroispovesti, političkog ili drugog uverenja, imovnog stanja, kulture, jezika, starosti i psihičkog ili fizičkog invaliditeta. Pored toga, Ustavom je propisano da se ne smatraju diskriminacijom posebne mere koje Republika Srbija može uvesti radi postizanja pune ravnopravnosti lica ili grupe lica koja su suštinski u nejednakom položaju sa ostalim građanima.</w:t>
      </w:r>
    </w:p>
    <w:p w:rsidR="003620DC" w:rsidRPr="003620DC" w:rsidRDefault="003620DC" w:rsidP="003620DC">
      <w:pPr>
        <w:spacing w:after="100" w:afterAutospacing="1" w:line="276" w:lineRule="auto"/>
        <w:rPr>
          <w:rFonts w:cs="Arial"/>
        </w:rPr>
      </w:pPr>
      <w:r w:rsidRPr="003620DC">
        <w:rPr>
          <w:rFonts w:cs="Arial"/>
        </w:rPr>
        <w:t>Ustavna zabrana diskriminacije bliže je razrađena Zakonom o zabrani diskriminacije</w:t>
      </w:r>
      <w:r w:rsidR="00435BB5">
        <w:rPr>
          <w:rStyle w:val="FootnoteReference"/>
          <w:rFonts w:cs="Arial"/>
        </w:rPr>
        <w:footnoteReference w:id="14"/>
      </w:r>
      <w:r w:rsidRPr="003620DC">
        <w:rPr>
          <w:rFonts w:cs="Arial"/>
        </w:rPr>
        <w:t xml:space="preserve"> , koji na detaljan način uređuje opštu zabranu diskriminacije, oblike i slučajeve diskriminacije, kao i postupke zaštite od diskriminacije.  Doneti su i posebni antidiskriminacioni zakoni: Zakon o zaštiti prava i sloboda nacionalnih manjina</w:t>
      </w:r>
      <w:r w:rsidR="00435BB5">
        <w:rPr>
          <w:rStyle w:val="FootnoteReference"/>
          <w:rFonts w:cs="Arial"/>
        </w:rPr>
        <w:footnoteReference w:id="15"/>
      </w:r>
      <w:r w:rsidRPr="003620DC">
        <w:rPr>
          <w:rFonts w:cs="Arial"/>
        </w:rPr>
        <w:t xml:space="preserve"> , Zakon o sprečavanju diskriminacije osoba sa invaliditetom</w:t>
      </w:r>
      <w:r w:rsidR="00435BB5">
        <w:rPr>
          <w:rStyle w:val="FootnoteReference"/>
          <w:rFonts w:cs="Arial"/>
        </w:rPr>
        <w:footnoteReference w:id="16"/>
      </w:r>
      <w:r w:rsidRPr="003620DC">
        <w:rPr>
          <w:rFonts w:cs="Arial"/>
        </w:rPr>
        <w:t xml:space="preserve">  i Zakon o ravnopravnosti polova</w:t>
      </w:r>
      <w:r w:rsidR="00435BB5">
        <w:rPr>
          <w:rStyle w:val="FootnoteReference"/>
          <w:rFonts w:cs="Arial"/>
        </w:rPr>
        <w:footnoteReference w:id="17"/>
      </w:r>
      <w:r w:rsidRPr="003620DC">
        <w:rPr>
          <w:rFonts w:cs="Arial"/>
        </w:rPr>
        <w:t xml:space="preserve"> . Pored toga, antidiskriminacione odredbe su sadržane u mnogim zakonima kojima se uređuju pojedine oblasti društvenih odnosa: Zakon o radu</w:t>
      </w:r>
      <w:r w:rsidR="00D95BB2">
        <w:rPr>
          <w:rStyle w:val="FootnoteReference"/>
          <w:rFonts w:cs="Arial"/>
        </w:rPr>
        <w:footnoteReference w:id="18"/>
      </w:r>
      <w:r w:rsidRPr="003620DC">
        <w:rPr>
          <w:rFonts w:cs="Arial"/>
        </w:rPr>
        <w:t xml:space="preserve"> , Zakon o profesionalnoj rehabilitaciji i zapošljavanju osoba sa invaliditetom</w:t>
      </w:r>
      <w:r w:rsidR="003867CD">
        <w:rPr>
          <w:rStyle w:val="FootnoteReference"/>
          <w:rFonts w:cs="Arial"/>
        </w:rPr>
        <w:footnoteReference w:id="19"/>
      </w:r>
      <w:r w:rsidRPr="003620DC">
        <w:rPr>
          <w:rFonts w:cs="Arial"/>
        </w:rPr>
        <w:t xml:space="preserve"> , Zakon o zdravstvenoj zaštiti</w:t>
      </w:r>
      <w:r w:rsidR="003867CD">
        <w:rPr>
          <w:rStyle w:val="FootnoteReference"/>
          <w:rFonts w:cs="Arial"/>
        </w:rPr>
        <w:footnoteReference w:id="20"/>
      </w:r>
      <w:r w:rsidRPr="003620DC">
        <w:rPr>
          <w:rFonts w:cs="Arial"/>
        </w:rPr>
        <w:t xml:space="preserve"> , Zakon o osnovama sistema obrazovanja i vaspitanja</w:t>
      </w:r>
      <w:r w:rsidR="003867CD">
        <w:rPr>
          <w:rStyle w:val="FootnoteReference"/>
          <w:rFonts w:cs="Arial"/>
        </w:rPr>
        <w:footnoteReference w:id="21"/>
      </w:r>
      <w:r w:rsidRPr="003620DC">
        <w:rPr>
          <w:rFonts w:cs="Arial"/>
        </w:rPr>
        <w:t xml:space="preserve"> , Zakon o osnovnom obrazovanju i vaspitanju</w:t>
      </w:r>
      <w:r w:rsidR="003867CD">
        <w:rPr>
          <w:rStyle w:val="FootnoteReference"/>
          <w:rFonts w:cs="Arial"/>
        </w:rPr>
        <w:footnoteReference w:id="22"/>
      </w:r>
      <w:r w:rsidRPr="003620DC">
        <w:rPr>
          <w:rFonts w:cs="Arial"/>
        </w:rPr>
        <w:t xml:space="preserve"> , Zakon o srednjem vaspitanju i obrazovanju</w:t>
      </w:r>
      <w:r w:rsidR="003867CD">
        <w:rPr>
          <w:rStyle w:val="FootnoteReference"/>
          <w:rFonts w:cs="Arial"/>
        </w:rPr>
        <w:footnoteReference w:id="23"/>
      </w:r>
      <w:r w:rsidRPr="003620DC">
        <w:rPr>
          <w:rFonts w:cs="Arial"/>
        </w:rPr>
        <w:t xml:space="preserve"> , Zakon o crkvama i verskim zajednicama</w:t>
      </w:r>
      <w:r w:rsidR="003867CD">
        <w:rPr>
          <w:rStyle w:val="FootnoteReference"/>
          <w:rFonts w:cs="Arial"/>
        </w:rPr>
        <w:footnoteReference w:id="24"/>
      </w:r>
      <w:r w:rsidRPr="003620DC">
        <w:rPr>
          <w:rFonts w:cs="Arial"/>
        </w:rPr>
        <w:t xml:space="preserve"> , Zakon o pravima pacijenata</w:t>
      </w:r>
      <w:r w:rsidR="003867CD">
        <w:rPr>
          <w:rStyle w:val="FootnoteReference"/>
          <w:rFonts w:cs="Arial"/>
        </w:rPr>
        <w:footnoteReference w:id="25"/>
      </w:r>
      <w:r w:rsidRPr="003620DC">
        <w:rPr>
          <w:rFonts w:cs="Arial"/>
        </w:rPr>
        <w:t xml:space="preserve"> , Zakon o zaštiti lica sa mentalnim smetnjama</w:t>
      </w:r>
      <w:r w:rsidR="003867CD">
        <w:rPr>
          <w:rStyle w:val="FootnoteReference"/>
          <w:rFonts w:cs="Arial"/>
        </w:rPr>
        <w:footnoteReference w:id="26"/>
      </w:r>
      <w:r w:rsidRPr="003620DC">
        <w:rPr>
          <w:rFonts w:cs="Arial"/>
        </w:rPr>
        <w:t xml:space="preserve">  Zakon o kretanju uz pomoć psa vodiča</w:t>
      </w:r>
      <w:r w:rsidR="003867CD">
        <w:rPr>
          <w:rStyle w:val="FootnoteReference"/>
          <w:rFonts w:cs="Arial"/>
        </w:rPr>
        <w:footnoteReference w:id="27"/>
      </w:r>
      <w:r w:rsidRPr="003620DC">
        <w:rPr>
          <w:rFonts w:cs="Arial"/>
        </w:rPr>
        <w:t xml:space="preserve"> , Zakon o upotrebi znakovnog jezika</w:t>
      </w:r>
      <w:r w:rsidR="003867CD">
        <w:rPr>
          <w:rStyle w:val="FootnoteReference"/>
          <w:rFonts w:cs="Arial"/>
        </w:rPr>
        <w:footnoteReference w:id="28"/>
      </w:r>
      <w:r w:rsidRPr="003620DC">
        <w:rPr>
          <w:rFonts w:cs="Arial"/>
        </w:rPr>
        <w:t xml:space="preserve">  i drugi zakoni. </w:t>
      </w:r>
    </w:p>
    <w:p w:rsidR="003620DC" w:rsidRPr="003620DC" w:rsidRDefault="003620DC" w:rsidP="003620DC">
      <w:pPr>
        <w:spacing w:after="100" w:afterAutospacing="1" w:line="276" w:lineRule="auto"/>
        <w:rPr>
          <w:rFonts w:cs="Arial"/>
        </w:rPr>
      </w:pPr>
      <w:r w:rsidRPr="003620DC">
        <w:rPr>
          <w:rFonts w:cs="Arial"/>
        </w:rPr>
        <w:t>Krivičnopravna zaštita od diskriminacije uređena je i Krivičnim zakonikom</w:t>
      </w:r>
      <w:r w:rsidR="0031654E">
        <w:rPr>
          <w:rStyle w:val="FootnoteReference"/>
          <w:rFonts w:cs="Arial"/>
        </w:rPr>
        <w:footnoteReference w:id="29"/>
      </w:r>
      <w:r w:rsidRPr="003620DC">
        <w:rPr>
          <w:rFonts w:cs="Arial"/>
        </w:rPr>
        <w:t xml:space="preserve"> , koji je u toku 2016. godine izmenjen, a izmene su prikazane u delu koji se odnosi na normativne izmene u </w:t>
      </w:r>
      <w:r w:rsidRPr="003620DC">
        <w:rPr>
          <w:rFonts w:cs="Arial"/>
        </w:rPr>
        <w:lastRenderedPageBreak/>
        <w:t xml:space="preserve">toku izveštajne godine. Navedenim zakonikom propisano je više krivičnih dela u vezi sa zabranom diskriminacije. Pored toga, kao jedina obavezna otežavajuća okolnost odredbom člana 54a Krivičnog zakonika propisana je mržnja zbog pripadnosti rasi i veroispovesti, zbog nacionalne ili etničke pripadnosti, pola, seksualne orijentacije ili rodnog identiteta, osim ako nije propisana kao obeležje krivičnog dela. </w:t>
      </w:r>
    </w:p>
    <w:p w:rsidR="003620DC" w:rsidRPr="003620DC" w:rsidRDefault="003620DC" w:rsidP="003620DC">
      <w:pPr>
        <w:spacing w:after="100" w:afterAutospacing="1" w:line="276" w:lineRule="auto"/>
        <w:rPr>
          <w:rFonts w:cs="Arial"/>
        </w:rPr>
      </w:pPr>
      <w:r w:rsidRPr="003620DC">
        <w:rPr>
          <w:rFonts w:cs="Arial"/>
        </w:rPr>
        <w:t xml:space="preserve">Republika Srbija ima uspostavljen celovit sistem pravne zaštite od diskriminacije, koji obuhvata mehanizme građanskopravne, krivičnopravne i prekršajnopravne zaštite. Važeći propisi pružaju dobar pravni okvir i adekvatne instrumente za zaštitu od diskriminacije, njeno sprečavanje i suzbijanje, u skladu s međunarodnim i evropskim standardima. </w:t>
      </w:r>
    </w:p>
    <w:p w:rsidR="003620DC" w:rsidRPr="003620DC" w:rsidRDefault="003620DC" w:rsidP="003620DC">
      <w:pPr>
        <w:spacing w:after="100" w:afterAutospacing="1" w:line="276" w:lineRule="auto"/>
        <w:rPr>
          <w:rFonts w:cs="Arial"/>
        </w:rPr>
      </w:pPr>
      <w:r w:rsidRPr="003620DC">
        <w:rPr>
          <w:rFonts w:cs="Arial"/>
        </w:rPr>
        <w:t xml:space="preserve">Vlada je donela više strateških dokumenata koji su od značaja za efikasniju primenu antidiskriminacionog zakonodavstva: </w:t>
      </w:r>
      <w:r w:rsidRPr="0031654E">
        <w:rPr>
          <w:rFonts w:cs="Arial"/>
          <w:i/>
        </w:rPr>
        <w:t>Strategiju za smanjenje siromaštva, Strategiju razvoja socijalne zaštite</w:t>
      </w:r>
      <w:r w:rsidR="0031654E">
        <w:rPr>
          <w:rStyle w:val="FootnoteReference"/>
          <w:rFonts w:cs="Arial"/>
          <w:i/>
        </w:rPr>
        <w:footnoteReference w:id="30"/>
      </w:r>
      <w:r w:rsidRPr="0031654E">
        <w:rPr>
          <w:rFonts w:cs="Arial"/>
          <w:i/>
        </w:rPr>
        <w:t xml:space="preserve"> , Nacionalnu strategiju o starenju</w:t>
      </w:r>
      <w:r w:rsidR="0031654E">
        <w:rPr>
          <w:rStyle w:val="FootnoteReference"/>
          <w:rFonts w:cs="Arial"/>
          <w:i/>
        </w:rPr>
        <w:footnoteReference w:id="31"/>
      </w:r>
      <w:r w:rsidRPr="0031654E">
        <w:rPr>
          <w:rFonts w:cs="Arial"/>
          <w:i/>
        </w:rPr>
        <w:t xml:space="preserve"> , Strategiju reintegracije povratnika po osnovu Sporazuma o readmisiji</w:t>
      </w:r>
      <w:r w:rsidR="0031654E">
        <w:rPr>
          <w:rStyle w:val="FootnoteReference"/>
          <w:rFonts w:cs="Arial"/>
          <w:i/>
        </w:rPr>
        <w:footnoteReference w:id="32"/>
      </w:r>
      <w:r w:rsidRPr="0031654E">
        <w:rPr>
          <w:rFonts w:cs="Arial"/>
          <w:i/>
        </w:rPr>
        <w:t xml:space="preserve"> , Nacionalnu strategiju za poboljšanje položaja žena i unapređivanje rodne ravnopravnosti</w:t>
      </w:r>
      <w:r w:rsidR="0031654E">
        <w:rPr>
          <w:rStyle w:val="FootnoteReference"/>
          <w:rFonts w:cs="Arial"/>
          <w:i/>
        </w:rPr>
        <w:footnoteReference w:id="33"/>
      </w:r>
      <w:r w:rsidRPr="0031654E">
        <w:rPr>
          <w:rFonts w:cs="Arial"/>
          <w:i/>
        </w:rPr>
        <w:t xml:space="preserve"> , Strategiju za unapređenje položaja Roma u Republici Srbiji</w:t>
      </w:r>
      <w:r w:rsidR="0031654E">
        <w:rPr>
          <w:rStyle w:val="FootnoteReference"/>
          <w:rFonts w:cs="Arial"/>
          <w:i/>
        </w:rPr>
        <w:footnoteReference w:id="34"/>
      </w:r>
      <w:r w:rsidRPr="0031654E">
        <w:rPr>
          <w:rFonts w:cs="Arial"/>
          <w:i/>
        </w:rPr>
        <w:t xml:space="preserve"> , Strategiju za upravljanje migracijama</w:t>
      </w:r>
      <w:r w:rsidR="0031654E">
        <w:rPr>
          <w:rStyle w:val="FootnoteReference"/>
          <w:rFonts w:cs="Arial"/>
          <w:i/>
        </w:rPr>
        <w:footnoteReference w:id="35"/>
      </w:r>
      <w:r w:rsidRPr="0031654E">
        <w:rPr>
          <w:rFonts w:cs="Arial"/>
          <w:i/>
        </w:rPr>
        <w:t xml:space="preserve"> , Strategiju razvoja sistema besplatne pravne pomoći u Republici Srbiji</w:t>
      </w:r>
      <w:r w:rsidR="0031654E">
        <w:rPr>
          <w:rStyle w:val="FootnoteReference"/>
          <w:rFonts w:cs="Arial"/>
          <w:i/>
        </w:rPr>
        <w:footnoteReference w:id="36"/>
      </w:r>
      <w:r w:rsidRPr="0031654E">
        <w:rPr>
          <w:rFonts w:cs="Arial"/>
          <w:i/>
        </w:rPr>
        <w:t xml:space="preserve"> , Strategiju o HIV infekciji i AIDS-u</w:t>
      </w:r>
      <w:r w:rsidR="0031654E">
        <w:rPr>
          <w:rStyle w:val="FootnoteReference"/>
          <w:rFonts w:cs="Arial"/>
          <w:i/>
        </w:rPr>
        <w:footnoteReference w:id="37"/>
      </w:r>
      <w:r w:rsidRPr="0031654E">
        <w:rPr>
          <w:rFonts w:cs="Arial"/>
          <w:i/>
        </w:rPr>
        <w:t xml:space="preserve"> , Nacionalnu strategiju za sprečavanje i suzbijanje nasilja nad ženama u porodici i partnerskim odnosima</w:t>
      </w:r>
      <w:r w:rsidR="0031654E">
        <w:rPr>
          <w:rStyle w:val="FootnoteReference"/>
          <w:rFonts w:cs="Arial"/>
          <w:i/>
        </w:rPr>
        <w:footnoteReference w:id="38"/>
      </w:r>
      <w:r w:rsidRPr="0031654E">
        <w:rPr>
          <w:rFonts w:cs="Arial"/>
          <w:i/>
        </w:rPr>
        <w:t xml:space="preserve"> , Nacionalnu strategiju zapošljavanja za period 2011–2020</w:t>
      </w:r>
      <w:r w:rsidR="0031654E">
        <w:rPr>
          <w:rStyle w:val="FootnoteReference"/>
          <w:rFonts w:cs="Arial"/>
          <w:i/>
        </w:rPr>
        <w:footnoteReference w:id="39"/>
      </w:r>
      <w:r w:rsidRPr="0031654E">
        <w:rPr>
          <w:rFonts w:cs="Arial"/>
          <w:i/>
        </w:rPr>
        <w:t xml:space="preserve"> , Strategiju razvoja obrazovanja u Srbiji do 2020</w:t>
      </w:r>
      <w:r w:rsidR="0031654E">
        <w:rPr>
          <w:rStyle w:val="FootnoteReference"/>
          <w:rFonts w:cs="Arial"/>
          <w:i/>
        </w:rPr>
        <w:footnoteReference w:id="40"/>
      </w:r>
      <w:r w:rsidRPr="0031654E">
        <w:rPr>
          <w:rFonts w:cs="Arial"/>
          <w:i/>
        </w:rPr>
        <w:t xml:space="preserve"> , Strategiju prevencije i zaštite od diskriminacije</w:t>
      </w:r>
      <w:r w:rsidR="0031654E">
        <w:rPr>
          <w:rStyle w:val="FootnoteReference"/>
          <w:rFonts w:cs="Arial"/>
          <w:i/>
        </w:rPr>
        <w:footnoteReference w:id="41"/>
      </w:r>
      <w:r w:rsidRPr="0031654E">
        <w:rPr>
          <w:rFonts w:cs="Arial"/>
          <w:i/>
        </w:rPr>
        <w:t xml:space="preserve"> , Nacionalnu strategiju za rešavanje pitanja izbeglica i interno raseljenih lica za period 2015–2020</w:t>
      </w:r>
      <w:r w:rsidR="0031654E">
        <w:rPr>
          <w:rStyle w:val="FootnoteReference"/>
          <w:rFonts w:cs="Arial"/>
          <w:i/>
        </w:rPr>
        <w:footnoteReference w:id="42"/>
      </w:r>
      <w:r w:rsidRPr="0031654E">
        <w:rPr>
          <w:rFonts w:cs="Arial"/>
          <w:i/>
        </w:rPr>
        <w:t xml:space="preserve"> , Strategiju razvoja sporta u Republici Srbiji za period 2014–2018</w:t>
      </w:r>
      <w:r w:rsidR="0031654E">
        <w:rPr>
          <w:rStyle w:val="FootnoteReference"/>
          <w:rFonts w:cs="Arial"/>
          <w:i/>
        </w:rPr>
        <w:footnoteReference w:id="43"/>
      </w:r>
      <w:r w:rsidRPr="0031654E">
        <w:rPr>
          <w:rFonts w:cs="Arial"/>
          <w:i/>
        </w:rPr>
        <w:t xml:space="preserve"> , Nacionalnu strategiju za mlade za period od 2015. do 2025.</w:t>
      </w:r>
      <w:r w:rsidR="0031654E">
        <w:rPr>
          <w:rStyle w:val="FootnoteReference"/>
          <w:rFonts w:cs="Arial"/>
          <w:i/>
        </w:rPr>
        <w:footnoteReference w:id="44"/>
      </w:r>
      <w:r w:rsidRPr="003620DC">
        <w:rPr>
          <w:rFonts w:cs="Arial"/>
        </w:rPr>
        <w:t xml:space="preserve">  i druge strategije. Treba imati u vidu da je pojedinim strategijama istekao period važenja za koji su donete, tako da bi u narednom periodu trebalo pristupiti donošenju novih strateških dokumenata, koji će biti zasnovani i na evaluaciji prethodnih strategija, uz uvažavanje trenutnog stanja i potreba grupa na koje se odnose.</w:t>
      </w:r>
    </w:p>
    <w:p w:rsidR="003620DC" w:rsidRPr="003620DC" w:rsidRDefault="003620DC" w:rsidP="003620DC">
      <w:pPr>
        <w:spacing w:after="100" w:afterAutospacing="1" w:line="276" w:lineRule="auto"/>
        <w:rPr>
          <w:rFonts w:cs="Arial"/>
        </w:rPr>
      </w:pPr>
      <w:r w:rsidRPr="003620DC">
        <w:rPr>
          <w:rFonts w:cs="Arial"/>
        </w:rPr>
        <w:lastRenderedPageBreak/>
        <w:t>Tokom 2016. godine već su donete neke veoma važne strategije za ostvarenje principa ravnopravnosti. U izveštajnom periodu Vlada je donela Nacionalnu strategiju za rodnu ravnopravnost za period od 2016. do 2020. godine</w:t>
      </w:r>
      <w:r w:rsidR="00DB0495">
        <w:rPr>
          <w:rStyle w:val="FootnoteReference"/>
          <w:rFonts w:cs="Arial"/>
        </w:rPr>
        <w:footnoteReference w:id="45"/>
      </w:r>
      <w:r w:rsidRPr="003620DC">
        <w:rPr>
          <w:rFonts w:cs="Arial"/>
        </w:rPr>
        <w:t xml:space="preserve"> , kao osnovni strateški dokument Republike Srbije koji se odnosi na unapređivanje rodne ravnopravnosti. Usvajanje navedene strategije predstavlja jedan od prioriteta Nacionalnog programa Republike Srbije za usvajanje pravnih tekovina Evropske unije (2014–2018). </w:t>
      </w:r>
    </w:p>
    <w:p w:rsidR="003620DC" w:rsidRPr="003620DC" w:rsidRDefault="003620DC" w:rsidP="003620DC">
      <w:pPr>
        <w:spacing w:after="100" w:afterAutospacing="1" w:line="276" w:lineRule="auto"/>
        <w:rPr>
          <w:rFonts w:cs="Arial"/>
        </w:rPr>
      </w:pPr>
      <w:r w:rsidRPr="003620DC">
        <w:rPr>
          <w:rFonts w:cs="Arial"/>
        </w:rPr>
        <w:t>U martu 2016. godine Vlada je donela Strategiju za socijalno uključivanje Roma i Romkinja u Republici Srbiji za period od 2016. do 2025. godine</w:t>
      </w:r>
      <w:r w:rsidR="00DB0495">
        <w:rPr>
          <w:rStyle w:val="FootnoteReference"/>
          <w:rFonts w:cs="Arial"/>
        </w:rPr>
        <w:footnoteReference w:id="46"/>
      </w:r>
      <w:r w:rsidRPr="003620DC">
        <w:rPr>
          <w:rFonts w:cs="Arial"/>
        </w:rPr>
        <w:t xml:space="preserve">  s ciljem daljeg unapređenja i stvaranje uslova za socijalnu uključenost – smanjenje siromaštva i suzbijanje diskriminacije Roma i Romkinja, odnosno stvaranje uslova za pun pristup ostvarivanju ljudskih prava osoba romske nacionalnosti.</w:t>
      </w:r>
    </w:p>
    <w:p w:rsidR="003620DC" w:rsidRPr="003620DC" w:rsidRDefault="003620DC" w:rsidP="003620DC">
      <w:pPr>
        <w:spacing w:after="100" w:afterAutospacing="1" w:line="276" w:lineRule="auto"/>
        <w:rPr>
          <w:rFonts w:cs="Arial"/>
        </w:rPr>
      </w:pPr>
      <w:r w:rsidRPr="003620DC">
        <w:rPr>
          <w:rFonts w:cs="Arial"/>
        </w:rPr>
        <w:t xml:space="preserve">Pored navedenog, važno je pomenuti i pojedine pravilnike organa državne uprave (ministarstava i posebnih organizacija), koji, razrađujući pojedine odredbe zakona, i u praksi značajno doprinose zabrani diskriminacije. U tom smislu je veoma značajan </w:t>
      </w:r>
      <w:r w:rsidRPr="00D17CE3">
        <w:rPr>
          <w:rFonts w:cs="Arial"/>
          <w:i/>
        </w:rPr>
        <w:t>Pravilnik o merilima i postupku za upis učenika – pripadnika romske nacionalne manjine u srednju školu pod povoljnijim uslovima radi postizanja pune ravnopravnosti</w:t>
      </w:r>
      <w:r w:rsidR="00D17CE3">
        <w:rPr>
          <w:rStyle w:val="FootnoteReference"/>
          <w:rFonts w:cs="Arial"/>
        </w:rPr>
        <w:footnoteReference w:id="47"/>
      </w:r>
      <w:r w:rsidRPr="003620DC">
        <w:rPr>
          <w:rFonts w:cs="Arial"/>
        </w:rPr>
        <w:t xml:space="preserve"> , koji je doneo ministar prosvete, nauke i tehnološkog razvoja, na osnovu člana 99. stav 3. Zakona o osnovama sistema obrazovanja i vaspitanja. Na osnovu navedenog zakonskog osnova, donet je i </w:t>
      </w:r>
      <w:r w:rsidRPr="00D17CE3">
        <w:rPr>
          <w:rFonts w:cs="Arial"/>
          <w:i/>
        </w:rPr>
        <w:t>Pravilnik o merilima i postupku za upis polaznika koji su završili program osnovnog obrazovanja odraslih u srednju školu pod povoljnijim uslovima radi postizanja pune ravnopravnosti</w:t>
      </w:r>
      <w:r w:rsidR="00D17CE3">
        <w:rPr>
          <w:rStyle w:val="FootnoteReference"/>
          <w:rFonts w:cs="Arial"/>
        </w:rPr>
        <w:footnoteReference w:id="48"/>
      </w:r>
      <w:r w:rsidRPr="003620DC">
        <w:rPr>
          <w:rFonts w:cs="Arial"/>
        </w:rPr>
        <w:t xml:space="preserve"> .</w:t>
      </w:r>
    </w:p>
    <w:p w:rsidR="003620DC" w:rsidRPr="003620DC" w:rsidRDefault="003620DC" w:rsidP="003620DC">
      <w:pPr>
        <w:spacing w:after="100" w:afterAutospacing="1" w:line="276" w:lineRule="auto"/>
        <w:rPr>
          <w:rFonts w:cs="Arial"/>
        </w:rPr>
      </w:pPr>
      <w:r w:rsidRPr="00D17CE3">
        <w:rPr>
          <w:rFonts w:cs="Arial"/>
          <w:i/>
        </w:rPr>
        <w:t>Pravilnik o bližim kriterijumima za prepoznavanje oblika diskriminacije od strane zaposlenog, deteta, učenika ili trećeg lica u ustanovi obrazovanja i vaspitanja</w:t>
      </w:r>
      <w:r w:rsidR="00D17CE3">
        <w:rPr>
          <w:rStyle w:val="FootnoteReference"/>
          <w:rFonts w:cs="Arial"/>
          <w:i/>
        </w:rPr>
        <w:footnoteReference w:id="49"/>
      </w:r>
      <w:r w:rsidRPr="003620DC">
        <w:rPr>
          <w:rFonts w:cs="Arial"/>
        </w:rPr>
        <w:t xml:space="preserve">  ministar prosvete, nauke i tehnološkog razvoja doneo je u skladu sa članom 44. stav 4. navedenog zakona. </w:t>
      </w:r>
    </w:p>
    <w:p w:rsidR="003620DC" w:rsidRPr="003620DC" w:rsidRDefault="003620DC" w:rsidP="003620DC">
      <w:pPr>
        <w:spacing w:after="100" w:afterAutospacing="1" w:line="276" w:lineRule="auto"/>
        <w:rPr>
          <w:rFonts w:cs="Arial"/>
        </w:rPr>
      </w:pPr>
      <w:r w:rsidRPr="003620DC">
        <w:rPr>
          <w:rFonts w:cs="Arial"/>
        </w:rPr>
        <w:t xml:space="preserve">U oblasti obrazovanja, a na osnovu člana 22. stav 14. i člana 24. stav 6. Zakona o udžbenicima („Službeni glasnik RS“, broj 68/15) donet je i </w:t>
      </w:r>
      <w:r w:rsidRPr="00D17CE3">
        <w:rPr>
          <w:rFonts w:cs="Arial"/>
          <w:i/>
        </w:rPr>
        <w:t>Pravilnik o načinu i postupku davanja stručne ocene i stručnog mišljenja o kvalitetu rukopisa udžbenika, priručnika i nastavnog materijala, donetih nastavnih sredstava, nastavnih pomagala, didaktičkih sredstava i didaktičkih igrovnih sredstava</w:t>
      </w:r>
      <w:r w:rsidR="00D17CE3">
        <w:rPr>
          <w:rStyle w:val="FootnoteReference"/>
          <w:rFonts w:cs="Arial"/>
          <w:i/>
        </w:rPr>
        <w:footnoteReference w:id="50"/>
      </w:r>
      <w:r w:rsidRPr="003620DC">
        <w:rPr>
          <w:rFonts w:cs="Arial"/>
        </w:rPr>
        <w:t xml:space="preserve"> , koji princip jednakih mogućnosti i zabrane diskriminacije postavlja kao osnovni princip u radu Komisije za ocenu rukopisa udžbenika.</w:t>
      </w:r>
    </w:p>
    <w:p w:rsidR="003620DC" w:rsidRPr="003620DC" w:rsidRDefault="003620DC" w:rsidP="003620DC">
      <w:pPr>
        <w:spacing w:after="100" w:afterAutospacing="1" w:line="276" w:lineRule="auto"/>
        <w:rPr>
          <w:rFonts w:cs="Arial"/>
        </w:rPr>
      </w:pPr>
      <w:r w:rsidRPr="003620DC">
        <w:rPr>
          <w:rFonts w:cs="Arial"/>
        </w:rPr>
        <w:t xml:space="preserve">U oblasti rada, zapošljavanja i zaštite na radu veoma je značajan </w:t>
      </w:r>
      <w:r w:rsidRPr="0065760C">
        <w:rPr>
          <w:rFonts w:cs="Arial"/>
          <w:i/>
        </w:rPr>
        <w:t>Pravilnik o načinu praćenja izvršavanja obaveze zapošljavanja osoba sa invaliditetom i načinu dokazivanja izvršenja te obaveze</w:t>
      </w:r>
      <w:r w:rsidR="0065760C">
        <w:rPr>
          <w:rStyle w:val="FootnoteReference"/>
          <w:rFonts w:cs="Arial"/>
        </w:rPr>
        <w:footnoteReference w:id="51"/>
      </w:r>
      <w:r w:rsidRPr="003620DC">
        <w:rPr>
          <w:rFonts w:cs="Arial"/>
        </w:rPr>
        <w:t xml:space="preserve">  koji je na osnovu člana 48. Zakona o profesionalnoj rehabilitaciji i zapošljavanju </w:t>
      </w:r>
      <w:r w:rsidRPr="003620DC">
        <w:rPr>
          <w:rFonts w:cs="Arial"/>
        </w:rPr>
        <w:lastRenderedPageBreak/>
        <w:t>osoba sa invaliditetom („Službeni glasnik RS“, br. 36/09 i 32/13), doneo ministar za rad, zapošljavanje, boračka i socijalna pitanja.</w:t>
      </w:r>
    </w:p>
    <w:p w:rsidR="003620DC" w:rsidRPr="003620DC" w:rsidRDefault="003620DC" w:rsidP="003620DC">
      <w:pPr>
        <w:spacing w:after="100" w:afterAutospacing="1" w:line="276" w:lineRule="auto"/>
        <w:rPr>
          <w:rFonts w:cs="Arial"/>
        </w:rPr>
      </w:pPr>
      <w:r w:rsidRPr="003620DC">
        <w:rPr>
          <w:rFonts w:cs="Arial"/>
        </w:rPr>
        <w:t xml:space="preserve">Na osnovu člana 6. stav 2. Zakona o bezbednosti i zdravlju na radu („Službeni glasnik RS“, br. 101/05 i 91/15), ministar nadležan za rad i ministar nadležan za zdravlje sporazumno su propisali preventivne mere u vezi s bezbednošću i zdravljem na radu mladih, zaposlene žene za vreme trudnoće i zaposlene koja doji dete. Navedene mere su utvrđene </w:t>
      </w:r>
      <w:r w:rsidRPr="0065760C">
        <w:rPr>
          <w:rFonts w:cs="Arial"/>
          <w:i/>
        </w:rPr>
        <w:t>Pravilnikom o preventivnim merama za bezbedan i zdrav rad mladih</w:t>
      </w:r>
      <w:r w:rsidR="0065760C">
        <w:rPr>
          <w:rStyle w:val="FootnoteReference"/>
          <w:rFonts w:cs="Arial"/>
          <w:i/>
        </w:rPr>
        <w:footnoteReference w:id="52"/>
      </w:r>
      <w:r w:rsidRPr="003620DC">
        <w:rPr>
          <w:rFonts w:cs="Arial"/>
        </w:rPr>
        <w:t xml:space="preserve"> , kao i </w:t>
      </w:r>
      <w:r w:rsidRPr="0065760C">
        <w:rPr>
          <w:rFonts w:cs="Arial"/>
          <w:i/>
        </w:rPr>
        <w:t>Pravilnikom o merama za bezbedan i zdrav rad zaposlene žene za vreme trudnoće, porodilje i zaposlene koja doji dete</w:t>
      </w:r>
      <w:r w:rsidR="0065760C">
        <w:rPr>
          <w:rStyle w:val="FootnoteReference"/>
          <w:rFonts w:cs="Arial"/>
          <w:i/>
        </w:rPr>
        <w:footnoteReference w:id="53"/>
      </w:r>
      <w:r w:rsidRPr="003620DC">
        <w:rPr>
          <w:rFonts w:cs="Arial"/>
        </w:rPr>
        <w:t>. Navedenim pravilnicima su utvrđene afirmativne mere usmerene na ostvarenje pune ravnopravnosti i bezbednosti posebno osetljivih grupa.</w:t>
      </w:r>
    </w:p>
    <w:p w:rsidR="003620DC" w:rsidRPr="003620DC" w:rsidRDefault="003620DC" w:rsidP="003620DC">
      <w:pPr>
        <w:spacing w:after="100" w:afterAutospacing="1" w:line="276" w:lineRule="auto"/>
        <w:rPr>
          <w:rFonts w:cs="Arial"/>
        </w:rPr>
      </w:pPr>
      <w:r w:rsidRPr="003620DC">
        <w:rPr>
          <w:rFonts w:cs="Arial"/>
        </w:rPr>
        <w:t xml:space="preserve">Važno je napomenuti da su </w:t>
      </w:r>
      <w:r w:rsidRPr="004A2930">
        <w:rPr>
          <w:rFonts w:cs="Arial"/>
          <w:i/>
        </w:rPr>
        <w:t>Pravilnikom o izmenama i dopunama Pravilnika o visini takse za pružanje usluga Republičkog geodetskog zavoda</w:t>
      </w:r>
      <w:r w:rsidR="004A2930">
        <w:rPr>
          <w:rStyle w:val="FootnoteReference"/>
          <w:rFonts w:cs="Arial"/>
          <w:i/>
        </w:rPr>
        <w:footnoteReference w:id="54"/>
      </w:r>
      <w:r w:rsidRPr="003620DC">
        <w:rPr>
          <w:rFonts w:cs="Arial"/>
        </w:rPr>
        <w:t xml:space="preserve">  propisane minimalne visine taksi za provođenje promena u bazi podataka u katastru nepokretnosti (Tarifni broj 9), i to kada se radi o upisu objekta ili posebnog dela objekta, s upisom zajedničke svojine ili susvojine u korist bračnih, odnosno vanbračnih supružnika, kao i s upisom prava u korist osoba sa invaliditetom (tačka 6), kao i promeni imaoca prava na nepokretnosti – upis zajedničke svojine ili susvojine u korist bračnih, odnosno vanbračnih supružnika, kao i upis prava u korist osoba sa invaliditetom. Na ovaj način su, takođe, preduzete konkretne podsticajne mere s ciljem ostvarenja pune rodne ravnopravnosti i zaštite prava osoba sa invaliditetom.</w:t>
      </w:r>
    </w:p>
    <w:p w:rsidR="003620DC" w:rsidRPr="003620DC" w:rsidRDefault="003620DC" w:rsidP="003620DC">
      <w:pPr>
        <w:spacing w:after="100" w:afterAutospacing="1" w:line="276" w:lineRule="auto"/>
        <w:rPr>
          <w:rFonts w:cs="Arial"/>
        </w:rPr>
      </w:pPr>
      <w:r w:rsidRPr="003620DC">
        <w:rPr>
          <w:rFonts w:cs="Arial"/>
        </w:rPr>
        <w:t>Važeći antidiskriminacioni propisi pružaju dobar pravni okvir i adekvatne instrumente za zaštitu od diskriminacije, koji su uglavnom usklađeni sa zakonodavstvom Evropske unije. Međutim, u Godišnjem izveštaju Evropske komisije o napretku Srbije za 2016. godinu ocenjeno je da je Srbija dostigla izvestan nivo pripremljenosti kad je reč o pravnim tekovinama Evropske unije i evropskim standardima u ovoj oblasti. Izvestan napredak ostvaren je delimičnom primenom preporuka iz prošlogodišnjeg Izveštaja o napretku, ali potrebno je dodatno usklađivanje i sprovođenje reformi u oblasti ljudskih prava i unapređenja zaštite od diskriminacije.</w:t>
      </w:r>
    </w:p>
    <w:p w:rsidR="003620DC" w:rsidRPr="003620DC" w:rsidRDefault="003620DC" w:rsidP="003620DC">
      <w:pPr>
        <w:spacing w:after="100" w:afterAutospacing="1" w:line="276" w:lineRule="auto"/>
        <w:rPr>
          <w:rFonts w:cs="Arial"/>
        </w:rPr>
      </w:pPr>
      <w:r w:rsidRPr="003620DC">
        <w:rPr>
          <w:rFonts w:cs="Arial"/>
        </w:rPr>
        <w:t xml:space="preserve">U tom smislu, za dalji razvoj i unapređivanje antidiskriminacionog zakonodavstva i politika, od važnosti su Direktive Evropske unije (npr. Direktiva 2000/43/EC o jednakom tretmanu među osobama bez obzira na njihovo rasno ili etničko poreklo, Direktiva Saveta 2000/78/EK kojom se ustanovljava opšti okvir za ravnopravan tretman u zapošljavanju i profesiji, Direktiva  2006/54/EK Evropskog parlamenta i Saveta o jednakom tretmanu muškaraca i žena u pogledu zapošljavanja i obavljanja zanimanja, Direktiva Saveta 2004/113/EK o jednakom tretmanu muškaraca i žena u pogledu dostupnosti i isporuke dobara i usluga i dr.), ali i strateški dokumenti Evropske unije kao što su Evropska strategija za osobe sa invaliditetom (2010–2020), Evropska platforma za borbu protiv siromaštva i socijalne isključenosti i drugo.   </w:t>
      </w:r>
    </w:p>
    <w:p w:rsidR="00135D51" w:rsidRPr="00135D51" w:rsidRDefault="003620DC" w:rsidP="003620DC">
      <w:pPr>
        <w:spacing w:after="100" w:afterAutospacing="1" w:line="276" w:lineRule="auto"/>
        <w:rPr>
          <w:rFonts w:cs="Arial"/>
        </w:rPr>
      </w:pPr>
      <w:r w:rsidRPr="003620DC">
        <w:rPr>
          <w:rFonts w:cs="Arial"/>
        </w:rPr>
        <w:lastRenderedPageBreak/>
        <w:t>Pored toga, potrebno je naglasiti da je Komitet ministara Saveta Evrope usvojio Strategiju Saveta Evrope o pravima deteta (2016–2021), koja se primenjuje od konferencije na visokom nivou koja je održana u Sofiji, 5. i 6. aprila 2016. godine. U Strategiji Saveta Evrope o pravima deteta (2016–2021) izričito se navodi da Savet Evrope štiti i podstiče ljudska prava, u koja spadaju prava deteta. Izdvojeno je i pet prioritetnih oblasti za garantovanje prava deteta, a to su: jednake mogućnosti za svu decu, participacija za svu decu, život bez nasilja za svu decu, pravosuđe po meri deteta za svu decu, prava deteta u digitalnom okruženju.</w:t>
      </w:r>
    </w:p>
    <w:p w:rsidR="00135D51" w:rsidRPr="00135D51" w:rsidRDefault="00135D51" w:rsidP="00135D51">
      <w:pPr>
        <w:spacing w:after="100" w:afterAutospacing="1" w:line="276" w:lineRule="auto"/>
        <w:rPr>
          <w:rFonts w:cs="Arial"/>
        </w:rPr>
      </w:pPr>
    </w:p>
    <w:p w:rsidR="00135D51" w:rsidRPr="00135D51" w:rsidRDefault="006556CF" w:rsidP="00D93153">
      <w:pPr>
        <w:pStyle w:val="Heading2"/>
        <w:numPr>
          <w:ilvl w:val="0"/>
          <w:numId w:val="10"/>
        </w:numPr>
        <w:spacing w:after="100" w:afterAutospacing="1" w:line="276" w:lineRule="auto"/>
        <w:ind w:left="426"/>
        <w:rPr>
          <w:rFonts w:ascii="Arial" w:hAnsi="Arial" w:cs="Arial"/>
          <w:sz w:val="22"/>
          <w:szCs w:val="22"/>
        </w:rPr>
      </w:pPr>
      <w:bookmarkStart w:id="8" w:name="_Toc477248597"/>
      <w:bookmarkStart w:id="9" w:name="_Toc477251722"/>
      <w:r>
        <w:rPr>
          <w:rFonts w:ascii="Arial" w:hAnsi="Arial" w:cs="Arial"/>
          <w:sz w:val="22"/>
          <w:szCs w:val="22"/>
          <w:lang w:val="sr-Latn-RS"/>
        </w:rPr>
        <w:t>Normativne izmene u toku</w:t>
      </w:r>
      <w:r w:rsidR="00135D51" w:rsidRPr="00135D51">
        <w:rPr>
          <w:rFonts w:ascii="Arial" w:hAnsi="Arial" w:cs="Arial"/>
          <w:sz w:val="22"/>
          <w:szCs w:val="22"/>
        </w:rPr>
        <w:t xml:space="preserve"> 2016. </w:t>
      </w:r>
      <w:bookmarkEnd w:id="8"/>
      <w:bookmarkEnd w:id="9"/>
      <w:r>
        <w:rPr>
          <w:rFonts w:ascii="Arial" w:hAnsi="Arial" w:cs="Arial"/>
          <w:sz w:val="22"/>
          <w:szCs w:val="22"/>
          <w:lang w:val="sr-Latn-RS"/>
        </w:rPr>
        <w:t>godine</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U protekloj godini su usvojeni određeni zakoni, kao i podzakonski akti (o kojima je bilo reči u prethodnom odeljku) koji su od značaja za zaštitu od diskriminacije i unapređivanje ravnopravnosti u pojedinim oblastima.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U januaru 2016. godine usvojen je Zakon o javnom okupljanju</w:t>
      </w:r>
      <w:r>
        <w:rPr>
          <w:rStyle w:val="FootnoteReference"/>
          <w:rFonts w:cs="Arial"/>
        </w:rPr>
        <w:footnoteReference w:id="55"/>
      </w:r>
      <w:r w:rsidRPr="00226637">
        <w:rPr>
          <w:rFonts w:cs="Arial"/>
        </w:rPr>
        <w:t xml:space="preserve"> , kojim se uređuju javna okupljanja u Republici Srbiji. Odredbama člana 8. navedenog zakona uređeno je pitanje ograničenja slobode okupljanja, a u tački 2. izričito je propisano da okupljanje nije dozvoljeno kada su ciljevi okupljanja usmereni na pozivanje i podsticanje na oružani sukob ili upotrebu nasilja, na kršenje ljudskih i manjinskih sloboda i prava drugih, odnosno na izazivanje ili podsticanje rasne, nacionalne, verske ili druge neravnopravnosti, mržnje i netrpeljivosti.</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Odredbe koje se odnose na zabranu diskriminacije i zabranu podsticanja na diskriminaciju sadržane su i u Zakonu o oglašavanju</w:t>
      </w:r>
      <w:r>
        <w:rPr>
          <w:rStyle w:val="FootnoteReference"/>
          <w:rFonts w:cs="Arial"/>
        </w:rPr>
        <w:footnoteReference w:id="56"/>
      </w:r>
      <w:r w:rsidRPr="00226637">
        <w:rPr>
          <w:rFonts w:cs="Arial"/>
        </w:rPr>
        <w:t xml:space="preserve"> . Članom 8. propisuje se da je zabranjeno da oglasna poruka, neposredno ili posredno, podstiče diskriminaciju po bilo kom osnovu, a posebno po osnovu uverenja, nacionalne, etničke, verske, rodne ili rasne pripadnosti, političkog, seksualnog ili drugog opredeljenja, društvenog porekla, imovinskog stanja, kulture, jezika, starosti, ili psihičkog ili fizičkog invaliditeta. Posebno je zabranjena diskriminacija oglašivača, odnosno zabranjeno je neopravdano odbiti objavljivanje, odnosno emitovanje oglasne poruke, ili na drugi način neopravdano praviti razliku ili nejednako postupati, isključivati, ograničavati ili davati prvenstvo različitim oglašivačima u istim ili sličnim situacijama (član 9).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Obaveza sprečavanja diskriminacije izričito je sadržana i u novom Zakonu o policiji</w:t>
      </w:r>
      <w:r>
        <w:rPr>
          <w:rStyle w:val="FootnoteReference"/>
          <w:rFonts w:cs="Arial"/>
        </w:rPr>
        <w:footnoteReference w:id="57"/>
      </w:r>
      <w:r w:rsidRPr="00226637">
        <w:rPr>
          <w:rFonts w:cs="Arial"/>
        </w:rPr>
        <w:t xml:space="preserve">  (član 5). Naime, zaposleni u Ministarstvu unutrašnjih poslova i Policiji dužni su da jednako postupaju prema svima, bez obzira na njihovu rasnu, polnu ili nacionalnu pripadnost, njihove različitosti koje proističu iz društvenog porekla, rođenja, veroispovesti, političkog ili drugog uverenja ili opredeljenja, roda i rodnog identiteta, imovnog stanja, kulture, jezika, starosti i psihičkog ili fizičkog invaliditeta. Pri obavljanju policijskih poslova, kao standardi policijskog postupanja (član 33) navode se, pored ostalih, ostvarivanje ljudskih i manjinskih prava i sloboda, nediskriminacija pri izvršavanju policijskih zadataka, srazmernost u upotrebi </w:t>
      </w:r>
      <w:r w:rsidRPr="00226637">
        <w:rPr>
          <w:rFonts w:cs="Arial"/>
        </w:rPr>
        <w:lastRenderedPageBreak/>
        <w:t xml:space="preserve">sredstava prinude, zabrana mučenja i primene nečovečnih i ponižavajućih postupaka, pružanje pomoći nastradalim licima. Zakon propisuje i obavezu policijskog službenika da u primeni policijskih ovlašćenja postupa nepristrasno, pružajući svakome jednaku zakonsku zaštitu, i da postupa bez diskriminacije lica po bilo kojem osnovu. Takođe, policijski službenik je dužan da postupa humano i poštuje dostojanstvo, ugled i čast svakog lica i druga ljudska i manjinska prava i slobode građana, dajući prednost pravima ugroženog u odnosu na ista prava lica koje ta prava ugrožava i vodeći računa o pravima trećih lica.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Pored toga, shvatajući značaj upotrebe rodno diferenciranog jezika, zakonodavac je u članu 7. Zakona o policiji propisao da svi izrazi u ovom zakonu imaju jednako rodno značenje, bez obzira na to da li se koriste u muškom ili ženskom rodu, i odnose se podjednako na muški i na ženski rod.</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 o sportu</w:t>
      </w:r>
      <w:r>
        <w:rPr>
          <w:rStyle w:val="FootnoteReference"/>
          <w:rFonts w:cs="Arial"/>
        </w:rPr>
        <w:footnoteReference w:id="58"/>
      </w:r>
      <w:r w:rsidRPr="00226637">
        <w:rPr>
          <w:rFonts w:cs="Arial"/>
        </w:rPr>
        <w:t xml:space="preserve">  usvojen je u februaru 2016. godine i sadrži detaljne odredbe koje se odnose na zabranu diskriminacije i poštovanje principa ravnopravnosti. U članu 4. stav 2. propisano je, pored ostalog, da bavljenje sportom mora biti humano, slobodno i dobrovoljno, zdravo i bezbedno, u skladu s prirodnom sredinom i društvenim okruženjem, fer, tolerantno, etički prihvatljivo, odgovorno, nezavisno od zloupotreba i ciljeva koji su suprotni sportskom duhu i dostupno svim građanima pod jednakim uslovima, bez obzira na uzrast, nivo fizičkih sposobnosti, stepen eventualnog invaliditeta, pol i drugo lično svojstvo.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U stavu 3. navedenog člana dalje se propisuje da je zabranjena svaka neposredna i posredna diskriminacija, uključujući i govor mržnje, po bilo kom osnovu, sportista, sportskih stručnjaka, sportskih organizacija i drugih lica učesnika u sistemu sporta, na otvoren ili prikriven način, a koja se zasniva na nekom stvarnom ili pretpostavljenom ličnom svojstvu. Zabranom diskriminacije obuhvaćena je i zabrana diskriminacije profesionalnih sportista i sportista koji žele to da postanu, u pogledu zapošljavanja, zarade ili uslova rada, osim kada se pravljenje razlike, odnosno stavljanje sportiste u nepovoljniji položaj u odnosu na druge sportiste u istoj ili sličnoj situaciji, temelji na samoj prirodi ili stvarnim i odlučujućim uslovima obavljanja određene sportske aktivnosti, a ciljevi koji se time žele postići jesu opravdani.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Takođe, izričito je propisano da su odredbe ugovora između sportiste, odnosno sportskog stručnjaka i organizacije u oblasti sporta, koje predstavljaju diskriminaciju sportiste, odnosno sportskog stručnjaka – ništave, a da se odredbe sportskih pravila i opštih akata organizacija u oblasti sporta koje predstavljaju diskriminaciju učesnika u sistemu sporta – ne primenjuju.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Posebna pažnja je posvećena zaštiti dece u ovoj oblasti, pa je zabranjena svaka vrsta zloupotreba, zlostavljanja, diskriminacije i nasilja prema deci u oblasti sporta. Organizacije u oblasti sporta i lica koja obavljaju stručno-vaspitni rad s decom u tim organizacijama, kao i svi članovi i zaposleni u organizacijama u oblasti sporta, posebno su obavezani da promovišu ravnopravnost među decom i aktivno se suprotstavljaju svim vrstama zloupotreba, zlostavljanja, diskriminacije i nasilja.</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Pored toga, ustanovljena je obaveza da Republika Srbija, autonomna pokrajina, jedinica lokalne samouprave i organizacije u oblasti sporta naročito preduzimaju aktivnosti na povećanju učešća dece, mladih, žena i osoba sa invaliditetom u sportskim aktivnostima, </w:t>
      </w:r>
      <w:r w:rsidRPr="00226637">
        <w:rPr>
          <w:rFonts w:cs="Arial"/>
        </w:rPr>
        <w:lastRenderedPageBreak/>
        <w:t xml:space="preserve">omasovljavanju ženskih sportskih organizacija i davanju ravnopravnog značaja ženama i osobama sa invaliditetom u sportu.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U članu 11. Zakona o sportu određeno je da sportista ima pravo na naknadu štete koju pretrpi aktima diskriminacije organizacije u oblasti sporta, odnosno sportske organizacije iz koje odlazi i sportske organizacije u koju prelazi.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 o sportu zabranjuje delovanje sportskog udruženja ukoliko je usmereno na nasilno rušenje ustavnog poretka i narušavanje teritorijalne celokupnosti Republike Srbije, kršenje zajemčenih ljudskih ili manjinskih prava ili izazivanje i podsticanje neravnopravnosti, mržnje i netrpeljivosti zasnovane na rasnoj, nacionalnoj, verskoj ili drugoj pripadnosti ili opredeljenju, kao i polu, rodu, fizičkim, psihičkim ili drugim karakteristikama i sposobnostima. Odluku o zabrani rada sportskog udruženja u konkretnom slučaju donosi Ustavni sud (član 91).</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Zakonom o dopunama Zakona o sprečavanju diskriminacije osoba sa invaliditetom</w:t>
      </w:r>
      <w:r>
        <w:rPr>
          <w:rStyle w:val="FootnoteReference"/>
          <w:rFonts w:cs="Arial"/>
        </w:rPr>
        <w:footnoteReference w:id="59"/>
      </w:r>
      <w:r w:rsidRPr="00226637">
        <w:rPr>
          <w:rFonts w:cs="Arial"/>
        </w:rPr>
        <w:t xml:space="preserve">  prvi put se normativno uređuje pitanje upotrebe pečata s ugraviranim potpisom za osobe sa invaliditetom. Sprečavanje diskriminacije i ostvarivanje prava u skladu s potrebama osoba sa invaliditetom predstavlja trajnu opredeljenost Republike Srbije, iskazanu u prioritetima i ciljevima predviđenim </w:t>
      </w:r>
      <w:r w:rsidRPr="000177B7">
        <w:rPr>
          <w:rFonts w:cs="Arial"/>
          <w:i/>
        </w:rPr>
        <w:t>Strategijom unapređenja položaja osoba sa invaliditetom u Republici Srbiji</w:t>
      </w:r>
      <w:r w:rsidRPr="00226637">
        <w:rPr>
          <w:rFonts w:cs="Arial"/>
        </w:rPr>
        <w:t xml:space="preserve"> („Službeni glasnik RS“, broj 1/07), Zakonom o potvrđivanju Konvencije o pravima osoba sa invaliditetom („Službeni glasnik RS – Međunarodni ugovori“, broj 42/09), kao i drugim brojnim dokumentima koji se odnose na unapređenje položaja osoba sa invaliditetom i sprečavanje diskriminacije po bilo kom osnovu. Na osnovu člana 4. tačka 1(b) Konvencije o pravima osoba sa invaliditetom država se obavezala da preduzme sve odgovarajuće mere s ciljem menjanja ili ukidanja postojećih zakona, propisa, običaja i prakse koji predstavljaju diskriminaciju prema osobama sa invaliditetom.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U svakodnevnom životu, neke osobe sa invaliditetom zbog prirode svog invaliditeta – telesnih ili senzornih oštećenja ili bolesti (slepe i slabovide osobe, osobe obolele od različitih mišićnih i neuromišićnih oboljenja ili kvadriplegije, kao i osobe koje nemaju gornje ekstremitete) nisu u mogućnosti da se svojeručno potpišu. Bez obzira na to da li je potpis obavezan element nekog posla ili nije, osobama sa invaliditetom onemogućava se ostvarivanje prava, jer se kao poseban zahtev postavlja i svojeručan potpis, koji ova lica nisu u mogućnosti da daju.</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Predlagač navedenih izmena zakona je u obrazloženju Predloga zakona ukazao i na činjenicu da su osobe sa invaliditetom koje su se susretale s ovakvim problemima pokretale postupke za zaštitu ravnopravnosti u skladu sa Zakonom o zabrani diskriminacije i pozvao se na mišljenje Poverenika dato povodom slučaja onemogućavanja korišćenja faksimila pred opštinskom upravom, u kojem je ukazano na odredbe Konvencije o pravima osoba sa invaliditetom, Ustava Republike Srbije, Zakona o zabrani diskriminacije i Zakona o sprečavanju diskriminacije osoba sa invaliditetom.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Zakonom o dopunama Zakona o sprečavanju diskriminacije osoba sa invaliditetom, u članu 34. dodati su st. 2. i 3. i propisano da su organi javne vlasti dužni da u postupcima pred tim organima, pored potpisivanja isprava na način uređen posebnim propisom, osobi sa </w:t>
      </w:r>
      <w:r w:rsidRPr="00226637">
        <w:rPr>
          <w:rFonts w:cs="Arial"/>
        </w:rPr>
        <w:lastRenderedPageBreak/>
        <w:t xml:space="preserve">invaliditetom koja ima trajne posledice telesnog ili senzornog oštećenja ili bolesti omoguće potpisivanje isprava pomoću pečata koji sadrži podatke o ličnom identitetu ili pomoću pečata s ugraviranim potpisom. Isprave koje predstavljaju formu ugovora ili nekog drugog pravnog posla ne mogu se potpisivati na opisani način, već u skladu s propisima koji uređuju overu potpisa i potvrđivanje isprave. Posle člana 34. dodat je član 34a, kojim je uređena obaveza pravnih i fizičkih lica koja pružaju usluge u okviru svoje delatnosti, odnosno trajnog zanimanja, uz naknadu ili bez nje, da osobi sa invaliditetom koja ima trajne posledice telesnog ili senzornog oštećenja ili bolesti omoguće korišćenje usluga potpisivanjem, kada je to potrebno, pomoću pečata koji sadrži podatke o ličnom identitetu ili pomoću pečata s ugraviranim potpisom.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 o izmenama i dopunama Zakona o kulturi</w:t>
      </w:r>
      <w:r>
        <w:rPr>
          <w:rStyle w:val="FootnoteReference"/>
          <w:rFonts w:cs="Arial"/>
        </w:rPr>
        <w:footnoteReference w:id="60"/>
      </w:r>
      <w:r w:rsidRPr="00226637">
        <w:rPr>
          <w:rFonts w:cs="Arial"/>
        </w:rPr>
        <w:t xml:space="preserve">  propisuje da se ostvarivanje opšteg interesa u kulturi postiže, pored ostalog, podsticanjem kulturnog i umetničkog stvaralaštva društveno osetljivih grupa (član 6. tačka 21b).</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U Zakonu o javnom zdravlju</w:t>
      </w:r>
      <w:r>
        <w:rPr>
          <w:rStyle w:val="FootnoteReference"/>
          <w:rFonts w:cs="Arial"/>
        </w:rPr>
        <w:footnoteReference w:id="61"/>
      </w:r>
      <w:r w:rsidRPr="00226637">
        <w:rPr>
          <w:rFonts w:cs="Arial"/>
        </w:rPr>
        <w:t xml:space="preserve">  takođe se prepoznaje značaj ostvarenja principa ravnopravnosti u oblasti koju uređuje, odnosno u oblasti delovanja javnog zdravlja, nadležnosti, planiranja, sprovođenja aktivnosti u vezi s očuvanjem i unapređenjem zdravlja stanovništva, kao i načinom njegovog finansiranja. Stoga se, prilikom definisanja pojmova koji se u navedenom zakonu koriste, izdvaja i zdravlje u svim politikama, koje predstavlja javnozdravstvenu politiku usmerenu na socijalno-ekonomske determinante zdravlja i smanjivanje nejednakosti u zdravlju. Jedno od osnovnih načela javnog zdravlja jeste i postizanje solidarnosti i jednakosti u javnom zdravlju za sve i naglašena pažnja za potrebe osetljivih društvenih grupa.</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 o opštem upravnom postupku</w:t>
      </w:r>
      <w:r>
        <w:rPr>
          <w:rStyle w:val="FootnoteReference"/>
          <w:rFonts w:cs="Arial"/>
        </w:rPr>
        <w:footnoteReference w:id="62"/>
      </w:r>
      <w:r w:rsidRPr="00226637">
        <w:rPr>
          <w:rFonts w:cs="Arial"/>
        </w:rPr>
        <w:t xml:space="preserve">  jeste jedan od sistemskih propisa koji je donet u toku 2016, a koji stupa na snagu 1. juna 2017. godine, osim pojedinih odredaba Zakona, koje stupaju ranije na snagu. NJime se uređuje upravni postupak kao skup pravila koja državni organi i organizacije, organi i organizacije pokrajinske autonomije i organi i organizacije jedinica lokalne samouprave, ustanove, javna preduzeća, posebni organi preko kojih se ostvaruje regulatorna funkcija i pravna i fizička lica kojima su poverena javna ovlašćenja, primenjuju kada postupaju u upravnim stvarima. U navedenom zakonu odredbom člana 31. stav 3. propisano je da se javne usluge pružaju tako da obezbede uredno i kvalitetno, pod jednakim uslovima, ostvarivanje prava i pravnih interesa korisnika javnih usluga i zadovoljavanje njihovih potreba. Pored toga, odredbama člana 55. stav 2. ovog zakona propisano je da osobe sa invaliditetom imaju pravo da opšte i prate tok postupka preko tumača, ili na odgovarajući način, u skladu sa zakonom, dok je članom 126. propisano da se svedoci koji zbog starosti, bolesti ili invaliditeta ne mogu da dođu na usmenu raspravu, saslušavaju u stanu ili drugom objektu u kome borave.</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Zakonom o zaposlenima u autonomnim pokrajinama i jedinicama lokalne samouprave</w:t>
      </w:r>
      <w:r>
        <w:rPr>
          <w:rStyle w:val="FootnoteReference"/>
          <w:rFonts w:cs="Arial"/>
        </w:rPr>
        <w:footnoteReference w:id="63"/>
      </w:r>
      <w:r w:rsidRPr="00226637">
        <w:rPr>
          <w:rFonts w:cs="Arial"/>
        </w:rPr>
        <w:t xml:space="preserve">  uređuju se prava i dužnosti iz radnog odnosa zaposlenih u organima autonomnih pokrajina i </w:t>
      </w:r>
      <w:r w:rsidRPr="00226637">
        <w:rPr>
          <w:rFonts w:cs="Arial"/>
        </w:rPr>
        <w:lastRenderedPageBreak/>
        <w:t xml:space="preserve">jedinicama lokalne samouprave. Članom 19. stav 3. propisano je da se pri zapošljavanju vodi računa o tome da nacionalni sastav, zastupljenost polova i broj osoba sa invaliditetom u najvećoj mogućoj meri odražavaju među zaposlenima strukturu stanovništva.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Takođe, Zakon na više mesta obavezuje Vladu da pri donošenju akata kojima će bliže urediti pojedina pitanja koja su Zakonom samo načelno postavljena, posebno vodi računa o nacionalnom sastavu stanovništva i odgovarajućoj zastupljenosti pripadnika nacionalnih manjina radi postizanja pune ravnopravnosti između pripadnika nacionalne manjine i građana koji pripadaju većini (čl. 47, 101. i 185). Važno je istaći da Zakon obavezuje Vladu da se prilikom bližeg uređivanja postupka sprovođenja internog i javnog konkursa za popunjavanje radnih mesta, kao i određivanja kakve se stručne osposobljenosti, znanja i veštine vrednuju u izbornom postupku, načina njihove provere i merila za izbor na radna mesta, daje prvenstvo jednako kvalifikovanim kandidatima pripadnicima nacionalnih manjina, s ciljem postizanja odgovarajuće zastupljenosti pripadnika nacionalnih manjina i pune ravnopravnosti između pripadnika nacionalne manjine i građana koji pripadaju većini (član 101. stav 5).</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Krivični zakonik, kao jedan od sistemskih zakona, značajno je inoviran u novembru 2016. godine usvajanjem Zakona o izmenama i dopunama Krivičnog zakonika</w:t>
      </w:r>
      <w:r>
        <w:rPr>
          <w:rStyle w:val="FootnoteReference"/>
          <w:rFonts w:cs="Arial"/>
        </w:rPr>
        <w:footnoteReference w:id="64"/>
      </w:r>
      <w:r w:rsidRPr="00226637">
        <w:rPr>
          <w:rFonts w:cs="Arial"/>
        </w:rPr>
        <w:t>.  U skladu sa zakonodavnom praksom evropskih zemalja, izmene se odnose na reformisanje krivičnih dela protiv privrede, kao i na usklađivanje s Konvencijom Saveta Evrope o sprečavanju i borbi protiv nasilja nad ženama i nasilja u porodici (u daljem tekstu: Istanbulska konvencija). Značajne su izmene kojima su propisana nova krivična dela, i to: sakaćenje ženskog polnog organa kao krivično delo protiv života i tela, proganjanje kao krivično delo protiv sloboda i prava čoveka i građanina, kao i krivična dela protiv polne slobode – polno uznemiravanje i navođenje deteta na prisustvovanje polnim radnjama. Takođe, u glavi krivičnih dela protiv braka i porodice propisano je krivično delo prinudno zaključenje braka, dok je krivično delo oduzimanje maloletnog lica izmenjeno.</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Važno je istaći da je navedenim zakonskim izmenama prvi put izjednačena visina zaprećene kazne za krivično delo silovanja iz člana 178. i krivičnog dela obljube nad nemoćnim licem iz člana 179. Krivičnog zakonika, za koje je ranije bila zaprećena manja kazna. Navedena izmena je izvršena upravo na inicijativu Poverenika za zaštitu ravnopravnosti, koji je ukazao na neujednačenost kaznene politike u odnosu na ova dva krivična dela.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Izmene su izvršene i u članu 128. Krivičnog zakonika, kojim je utvrđeno krivično delo povrede ravnopravnosti. Naime, proširen je krug ličnih svojstava koja mogu da dovedu do toga da se drugome uskrate ili ograniče prava čoveka i građanina utvrđena Ustavom, zakonima ili drugim propisima ili opštim aktima ili potvrđenim međunarodnim ugovorima, ili da mu se na osnovu ove razlike daju povlastice ili pogodnosti, tako što se izričito navode, pored drugih, invaliditet, seksualna orijentacija i rodni identitet.</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Primedbe koje je Poverenik izneo u mišljenju na Nacrt zakona o izmenama i dopunama Krivičnog zakonika, u pogledu doslednog usklađivanja sa Istanbulskom konvencijom kada se radi o preciznijem definisanju pojma „sakaćenje“ u biću krivičnog dela sakaćenje ženskog polnog organa, definisanju bića krivičnog dela proganjanje, inkriminisanju prinudne </w:t>
      </w:r>
      <w:r w:rsidRPr="00226637">
        <w:rPr>
          <w:rFonts w:cs="Arial"/>
        </w:rPr>
        <w:lastRenderedPageBreak/>
        <w:t>sterilizacije, propisivanju nemoći lica kao posebne kvalifikatorne okolnosti kod krivičnog dela nasilje u porodici (član 194), nisu, međutim, prihvaćene.</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Tokom 2016. godine donet je Zakon o sprečavanju nasilja u porodici</w:t>
      </w:r>
      <w:r>
        <w:rPr>
          <w:rStyle w:val="FootnoteReference"/>
          <w:rFonts w:cs="Arial"/>
        </w:rPr>
        <w:footnoteReference w:id="65"/>
      </w:r>
      <w:r w:rsidRPr="00226637">
        <w:rPr>
          <w:rFonts w:cs="Arial"/>
        </w:rPr>
        <w:t xml:space="preserve"> . Primena navedenog zakona odložena je za 1. jun 2017. godine. Ovaim zakonom uređuje se sprečavanje nasilja u porodici i postupanje državnih organa i ustanova u sprečavanju nasilja u porodici i pružanju zaštite i podrške žrtvama nasilja u porodici. Osnovni cilj zakona jeste da na opšti i jedinstven način uredi organizaciju i postupanje državnih organa i ustanova i time omogući delotvorno sprečavanje nasilja u porodici i hitnu, blagovremenu i delotvornu zaštitu i podršku žrtvama nasilja u porodici (član 2).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Jedan od najvažnijih instituta Zakona jeste izricanje hitnih mera koje su usmerene na sprečavanje nasilja ili mogućnosti da do njega dođe. Članom 17. Zakona nadležni policijski službenik ovlašćen je da donese naređenje kojim izriče hitnu meru učiniocu koji je doveden u nadležnu organizacionu jedinicu policije. Hitne mere su: mera privremenog udaljenja učinioca iz stana i mera privremene zabrane učiniocu da kontaktira žrtvu nasilja i prilazi joj. Važno je istaći da hitne mere mogu biti produžene. Naime, sud produžava hitnu meru ako posle vrednovanja procene rizika nadležnog policijskog službenika, vrednovanja procene rizika koje je učinio osnovni javni tužilac, ocene priloženih dokaza i tvrdnji iz predloga osnovnog javnog tužioca i ocene izjašnjenja lica kome je hitna mera izrečena, ustanovi neposrednu opasnost od nasilja u porodici; inače odbija predlog kao neosnovan (član 19. stav 2).</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Pored toga što uređuje postupak sprečavanja nasilja u porodici, organe (policija, javna tužilaštva, sudovi opšte nadležnosti i prekršajni sudovi, kao nadležni državni organi, i centri za socijalni rad, kao ustanove) i njihov delokrug, Zakon posebnu pažnju posvećuje saradnji organa u sprečavanju nasilja u porodici, te je članom 25. propisano da se na području svakog osnovnog javnog tužilaštva obrazuje grupa za koordinaciju i saradnju, koju čine predstavnici osnovnih javnih tužilaštava, policijskih uprava i centara za socijalni rad s područja za koje se grupa obrazuje. Takođe, u policijskoj upravi, osnovnom i višem javnom tužilaštvu, osnovnom i višem sudu i centru za socijalni rad, rukovodioci navedenih organa imenuju lica određena za vezu kako bi se omogućila stalna, svakodnevna veza i saradnja između nadležnih organa.</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U odnosu na postupak zaštite i podrške žrtvama nasilja, članom 31. uređen je individualni plan zaštite koji izrađuje grupa za koordinaciju i saradnju po prijemu procene rizika kojom je ustanovljena neposredna opasnost od nasilja u porodici. Individualni plan zaštite sadrži celovite i delotvorne mere zaštite i podrške žrtvi, ali i drugim članovima porodice kojima je podrška potrebna. Zakon pruža mogućnost da u izradi navedenog plana učestvuje i žrtva, ako to želi i ako to dozvoljava njeno emotivno i fizičko stanje.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Posebno ukazujemo na to da Nacrt zakona o sprečavanju nasilja u porodici u postupku pribavljanja mišljenja državnih organa nije bio dostavljen na mišljenje Povereniku, tako da ovaj organ nije bio u mogućnosti da sa aspekta delokruga svog rada iznese primedbe na tekst Nacrta zakona.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lastRenderedPageBreak/>
        <w:t>Zakon o izmenama i dopunama Zakona o komunalnim delatnostima</w:t>
      </w:r>
      <w:r>
        <w:rPr>
          <w:rStyle w:val="FootnoteReference"/>
          <w:rFonts w:cs="Arial"/>
        </w:rPr>
        <w:footnoteReference w:id="66"/>
      </w:r>
      <w:r w:rsidRPr="00226637">
        <w:rPr>
          <w:rFonts w:cs="Arial"/>
        </w:rPr>
        <w:t xml:space="preserve"> , pored izmena koje se odnose na definisanje pojma komunalnih delatnosti, određivanja komunalnih delatnosti, obaveze jedinica lokalne samouprave da izveštavaju nadležno ministarstvo, propisivanja ispunjenosti uslova za obavljanje komunalne delatnosti, sadrži i odredbu koja se odnosi na upotrebu rodno diferenciranog jezika.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 o stanovanju i održavanju zgrada</w:t>
      </w:r>
      <w:r>
        <w:rPr>
          <w:rStyle w:val="FootnoteReference"/>
          <w:rFonts w:cs="Arial"/>
        </w:rPr>
        <w:footnoteReference w:id="67"/>
      </w:r>
      <w:r w:rsidRPr="00226637">
        <w:rPr>
          <w:rFonts w:cs="Arial"/>
        </w:rPr>
        <w:t xml:space="preserve">  je prilikom uređivanja pitanja kao što su održivi razvoj stanovanja, upravljanje zgradom, korišćenje i održavanje zgrade, zajedničkih i posebnih delova zgrade, postupak iseljenja i preseljenja, stambena podrška, posebnu pažnju posvetio položaju osoba sa invaliditetom, kao i licima iz drugih osetljivih grupa.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Navedeni zakon u članu 79. stav 3. tačka 6) propisuje da preseljenje u odgovarajući smeštaj treba da zadovolji, pored ostalog, fizičku pristupačnost objekta u skladu sa propisom koji uređuje nesmetano kretanje i pristup osobama sa invaliditetom, deci i starim osobama. Prilikom preseljenja, obaveza je subjekata da zaštite posebno ugrožena lica, što znači da se prilikom sprovođenja postupaka štite prava posebno ugroženih lica, naročito žena, dece, samohranih roditelja, porodica s troje i više dece, žrtava porodičnog nasilja, lica preko 65 godina starosti i osoba sa invaliditetom (član 80. tačka 4). Pored toga, stambena podrška ostvaruje se kroz programe koji se definišu i na principu pravičnosti, u smislu dodele pomoći proporcionalno socijalnoj ugroženosti, odnosno da obim stambene podrške bude veći za korisnika koji je u težoj stambenoj i socijalnoj situaciji, a u slučaju osoba sa invaliditetom, proporcionalno i stepenu invaliditeta (član 88. stav 2. tačka 2). </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Posebnu pažnju licima iz osetljivih društvenih grupa navedeni zakon posvećuje i prilikom uređenja pitanja korisnika stambene podrške i određuje da su kategorije korisnika stambene podrške prema kojima se definišu programi stambene podrške naročito, pored ostalih, beskućnik, privremeni beskućnik, odnosno lice koje je ostalo bez stana ili su mu značajno narušeni uslovi stanovanja usled konstruktivne nestabilnosti objekta, odnosno usled elementarne ili druge nepogode, a koje nema dovoljno sredstava da samostalno reši stambenu potrebu, žrtva porodičnog nasilja bez stana ili odgovarajućeg stana, koja nema dovoljno sredstava da samostalno reši stambenu potrebu, lice bez stana, odnosno bez odgovarajućeg stana, koje ima svojstvo borca I kategorije, kao i korisnik prava iz oblasti boračko-invalidske zaštite i zaštite civilnih invalida rata i lice bez stana, odnosno bez odgovarajućeg stana, koje je osoba sa invaliditetom (član 89).</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Primedbe koje je Poverenik dao u mišljenju na nacrt navedenog zakona, a koje su se odnosile na osobe sa invaliditetom su usvojene.</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Zakon o izmenama i dopunama Carinskog zakona</w:t>
      </w:r>
      <w:r>
        <w:rPr>
          <w:rStyle w:val="FootnoteReference"/>
          <w:rFonts w:cs="Arial"/>
        </w:rPr>
        <w:footnoteReference w:id="68"/>
      </w:r>
      <w:r w:rsidRPr="00226637">
        <w:rPr>
          <w:rFonts w:cs="Arial"/>
        </w:rPr>
        <w:t xml:space="preserve"> , pored ostalih izmena, uređuje pitanje zaštite ličnih podataka i posebno propisuje da se obrada ličnih podataka osoba sa invaliditetom, u slučaju podnošenja zahteva za korišćenje carinske povlastice propisane tim zakonom, odnosi isključivo na identifikaciju akta nadležnog organa, medicinske ustanove, odnosno lekara specijaliste, kojim je utvrđena invalidnost. Navedenim izmenama oslobođene </w:t>
      </w:r>
      <w:r w:rsidRPr="00226637">
        <w:rPr>
          <w:rFonts w:cs="Arial"/>
        </w:rPr>
        <w:lastRenderedPageBreak/>
        <w:t>su od plaćanja uvoznih dažbina osobe sa invaliditetom, odnosno organizacije osoba sa invaliditetom – na predmete namenjene za obrazovanje, zapošljavanje ili poboljšanje društvenog položaja osoba sa invaliditetom, kao i na rezervne delove, komponente ili dodatke koji su posebno napravljeni za te proizvode.</w:t>
      </w:r>
    </w:p>
    <w:p w:rsidR="00226637" w:rsidRPr="00226637" w:rsidRDefault="00226637" w:rsidP="00226637">
      <w:pPr>
        <w:tabs>
          <w:tab w:val="left" w:pos="709"/>
          <w:tab w:val="center" w:pos="4986"/>
        </w:tabs>
        <w:spacing w:after="100" w:afterAutospacing="1" w:line="276" w:lineRule="auto"/>
        <w:rPr>
          <w:rFonts w:cs="Arial"/>
        </w:rPr>
      </w:pPr>
      <w:r w:rsidRPr="00226637">
        <w:rPr>
          <w:rFonts w:cs="Arial"/>
        </w:rPr>
        <w:t xml:space="preserve">Poverenik je u svom mišljenju na Nacrt navedenog zakona izneo primedbe, koje su u jednom delu prihvaćene. Tako je u odnosu na tačku 11a), kojom se menja i dopunjuje član 216. Carinskog zakona, istaknuto da predložena formulacija može izazvati probleme u primeni s obzirom na to da nije moguće zaključiti da li će osobe sa invaliditetom zadržati već postojeća prava koja imaju na osnovu važećeg zakona, ili im se na ovaj način umanjuju ili proširuju prava, tj. propisane povlastice. Poverenik je ukazao na to da je potrebno preciznije definisati šta se smatra </w:t>
      </w:r>
      <w:r w:rsidRPr="000177B7">
        <w:rPr>
          <w:rFonts w:cs="Arial"/>
          <w:i/>
        </w:rPr>
        <w:t>„društvenim napretkom osoba sa invaliditetom“</w:t>
      </w:r>
      <w:r w:rsidRPr="00226637">
        <w:rPr>
          <w:rFonts w:cs="Arial"/>
        </w:rPr>
        <w:t xml:space="preserve">, kako u praksi ne bi došlo do različite primene prava, odnosno restriktivnijeg tumačenja ovog pojma na štetu osoba sa invaliditetom. Navedena primedba je prihvaćena i uneta u važeći član 216. tačka 11a). </w:t>
      </w:r>
    </w:p>
    <w:p w:rsidR="00135D51" w:rsidRDefault="00226637" w:rsidP="00226637">
      <w:pPr>
        <w:tabs>
          <w:tab w:val="left" w:pos="709"/>
          <w:tab w:val="center" w:pos="4986"/>
        </w:tabs>
        <w:spacing w:after="100" w:afterAutospacing="1" w:line="276" w:lineRule="auto"/>
        <w:rPr>
          <w:rFonts w:cs="Arial"/>
          <w:lang w:val="sr-Latn-RS"/>
        </w:rPr>
      </w:pPr>
      <w:r w:rsidRPr="00226637">
        <w:rPr>
          <w:rFonts w:cs="Arial"/>
        </w:rPr>
        <w:t>Poverenik je u mišljenju takođe ukazao na to da brisanje tačke 13. člana 216. Carinskog zakona nije dovoljno argumentovano, niti je brisanje navedene tačke zamenjeno adekvatnim zakonskim rešenjem. U mišljenju je ukazano na to da bi ovaj vid carinskih oslobođenja trebalo da ostane regulisan zakonom na uopšten način, bez obzira na to da li postoji ili ne postoji potpisani sporazum, kako bi se sa sigurnošću obezbedio jednak pristup pravima za sve osobe sa invaliditetom, bez obzira na postojanje zaključenog sporazuma, njegovu prirodu i način regulisanja ovih olakšica. Navedenu primedbu predlagač nije prihvatio.</w:t>
      </w:r>
    </w:p>
    <w:p w:rsidR="001C4AC4" w:rsidRDefault="001C4AC4" w:rsidP="00226637">
      <w:pPr>
        <w:tabs>
          <w:tab w:val="left" w:pos="709"/>
          <w:tab w:val="center" w:pos="4986"/>
        </w:tabs>
        <w:spacing w:after="100" w:afterAutospacing="1" w:line="276" w:lineRule="auto"/>
        <w:rPr>
          <w:rFonts w:cs="Arial"/>
          <w:b/>
          <w:lang w:val="sr-Latn-RS"/>
        </w:rPr>
      </w:pPr>
    </w:p>
    <w:p w:rsidR="00BF3D2E" w:rsidRPr="001C4AC4" w:rsidRDefault="00BF3D2E" w:rsidP="00226637">
      <w:pPr>
        <w:tabs>
          <w:tab w:val="left" w:pos="709"/>
          <w:tab w:val="center" w:pos="4986"/>
        </w:tabs>
        <w:spacing w:after="100" w:afterAutospacing="1" w:line="276" w:lineRule="auto"/>
        <w:rPr>
          <w:rFonts w:cs="Arial"/>
          <w:b/>
          <w:lang w:val="sr-Latn-RS"/>
        </w:rPr>
      </w:pPr>
    </w:p>
    <w:p w:rsidR="00135D51" w:rsidRPr="00135D51" w:rsidRDefault="00062200" w:rsidP="00062200">
      <w:pPr>
        <w:pStyle w:val="Heading1"/>
        <w:spacing w:after="100" w:afterAutospacing="1" w:line="276" w:lineRule="auto"/>
        <w:ind w:left="0" w:firstLine="0"/>
        <w:jc w:val="left"/>
        <w:rPr>
          <w:rFonts w:cs="Arial"/>
          <w:sz w:val="22"/>
          <w:szCs w:val="22"/>
        </w:rPr>
      </w:pPr>
      <w:bookmarkStart w:id="10" w:name="_Toc477248598"/>
      <w:bookmarkStart w:id="11" w:name="_Toc477251723"/>
      <w:r>
        <w:rPr>
          <w:rFonts w:cs="Arial"/>
          <w:szCs w:val="22"/>
          <w:lang w:val="sr-Latn-RS"/>
        </w:rPr>
        <w:t>Opis stanja i postupanje poverenika u suzbijanju diskriminacije u napređivanju ravnopravnosti</w:t>
      </w:r>
      <w:bookmarkEnd w:id="10"/>
      <w:bookmarkEnd w:id="11"/>
      <w:r w:rsidR="00135D51" w:rsidRPr="00135D51">
        <w:rPr>
          <w:rFonts w:cs="Arial"/>
          <w:sz w:val="22"/>
          <w:szCs w:val="22"/>
        </w:rPr>
        <w:br/>
      </w:r>
    </w:p>
    <w:p w:rsidR="00135D51" w:rsidRPr="00135D51" w:rsidRDefault="00062200" w:rsidP="00062200">
      <w:pPr>
        <w:tabs>
          <w:tab w:val="left" w:pos="709"/>
          <w:tab w:val="center" w:pos="4986"/>
        </w:tabs>
        <w:spacing w:line="276" w:lineRule="auto"/>
        <w:rPr>
          <w:rFonts w:cs="Arial"/>
          <w:b/>
        </w:rPr>
      </w:pPr>
      <w:r w:rsidRPr="00062200">
        <w:rPr>
          <w:rFonts w:cs="Arial"/>
        </w:rPr>
        <w:t>S ciljem pružanja kvalitetnog i sveobuhvatnog uvida u stanje ostvarivanja i zaštite ravnopravnosti, u ovom delu Redovnog godišnjeg izveštaja Poverenika biće predstavljeni najpre rezultati istraživanja javnog mnjenja koja su za potrebe Poverenika sprovedena tokom 2016. godine, a potom i izveštaji Evropske unije, relevantna dokumenta međunarodnih organizacija, izveštaji i istraživanja nevladinih organizacija u Srbiji, kao i praksa Evropskog suda za ljudska prava. Opis stanja u pogledu ostvarivanja i zaštite ravnopravnosti upotpunjen je kratkim prikazom ključnih problema u ostvarivanju zaštite od diskriminacije, na osnovu saznanja iz postupaka koje je Poverenik za zaštitu ravnopravnosti sproveo po pritužbama, ali i iz drugih izvora.</w:t>
      </w:r>
    </w:p>
    <w:p w:rsidR="00135D51" w:rsidRPr="00135D51" w:rsidRDefault="00062200" w:rsidP="00D93153">
      <w:pPr>
        <w:pStyle w:val="Heading2"/>
        <w:numPr>
          <w:ilvl w:val="0"/>
          <w:numId w:val="11"/>
        </w:numPr>
        <w:spacing w:after="100" w:afterAutospacing="1" w:line="276" w:lineRule="auto"/>
        <w:ind w:left="426" w:hanging="426"/>
        <w:rPr>
          <w:rFonts w:ascii="Arial" w:hAnsi="Arial" w:cs="Arial"/>
          <w:sz w:val="22"/>
          <w:szCs w:val="22"/>
        </w:rPr>
      </w:pPr>
      <w:bookmarkStart w:id="12" w:name="_Toc477248599"/>
      <w:bookmarkStart w:id="13" w:name="_Toc477251724"/>
      <w:r>
        <w:rPr>
          <w:rFonts w:ascii="Arial" w:hAnsi="Arial" w:cs="Arial"/>
          <w:sz w:val="22"/>
          <w:szCs w:val="22"/>
          <w:lang w:val="sr-Latn-RS"/>
        </w:rPr>
        <w:t xml:space="preserve">Istraživanja </w:t>
      </w:r>
      <w:bookmarkEnd w:id="12"/>
      <w:bookmarkEnd w:id="13"/>
      <w:r>
        <w:rPr>
          <w:rFonts w:ascii="Arial" w:hAnsi="Arial" w:cs="Arial"/>
          <w:sz w:val="22"/>
          <w:szCs w:val="22"/>
          <w:lang w:val="sr-Latn-RS"/>
        </w:rPr>
        <w:t>Poverenika za zaštitu ravnopravnosti</w:t>
      </w:r>
    </w:p>
    <w:p w:rsidR="00135D51" w:rsidRDefault="00062200" w:rsidP="00135D51">
      <w:pPr>
        <w:spacing w:line="276" w:lineRule="auto"/>
        <w:ind w:firstLine="567"/>
        <w:rPr>
          <w:rFonts w:cs="Arial"/>
          <w:lang w:val="sr-Latn-RS"/>
        </w:rPr>
      </w:pPr>
      <w:r w:rsidRPr="00062200">
        <w:rPr>
          <w:rFonts w:cs="Arial"/>
        </w:rPr>
        <w:t>U toku 2016. godine sprovedena su dva važna istraživanja o učestalosti diskriminacije i ostvarivanju ravnopravnosti u Republici Srbiji – „Odnos građana i građanki prema diskriminaciji u Srbiji“ i „Položaj starijih u ruralnim oblastima“. Rezultati ovih istraživanje su od značaja za određivanje smernica i postavljanje prioriteta u kreiranju i vođenju javnih politika u ovim društvenim oblastima u narednom periodu.</w:t>
      </w:r>
    </w:p>
    <w:p w:rsidR="00062200" w:rsidRPr="00062200" w:rsidRDefault="00062200" w:rsidP="00135D51">
      <w:pPr>
        <w:spacing w:line="276" w:lineRule="auto"/>
        <w:ind w:firstLine="567"/>
        <w:rPr>
          <w:rFonts w:cs="Arial"/>
          <w:lang w:val="sr-Latn-RS"/>
        </w:rPr>
      </w:pPr>
    </w:p>
    <w:p w:rsidR="00062200" w:rsidRDefault="00062200" w:rsidP="001C7E66">
      <w:pPr>
        <w:pStyle w:val="Heading3"/>
        <w:rPr>
          <w:lang w:val="sr-Latn-RS"/>
        </w:rPr>
      </w:pPr>
      <w:r w:rsidRPr="00062200">
        <w:t>3.1.1.</w:t>
      </w:r>
      <w:r w:rsidRPr="00062200">
        <w:tab/>
        <w:t>Istraživanje javnog mnjenja „Odnos građana i građanki prema diskriminaciji u Srbiji“</w:t>
      </w:r>
    </w:p>
    <w:p w:rsidR="00062200" w:rsidRPr="00062200" w:rsidRDefault="00062200" w:rsidP="00062200">
      <w:pPr>
        <w:autoSpaceDE w:val="0"/>
        <w:autoSpaceDN w:val="0"/>
        <w:adjustRightInd w:val="0"/>
        <w:spacing w:after="0" w:line="276" w:lineRule="auto"/>
        <w:ind w:firstLine="567"/>
        <w:rPr>
          <w:rFonts w:cs="Arial"/>
        </w:rPr>
      </w:pPr>
      <w:r w:rsidRPr="00062200">
        <w:rPr>
          <w:rFonts w:cs="Arial"/>
        </w:rPr>
        <w:t>Poverenik za zaštitu ravnopravnosti je u okviru IPA 2013 Tvining projekta „Podrška unapređenju ljudskih prava i nulta tolerancija za diskriminaciju“, realizovao istraživanje javnog mnjenja „Odnos građana i građanki prema diskriminaciji u Srbiji“</w:t>
      </w:r>
      <w:r>
        <w:rPr>
          <w:rStyle w:val="FootnoteReference"/>
          <w:rFonts w:cs="Arial"/>
        </w:rPr>
        <w:footnoteReference w:id="69"/>
      </w:r>
      <w:r w:rsidRPr="00062200">
        <w:rPr>
          <w:rFonts w:cs="Arial"/>
        </w:rPr>
        <w:t xml:space="preserve"> . Istraživanje je sprovela agencija Faktor Plus tokom juna 2016. godine. Kako bi se osigurala uporedivost dobijenih podataka s prethodnim istraživanjima Poverenika, sprovedenim krajem 2012. i 2013. godine, metodologija izbora uzorka ujednačena je s prethodnim istraživanjima. Radi se o petom po redu istraživanju ovakve vrste, budući da su po istoj metodologiji sprovedena već četiri istraživanja, što je omogućilo da se uoče trendovi i promene u stavovima i percepciji građana. Velika je potreba za ovom vrstom istraživanja jer ona omogućavaju da se utvrde stavovi i percepcije građana u aktuelnom socijalnom kontekstu i njihov odnos prema pripadnicima određenih društvenih grupa, što je jedan od osnovnih preduslova za planiranje i uspešno sprovođenje mera i aktivnosti namenjenih sprečavanju i suzbijanju diskriminacije. Zahvaljujući jedinstvenoj metodologiji koja je primenjena u svim istraživanjima, mogu se uočiti određene promene i tendencije u odnosu na rezultate ranijih istraživanja i identifikovati ključna područja delovanja i prioriteti u radu na suzbijanju diskriminacije. </w:t>
      </w:r>
    </w:p>
    <w:p w:rsidR="00135D51" w:rsidRDefault="00062200" w:rsidP="00062200">
      <w:pPr>
        <w:autoSpaceDE w:val="0"/>
        <w:autoSpaceDN w:val="0"/>
        <w:adjustRightInd w:val="0"/>
        <w:spacing w:after="0" w:line="276" w:lineRule="auto"/>
        <w:ind w:firstLine="567"/>
        <w:rPr>
          <w:rFonts w:cs="Arial"/>
          <w:lang w:val="sr-Latn-RS"/>
        </w:rPr>
      </w:pPr>
      <w:r w:rsidRPr="00062200">
        <w:rPr>
          <w:rFonts w:cs="Arial"/>
        </w:rPr>
        <w:t>Sprovedeno istraživanje predstavlja važan izvor informacija o odnosu građana prema diskriminaciji, o socijalnoj distanci koja postoji prema pripadnicima različitih grupa, njihovoj upoznatosti sa zakonodavnim okvirom i sankcijama koje se mogu izreći, kao i o njihovoj percepciji uloga raznih aktera u podsticanju i suzbijanju diskriminacije.</w:t>
      </w:r>
    </w:p>
    <w:p w:rsidR="00062200" w:rsidRDefault="00062200" w:rsidP="00062200">
      <w:pPr>
        <w:autoSpaceDE w:val="0"/>
        <w:autoSpaceDN w:val="0"/>
        <w:adjustRightInd w:val="0"/>
        <w:spacing w:after="0" w:line="276" w:lineRule="auto"/>
        <w:ind w:firstLine="567"/>
        <w:rPr>
          <w:rFonts w:cs="Arial"/>
          <w:lang w:val="sr-Latn-RS"/>
        </w:rPr>
      </w:pPr>
    </w:p>
    <w:p w:rsidR="001813D7" w:rsidRPr="00062200" w:rsidRDefault="001813D7" w:rsidP="00062200">
      <w:pPr>
        <w:autoSpaceDE w:val="0"/>
        <w:autoSpaceDN w:val="0"/>
        <w:adjustRightInd w:val="0"/>
        <w:spacing w:after="0" w:line="276" w:lineRule="auto"/>
        <w:ind w:firstLine="567"/>
        <w:rPr>
          <w:rFonts w:cs="Arial"/>
          <w:lang w:val="sr-Latn-RS"/>
        </w:rPr>
      </w:pPr>
    </w:p>
    <w:p w:rsidR="001813D7" w:rsidRDefault="001813D7" w:rsidP="00135D51">
      <w:pPr>
        <w:spacing w:after="100" w:afterAutospacing="1" w:line="276" w:lineRule="auto"/>
        <w:rPr>
          <w:bCs/>
          <w:i/>
          <w:lang w:val="sr-Latn-RS"/>
        </w:rPr>
      </w:pPr>
      <w:r w:rsidRPr="001813D7">
        <w:rPr>
          <w:bCs/>
          <w:i/>
        </w:rPr>
        <w:t>3.1.1.1.</w:t>
      </w:r>
      <w:r w:rsidRPr="001813D7">
        <w:rPr>
          <w:bCs/>
          <w:i/>
        </w:rPr>
        <w:tab/>
        <w:t>Izloženost diskriminaciji i poverenje u državne institucije</w:t>
      </w:r>
    </w:p>
    <w:p w:rsidR="001813D7" w:rsidRPr="001813D7" w:rsidRDefault="001813D7" w:rsidP="001813D7">
      <w:pPr>
        <w:autoSpaceDE w:val="0"/>
        <w:autoSpaceDN w:val="0"/>
        <w:adjustRightInd w:val="0"/>
        <w:spacing w:after="0" w:line="276" w:lineRule="auto"/>
        <w:ind w:firstLine="567"/>
        <w:rPr>
          <w:rFonts w:cs="Arial"/>
        </w:rPr>
      </w:pPr>
      <w:r w:rsidRPr="001813D7">
        <w:rPr>
          <w:rFonts w:cs="Arial"/>
        </w:rPr>
        <w:t xml:space="preserve">Rezultati ovog istraživanja pokazali su da 13% građana Srbije smatra da je u nekom trenutku tokom svog života bilo izloženo diskriminaciji, što čini blago poboljšanje u odnosu na rezultate iz 2013. godine, kada je ovaj broj iznosio 16%. Takođe, rezultati istraživanja ukazuju na to da je najveći broj građana koji smatraju da su diskriminisani upravo među pripadnicima LGBT populacije (50%), a zatim među pripadnicima etničkih manjina (36%). </w:t>
      </w:r>
    </w:p>
    <w:p w:rsidR="001813D7" w:rsidRPr="001813D7" w:rsidRDefault="001813D7" w:rsidP="001813D7">
      <w:pPr>
        <w:autoSpaceDE w:val="0"/>
        <w:autoSpaceDN w:val="0"/>
        <w:adjustRightInd w:val="0"/>
        <w:spacing w:after="0" w:line="276" w:lineRule="auto"/>
        <w:ind w:firstLine="567"/>
        <w:rPr>
          <w:rFonts w:cs="Arial"/>
        </w:rPr>
      </w:pPr>
      <w:r w:rsidRPr="001813D7">
        <w:rPr>
          <w:rFonts w:cs="Arial"/>
        </w:rPr>
        <w:t xml:space="preserve">Broj građana koji bi se obratio državnim institucijama je dva puta veći u odnosu na 2013. godinu (povećanje sa 32% na 63%), što ukazuje na to da sve više građana ima poverenja u institucije, odnosno da se oseća spremno da im se obrati u slučaju diskriminacije. U odnosu na istraživanje iz 2013, značajno je povećan broj građana koji bi se u slučaju diskriminacije obratili Povereniku za zaštitu ravnopravnosti, na 18%. </w:t>
      </w:r>
    </w:p>
    <w:p w:rsidR="001813D7" w:rsidRPr="001813D7" w:rsidRDefault="001813D7" w:rsidP="001813D7">
      <w:pPr>
        <w:autoSpaceDE w:val="0"/>
        <w:autoSpaceDN w:val="0"/>
        <w:adjustRightInd w:val="0"/>
        <w:spacing w:after="0" w:line="276" w:lineRule="auto"/>
        <w:ind w:firstLine="567"/>
        <w:rPr>
          <w:rFonts w:cs="Arial"/>
        </w:rPr>
      </w:pPr>
      <w:r w:rsidRPr="001813D7">
        <w:rPr>
          <w:rFonts w:cs="Arial"/>
        </w:rPr>
        <w:t xml:space="preserve">Isto tako, 2013, 10% građana je navelo da bi prijavilo diskriminaciju policiji, a 2016. godine taj broj je udvostručen (21%), što ukazuje na to da je potrebno dodatno jačati kapacitete policije da adekvatno reaguje na prijavljene slučajeve diskriminacije. Poverenik za zaštitu ravnopravnosti je u toku 2016. godine organizovao sedam jednodnevnih i jednu dvodnevnu obuku za policijske službenike i službenice, „Prepoznavanje i reagovanje na </w:t>
      </w:r>
      <w:r w:rsidRPr="001813D7">
        <w:rPr>
          <w:rFonts w:cs="Arial"/>
        </w:rPr>
        <w:lastRenderedPageBreak/>
        <w:t>diskriminaciju“, kao meru osnaživanja policije. U odnosu na prethodno istraživanje, a u skladu s povećanjem spremnosti građana da se obrate institucijama, značajno je smanjen i procenat građana koji ne znaju kome da se obrate i koji smatraju da su procedure suviše komplikovane.</w:t>
      </w:r>
    </w:p>
    <w:p w:rsidR="00135D51" w:rsidRDefault="001813D7" w:rsidP="001813D7">
      <w:pPr>
        <w:autoSpaceDE w:val="0"/>
        <w:autoSpaceDN w:val="0"/>
        <w:adjustRightInd w:val="0"/>
        <w:spacing w:after="0" w:line="276" w:lineRule="auto"/>
        <w:ind w:firstLine="567"/>
        <w:rPr>
          <w:rFonts w:cs="Arial"/>
          <w:lang w:val="sr-Latn-RS"/>
        </w:rPr>
      </w:pPr>
      <w:r w:rsidRPr="001813D7">
        <w:rPr>
          <w:rFonts w:cs="Arial"/>
        </w:rPr>
        <w:t>Među građanima koji se ne bi obratili institucijama, nepoverenje u državu najređe iskazuju stanovnici manjih gradova (48%), a najčešće stanovnici sela (68%). S druge strane, najviše stanovnika manjih gradova ne zna kome može da se obrati u slučaju diskriminacije (23%).</w:t>
      </w:r>
    </w:p>
    <w:p w:rsidR="001813D7" w:rsidRDefault="001813D7" w:rsidP="001813D7">
      <w:pPr>
        <w:autoSpaceDE w:val="0"/>
        <w:autoSpaceDN w:val="0"/>
        <w:adjustRightInd w:val="0"/>
        <w:spacing w:after="0" w:line="276" w:lineRule="auto"/>
        <w:ind w:firstLine="567"/>
        <w:rPr>
          <w:rFonts w:cs="Arial"/>
          <w:lang w:val="sr-Latn-RS"/>
        </w:rPr>
      </w:pPr>
    </w:p>
    <w:p w:rsidR="001813D7" w:rsidRPr="001813D7" w:rsidRDefault="001813D7" w:rsidP="001813D7">
      <w:pPr>
        <w:autoSpaceDE w:val="0"/>
        <w:autoSpaceDN w:val="0"/>
        <w:adjustRightInd w:val="0"/>
        <w:spacing w:after="0" w:line="276" w:lineRule="auto"/>
        <w:ind w:firstLine="567"/>
        <w:rPr>
          <w:rFonts w:cs="Arial"/>
          <w:lang w:val="sr-Latn-RS"/>
        </w:rPr>
      </w:pPr>
    </w:p>
    <w:p w:rsidR="001813D7" w:rsidRDefault="008C62AB" w:rsidP="00135D51">
      <w:pPr>
        <w:spacing w:after="100" w:afterAutospacing="1" w:line="276" w:lineRule="auto"/>
        <w:rPr>
          <w:bCs/>
          <w:i/>
          <w:lang w:val="sr-Latn-RS"/>
        </w:rPr>
      </w:pPr>
      <w:r>
        <w:rPr>
          <w:bCs/>
          <w:i/>
        </w:rPr>
        <w:t>3.1.1.</w:t>
      </w:r>
      <w:r>
        <w:rPr>
          <w:bCs/>
          <w:i/>
          <w:lang w:val="sr-Latn-RS"/>
        </w:rPr>
        <w:t>2</w:t>
      </w:r>
      <w:r w:rsidR="001813D7" w:rsidRPr="001813D7">
        <w:rPr>
          <w:bCs/>
          <w:i/>
        </w:rPr>
        <w:t>.</w:t>
      </w:r>
      <w:r w:rsidR="001813D7" w:rsidRPr="001813D7">
        <w:rPr>
          <w:bCs/>
          <w:i/>
        </w:rPr>
        <w:tab/>
        <w:t>Poimanje i prepoznavanje diskriminacije</w:t>
      </w:r>
    </w:p>
    <w:p w:rsidR="001813D7" w:rsidRPr="001813D7" w:rsidRDefault="001813D7" w:rsidP="001813D7">
      <w:pPr>
        <w:spacing w:after="100" w:afterAutospacing="1" w:line="276" w:lineRule="auto"/>
        <w:rPr>
          <w:rFonts w:cs="Arial"/>
        </w:rPr>
      </w:pPr>
      <w:r w:rsidRPr="001813D7">
        <w:rPr>
          <w:rFonts w:cs="Arial"/>
        </w:rPr>
        <w:t xml:space="preserve">Uprkos činjenici da je broj građana koji bi se obratio institucijama duplo veći nego 2013. godine, na efikasnost suzbijanja diskriminacije može uticati i dalje nizak nivo njenog prepoznavanja. Na osnovu analize odgovora dobijenih u poslednjem istraživanju, može se zaključiti da svega četvrtina od ukupnog broja ispitanika (24%) razume diskriminaciju kao nejednako postupanje koje je zasnovano na nekom ličnom svojstvu. Pojam diskriminacije građani najčešće mešaju sa nasiljem prema različitim grupama, bez obzira na to da li je ono zasnovano na ličnom svojstvu ili ne (8%), kao i s odbacivanjem različitih grupa koje nije zasnovano na ličnom svojstvu (4%). Kako je prepoznavanje diskriminacije preduslov njenog prijavljivanja, nemogućnost da se jasno prepozna diskriminacija značajno ograničava zaštitu u ovoj oblasti. </w:t>
      </w:r>
    </w:p>
    <w:p w:rsidR="001813D7" w:rsidRPr="001813D7" w:rsidRDefault="001813D7" w:rsidP="001813D7">
      <w:pPr>
        <w:spacing w:after="100" w:afterAutospacing="1" w:line="276" w:lineRule="auto"/>
        <w:rPr>
          <w:rFonts w:cs="Arial"/>
        </w:rPr>
      </w:pPr>
      <w:r w:rsidRPr="001813D7">
        <w:rPr>
          <w:rFonts w:cs="Arial"/>
        </w:rPr>
        <w:t>Najveći broj građana Srbije i dalje veruje da je diskriminacija u Srbiji rasprostranjena. Istraživanje ukazuje na to da petina građana smatra da je diskriminacija u potpunosti prisutna (19%), dok manje od polovine ima stav da je uglavnom prisutna (44%). Drugim rečima, dve trećine građana (63%) smatraju da diskriminacija u Srbiji postoji u značajnoj meri. Ovi rezultati ukazuju na to da se percepcija građana o zastupljenosti diskriminacije nije značajno promenila u odnosu na 2013. godinu, kada je 65% građana smatralo da je diskriminacija prilično ili mnogo prisutna.</w:t>
      </w:r>
    </w:p>
    <w:p w:rsidR="00135D51" w:rsidRDefault="001813D7" w:rsidP="001813D7">
      <w:pPr>
        <w:spacing w:after="100" w:afterAutospacing="1" w:line="276" w:lineRule="auto"/>
        <w:rPr>
          <w:rFonts w:cs="Arial"/>
          <w:lang w:val="sr-Latn-RS"/>
        </w:rPr>
      </w:pPr>
      <w:r w:rsidRPr="001813D7">
        <w:rPr>
          <w:rFonts w:cs="Arial"/>
        </w:rPr>
        <w:t>Ukoliko se posmatra stav građana prema tome da li je došlo do povećanja ili smanjenja diskriminacije u Srbiji, većina smatra da se u protekle tri godine ništa nije promenilo (44%). Svaki četvrti ispitanik smatra da je diskriminacija izraženija u odnosu na period od pre tri godine (26%), dok je svaki dvanaesti građanin odgovorio da se smanjila (8%). Ukoliko se ovi podaci uporede s rezultatima iz 2013. godine, može se zaključiti da skoro duplo manji broj građana smatra da se diskriminacija povećava, što je pozitivna tendencija.</w:t>
      </w:r>
    </w:p>
    <w:p w:rsidR="001813D7" w:rsidRPr="001813D7" w:rsidRDefault="001813D7" w:rsidP="001813D7">
      <w:pPr>
        <w:spacing w:after="100" w:afterAutospacing="1" w:line="276" w:lineRule="auto"/>
        <w:rPr>
          <w:rFonts w:cs="Arial"/>
          <w:lang w:val="sr-Latn-RS"/>
        </w:rPr>
      </w:pPr>
    </w:p>
    <w:p w:rsidR="001813D7" w:rsidRDefault="008C62AB" w:rsidP="008C62AB">
      <w:pPr>
        <w:spacing w:after="100" w:afterAutospacing="1" w:line="276" w:lineRule="auto"/>
        <w:ind w:firstLine="284"/>
        <w:rPr>
          <w:bCs/>
          <w:i/>
          <w:lang w:val="sr-Latn-RS"/>
        </w:rPr>
      </w:pPr>
      <w:r>
        <w:rPr>
          <w:bCs/>
          <w:i/>
        </w:rPr>
        <w:t>3.1.1.</w:t>
      </w:r>
      <w:r>
        <w:rPr>
          <w:bCs/>
          <w:i/>
          <w:lang w:val="sr-Latn-RS"/>
        </w:rPr>
        <w:t>3</w:t>
      </w:r>
      <w:r w:rsidR="001813D7" w:rsidRPr="001813D7">
        <w:rPr>
          <w:bCs/>
          <w:i/>
        </w:rPr>
        <w:t>.</w:t>
      </w:r>
      <w:r w:rsidR="001813D7" w:rsidRPr="001813D7">
        <w:rPr>
          <w:bCs/>
          <w:i/>
        </w:rPr>
        <w:tab/>
        <w:t>Stavovi o najdiskriminisanijim društvenim grupama</w:t>
      </w:r>
    </w:p>
    <w:p w:rsidR="001813D7" w:rsidRPr="001813D7" w:rsidRDefault="001813D7" w:rsidP="001813D7">
      <w:pPr>
        <w:spacing w:after="100" w:afterAutospacing="1" w:line="276" w:lineRule="auto"/>
        <w:rPr>
          <w:rFonts w:cs="Arial"/>
        </w:rPr>
      </w:pPr>
      <w:r w:rsidRPr="001813D7">
        <w:rPr>
          <w:rFonts w:cs="Arial"/>
        </w:rPr>
        <w:t xml:space="preserve">Ispitanici kao prvu slobodnu asocijaciju o najdiskriminisanijoj grupi u Srbiji navode pripadnike romske nacionalnosti (23%), a potom LGBT osobe (12%), žene (9%) i siromašne (6%). Sve ostale grupe navode u manje od 5% slučajeva, među kojima posebno treba izdvojiti nacionalne manjine (4%) i osobe s telesnim i senzornim invaliditetom (4%), dok se osobe s </w:t>
      </w:r>
      <w:r w:rsidRPr="001813D7">
        <w:rPr>
          <w:rFonts w:cs="Arial"/>
        </w:rPr>
        <w:lastRenderedPageBreak/>
        <w:t>intelektualnim poteškoćama i mentalnim smetnjama navode kao najmanje diskriminisane (manje od 1%).</w:t>
      </w:r>
    </w:p>
    <w:p w:rsidR="001813D7" w:rsidRPr="001813D7" w:rsidRDefault="001813D7" w:rsidP="001813D7">
      <w:pPr>
        <w:spacing w:after="100" w:afterAutospacing="1" w:line="276" w:lineRule="auto"/>
        <w:rPr>
          <w:rFonts w:cs="Arial"/>
        </w:rPr>
      </w:pPr>
      <w:r w:rsidRPr="001813D7">
        <w:rPr>
          <w:rFonts w:cs="Arial"/>
        </w:rPr>
        <w:t>Osim na ovaj način, percepcija o zastupljenosti diskriminacije ispitana je i tako što se od građana tražilo da ocene od 1 do 5 u kojoj meri su određene grupe diskriminisane, pri čemu im je prikazana lista različitih društvenih grupa. Kao grupe koje su najviše diskriminisane građani vide Rome (3,6%) i siromašne (3,6%), a zatim slede pripadnici LGBT populacije (3,4%), osobe s intelektualnim poteškoćama i mentalnim smetnjama (3,4%), osobe obolele od HIV/AIDS-a (3,4%) i osobe s telesnim i senzornim invaliditetom (3,3%). Treću grupu po izloženosti diskriminaciji čine žene (3,2%) i starije osobe (3,1%), četvrtu pripadnici verskih manjina (2,7%), migranti (2,7%) i građani albanske nacionalne pripadnosti (2,7%), a na petom mestu nalaze se izbeglice (2,5%), građani srpske nacionalne pripadnosti (2,4%), hrvatske nacionalne pripadnosti (2,4%) i građani koji se izjašnjavaju kao Bošnjaci/muslimani (2,4%). Kao najmanje izložene diskriminaciji građani vide strance (2,1%) i građane mađarske nacionalne pripadnosti (2,1%).</w:t>
      </w:r>
    </w:p>
    <w:p w:rsidR="001813D7" w:rsidRPr="001813D7" w:rsidRDefault="001813D7" w:rsidP="001813D7">
      <w:pPr>
        <w:spacing w:after="100" w:afterAutospacing="1" w:line="276" w:lineRule="auto"/>
        <w:rPr>
          <w:rFonts w:cs="Arial"/>
        </w:rPr>
      </w:pPr>
      <w:r w:rsidRPr="001813D7">
        <w:rPr>
          <w:rFonts w:cs="Arial"/>
        </w:rPr>
        <w:t>Ukoliko se posmatra relativan položaj navedenih grupa u odnosu na istraživanje iz 2013. godine, može se zaključiti da je percepcija građana o stepenu njihove izloženosti diskriminaciji slična. Razlika se javlja u tome što građani Rome i LGBT osobe vide kao češće izložene diskriminaciji nego pre tri godine, dok istovremeno starije osobe i žene vide kao manje diskriminisane u odnosu na prethodno istraživanje.</w:t>
      </w:r>
    </w:p>
    <w:p w:rsidR="00135D51" w:rsidRDefault="001813D7" w:rsidP="001813D7">
      <w:pPr>
        <w:spacing w:after="100" w:afterAutospacing="1" w:line="276" w:lineRule="auto"/>
        <w:rPr>
          <w:rFonts w:cs="Arial"/>
          <w:lang w:val="sr-Latn-RS"/>
        </w:rPr>
      </w:pPr>
      <w:r w:rsidRPr="001813D7">
        <w:rPr>
          <w:rFonts w:cs="Arial"/>
        </w:rPr>
        <w:t>Među ispitanicima postoji blaga razlika u percepciji koje su grupe izložene najvećoj diskriminaciji, pa građani južne i istočne Srbije češće od ostalih navode Rome kao najugroženiju grupu (27%), a značajno ređe osobe sa invaliditetom (8%). S druge strane, stanovnici Beograda (19%), Šumadije i zapadne Srbije (17%) češće percipiraju osobe sa invaliditetom kao najdiskriminisaniju grupu.</w:t>
      </w:r>
    </w:p>
    <w:p w:rsidR="001813D7" w:rsidRPr="001813D7" w:rsidRDefault="001813D7" w:rsidP="001813D7">
      <w:pPr>
        <w:spacing w:after="100" w:afterAutospacing="1" w:line="276" w:lineRule="auto"/>
        <w:rPr>
          <w:rFonts w:cs="Arial"/>
          <w:lang w:val="sr-Latn-RS"/>
        </w:rPr>
      </w:pPr>
    </w:p>
    <w:p w:rsidR="001813D7" w:rsidRDefault="008C62AB" w:rsidP="008C62AB">
      <w:pPr>
        <w:autoSpaceDE w:val="0"/>
        <w:autoSpaceDN w:val="0"/>
        <w:adjustRightInd w:val="0"/>
        <w:spacing w:after="0" w:line="276" w:lineRule="auto"/>
        <w:ind w:firstLine="284"/>
        <w:rPr>
          <w:bCs/>
          <w:i/>
          <w:lang w:val="sr-Latn-RS"/>
        </w:rPr>
      </w:pPr>
      <w:r>
        <w:rPr>
          <w:bCs/>
          <w:i/>
        </w:rPr>
        <w:t>3.1.1.</w:t>
      </w:r>
      <w:r>
        <w:rPr>
          <w:bCs/>
          <w:i/>
          <w:lang w:val="sr-Latn-RS"/>
        </w:rPr>
        <w:t>4</w:t>
      </w:r>
      <w:r w:rsidR="001813D7" w:rsidRPr="001813D7">
        <w:rPr>
          <w:bCs/>
          <w:i/>
        </w:rPr>
        <w:t>.</w:t>
      </w:r>
      <w:r w:rsidR="001813D7" w:rsidRPr="001813D7">
        <w:rPr>
          <w:bCs/>
          <w:i/>
        </w:rPr>
        <w:tab/>
        <w:t>Stavovi o oblastima društvenih odnosa u kojima je diskriminacija najučestalija</w:t>
      </w:r>
    </w:p>
    <w:p w:rsidR="001813D7" w:rsidRPr="001813D7" w:rsidRDefault="001813D7" w:rsidP="001813D7">
      <w:pPr>
        <w:autoSpaceDE w:val="0"/>
        <w:autoSpaceDN w:val="0"/>
        <w:adjustRightInd w:val="0"/>
        <w:spacing w:after="0" w:line="276" w:lineRule="auto"/>
        <w:rPr>
          <w:bCs/>
          <w:i/>
          <w:lang w:val="sr-Latn-RS"/>
        </w:rPr>
      </w:pPr>
    </w:p>
    <w:p w:rsidR="001813D7" w:rsidRPr="001813D7" w:rsidRDefault="001813D7" w:rsidP="001813D7">
      <w:pPr>
        <w:autoSpaceDE w:val="0"/>
        <w:autoSpaceDN w:val="0"/>
        <w:adjustRightInd w:val="0"/>
        <w:spacing w:after="0" w:line="276" w:lineRule="auto"/>
        <w:rPr>
          <w:bCs/>
        </w:rPr>
      </w:pPr>
      <w:r w:rsidRPr="001813D7">
        <w:rPr>
          <w:bCs/>
        </w:rPr>
        <w:t xml:space="preserve">Prema mišljenju građana, rad i zapošljavanje su oblasti u kojima se najčešće javlja diskriminacija. Takav je stav više od dve trećine ispitanih (72%). Ovaj podatak se poklapa i s podacima iz prakse Poverenika za zaštitu ravnopravnosti – najveći broj pritužbi podnetih u 2015. godini odnosio se upravo na diskriminaciju u postupku zapošljavanja ili na poslu (36%). </w:t>
      </w:r>
    </w:p>
    <w:p w:rsidR="00135D51" w:rsidRDefault="001813D7" w:rsidP="001813D7">
      <w:pPr>
        <w:autoSpaceDE w:val="0"/>
        <w:autoSpaceDN w:val="0"/>
        <w:adjustRightInd w:val="0"/>
        <w:spacing w:after="0" w:line="276" w:lineRule="auto"/>
        <w:ind w:firstLine="567"/>
        <w:rPr>
          <w:bCs/>
          <w:lang w:val="sr-Latn-RS"/>
        </w:rPr>
      </w:pPr>
      <w:r w:rsidRPr="001813D7">
        <w:rPr>
          <w:bCs/>
        </w:rPr>
        <w:t>Nakon rada i zapošljavanja, građani prepoznaju oblast socijalne zaštite (31%), a potom zdravstvo (25%) i obrazovanje (23%) kao oblasti u kojima je diskriminacija najzastupljenija.</w:t>
      </w:r>
    </w:p>
    <w:p w:rsidR="001813D7" w:rsidRPr="001813D7" w:rsidRDefault="001813D7" w:rsidP="001813D7">
      <w:pPr>
        <w:autoSpaceDE w:val="0"/>
        <w:autoSpaceDN w:val="0"/>
        <w:adjustRightInd w:val="0"/>
        <w:spacing w:after="0" w:line="276" w:lineRule="auto"/>
        <w:ind w:firstLine="567"/>
        <w:rPr>
          <w:rFonts w:cs="Arial"/>
          <w:lang w:val="sr-Latn-RS"/>
        </w:rPr>
      </w:pPr>
    </w:p>
    <w:p w:rsidR="00DE0535" w:rsidRDefault="008C62AB" w:rsidP="008C62AB">
      <w:pPr>
        <w:autoSpaceDE w:val="0"/>
        <w:autoSpaceDN w:val="0"/>
        <w:adjustRightInd w:val="0"/>
        <w:spacing w:after="0" w:line="276" w:lineRule="auto"/>
        <w:ind w:firstLine="284"/>
        <w:rPr>
          <w:bCs/>
          <w:i/>
          <w:lang w:val="sr-Latn-RS"/>
        </w:rPr>
      </w:pPr>
      <w:r>
        <w:rPr>
          <w:bCs/>
          <w:i/>
        </w:rPr>
        <w:t>3.1.1.</w:t>
      </w:r>
      <w:r>
        <w:rPr>
          <w:bCs/>
          <w:i/>
          <w:lang w:val="sr-Latn-RS"/>
        </w:rPr>
        <w:t>5</w:t>
      </w:r>
      <w:r w:rsidR="00DE0535" w:rsidRPr="00DE0535">
        <w:rPr>
          <w:bCs/>
          <w:i/>
        </w:rPr>
        <w:t>.</w:t>
      </w:r>
      <w:r w:rsidR="00DE0535" w:rsidRPr="00DE0535">
        <w:rPr>
          <w:bCs/>
          <w:i/>
        </w:rPr>
        <w:tab/>
        <w:t>Percepcija diskriminacije</w:t>
      </w:r>
    </w:p>
    <w:p w:rsidR="00DE0535" w:rsidRPr="00DE0535" w:rsidRDefault="00DE0535" w:rsidP="00DE0535">
      <w:pPr>
        <w:autoSpaceDE w:val="0"/>
        <w:autoSpaceDN w:val="0"/>
        <w:adjustRightInd w:val="0"/>
        <w:spacing w:after="0" w:line="276" w:lineRule="auto"/>
        <w:rPr>
          <w:bCs/>
          <w:i/>
          <w:lang w:val="sr-Latn-RS"/>
        </w:rPr>
      </w:pPr>
    </w:p>
    <w:p w:rsidR="00DE0535" w:rsidRPr="00DE0535" w:rsidRDefault="00DE0535" w:rsidP="00DE0535">
      <w:pPr>
        <w:autoSpaceDE w:val="0"/>
        <w:autoSpaceDN w:val="0"/>
        <w:adjustRightInd w:val="0"/>
        <w:spacing w:after="0" w:line="276" w:lineRule="auto"/>
        <w:rPr>
          <w:bCs/>
        </w:rPr>
      </w:pPr>
      <w:r w:rsidRPr="00DE0535">
        <w:rPr>
          <w:bCs/>
        </w:rPr>
        <w:t xml:space="preserve">U odnosu na rezultate iz 2013. godine, nastavlja se već prisutna tendencija da sve manji broj građana diskriminaciju percipira kao prioritet države (četvrtina ispitanika – 24%) i porasta </w:t>
      </w:r>
      <w:r w:rsidRPr="00DE0535">
        <w:rPr>
          <w:bCs/>
        </w:rPr>
        <w:lastRenderedPageBreak/>
        <w:t>broja onih koji smatraju da je diskriminacija važan problem (dve trećine ispitanih), ali da postoje veći problemi s kojima se društvo suočava (59%).</w:t>
      </w:r>
    </w:p>
    <w:p w:rsidR="00DE0535" w:rsidRPr="00DE0535" w:rsidRDefault="00DE0535" w:rsidP="00DE0535">
      <w:pPr>
        <w:autoSpaceDE w:val="0"/>
        <w:autoSpaceDN w:val="0"/>
        <w:adjustRightInd w:val="0"/>
        <w:spacing w:after="0" w:line="276" w:lineRule="auto"/>
        <w:rPr>
          <w:bCs/>
        </w:rPr>
      </w:pPr>
      <w:r w:rsidRPr="00DE0535">
        <w:rPr>
          <w:bCs/>
        </w:rPr>
        <w:t>Tri četvrtine anketiranih (73%) smatra da diskriminacija nije prihvatljiva, bez obzira o kojoj grupi građana se radi, dok 16% smatra da je prihvatljiva prema nekim grupama. Zbog ublažavanja forme pitanja, dobijeni odgovori nisu direktno uporedivi s rezultatima istraživanja iz 2013. godine, ali ukazuju na isti procenat onih koji smatraju da je diskriminacija u nekim slučajevima opravdana, pri čemu je povećan broj građana koji nisu sigurni da li je diskriminacija opravdana ili nije.</w:t>
      </w:r>
    </w:p>
    <w:p w:rsidR="00135D51" w:rsidRDefault="00DE0535" w:rsidP="00DE0535">
      <w:pPr>
        <w:autoSpaceDE w:val="0"/>
        <w:autoSpaceDN w:val="0"/>
        <w:adjustRightInd w:val="0"/>
        <w:spacing w:after="0" w:line="276" w:lineRule="auto"/>
        <w:rPr>
          <w:bCs/>
          <w:lang w:val="sr-Latn-RS"/>
        </w:rPr>
      </w:pPr>
      <w:r w:rsidRPr="00DE0535">
        <w:rPr>
          <w:bCs/>
        </w:rPr>
        <w:t>Stanovnici manjih gradova (31%) u većoj meri vide diskriminaciju kao prihvatljivu, u odnosu na stanovnike ostalih gradova.</w:t>
      </w:r>
    </w:p>
    <w:p w:rsidR="00DE0535" w:rsidRDefault="00DE0535" w:rsidP="00DE0535">
      <w:pPr>
        <w:autoSpaceDE w:val="0"/>
        <w:autoSpaceDN w:val="0"/>
        <w:adjustRightInd w:val="0"/>
        <w:spacing w:after="0" w:line="276" w:lineRule="auto"/>
        <w:rPr>
          <w:rFonts w:cs="Arial"/>
          <w:lang w:val="sr-Latn-RS"/>
        </w:rPr>
      </w:pPr>
    </w:p>
    <w:p w:rsidR="00DE0535" w:rsidRPr="00DE0535" w:rsidRDefault="00DE0535" w:rsidP="00DE0535">
      <w:pPr>
        <w:autoSpaceDE w:val="0"/>
        <w:autoSpaceDN w:val="0"/>
        <w:adjustRightInd w:val="0"/>
        <w:spacing w:after="0" w:line="276" w:lineRule="auto"/>
        <w:rPr>
          <w:rFonts w:cs="Arial"/>
          <w:lang w:val="sr-Latn-RS"/>
        </w:rPr>
      </w:pPr>
    </w:p>
    <w:p w:rsidR="00DE0535" w:rsidRPr="00DE0535" w:rsidRDefault="008C62AB" w:rsidP="008C62AB">
      <w:pPr>
        <w:spacing w:after="100" w:afterAutospacing="1" w:line="276" w:lineRule="auto"/>
        <w:ind w:firstLine="284"/>
        <w:rPr>
          <w:bCs/>
          <w:i/>
        </w:rPr>
      </w:pPr>
      <w:r>
        <w:rPr>
          <w:bCs/>
          <w:i/>
        </w:rPr>
        <w:t>3.1.1.</w:t>
      </w:r>
      <w:r>
        <w:rPr>
          <w:bCs/>
          <w:i/>
          <w:lang w:val="sr-Latn-RS"/>
        </w:rPr>
        <w:t>6</w:t>
      </w:r>
      <w:r w:rsidR="00DE0535" w:rsidRPr="00DE0535">
        <w:rPr>
          <w:bCs/>
          <w:i/>
        </w:rPr>
        <w:t>.</w:t>
      </w:r>
      <w:r w:rsidR="00DE0535" w:rsidRPr="00DE0535">
        <w:rPr>
          <w:bCs/>
          <w:i/>
        </w:rPr>
        <w:tab/>
        <w:t>Etnička i socijalna distanca prema pripadnicima različitih grupa</w:t>
      </w:r>
    </w:p>
    <w:p w:rsidR="00DE0535" w:rsidRPr="00DE0535" w:rsidRDefault="00DE0535" w:rsidP="00DE0535">
      <w:pPr>
        <w:spacing w:after="100" w:afterAutospacing="1" w:line="276" w:lineRule="auto"/>
        <w:rPr>
          <w:bCs/>
        </w:rPr>
      </w:pPr>
      <w:r w:rsidRPr="00DE0535">
        <w:rPr>
          <w:bCs/>
        </w:rPr>
        <w:t>Rezultati istraživanja pokazuju da četvrtina ispitanika (27%) ne želi da im pripadnici LGBT populacije budu kolege, trećina (34%) ne želi da se s njima druži, polovina (47%) ne želi da LGBT osobe budu vaspitači njihove dece, dok bi 63% ispitanika imalo nešto protiv da oni sami ili njihova deca budu u braku sa LGBT osobom. Iako je socijalna distanca najizraženija prema pripadnicima LGBT populacije, ipak u većini ispitivanih kategorija dolazi do pada socijalne distance u odnosu na rezultate dobijene 2013. godine. Smanjenje socijalne distance je najveće u odnosu na prihvatanje braka i bliskog druženja sa LGBT osobama. Tako je u odnosu na 2013. godinu neprihvatanje braka smanjeno za 19%, a neprihvatanje LGBT osobe za prijatelja za 12%.</w:t>
      </w:r>
    </w:p>
    <w:p w:rsidR="00DE0535" w:rsidRPr="00DE0535" w:rsidRDefault="00DE0535" w:rsidP="00DE0535">
      <w:pPr>
        <w:spacing w:after="100" w:afterAutospacing="1" w:line="276" w:lineRule="auto"/>
        <w:rPr>
          <w:bCs/>
        </w:rPr>
      </w:pPr>
      <w:r w:rsidRPr="00DE0535">
        <w:rPr>
          <w:bCs/>
        </w:rPr>
        <w:t>Dok istraživanje beleži pad socijalne distance prema LGBT građanima u svim ispitivanim oblastima, prema migrantima (tražiocima azila) blago raste u pojedinim oblastima, dok u drugima opada. Pre tri godine, 20% ispitanika nije prihvatalo da migranti budu građani Srbije, a sada takav stav ima 31% ispitanika. Isto tako, dolazi i do povećanja broja onih koji ne žele da im migranti budu komšije (sa 23% na 30%), kao i do blagog povećanja broja onih koji ne žele da im migranti budu kolege (sa 20% na 23%). S druge strane, zabeležen je pad socijalne distance u nekim drugim oblastima, iako je ona i dalje visoka. Tako se smanjio broj onih koji bi imali nešto protiv da migranti budu članovi njihove porodice (sa 50% na 38%), kao i da migrant bude na rukovodećem položaju u državi (sa 47% na 41%).</w:t>
      </w:r>
    </w:p>
    <w:p w:rsidR="00135D51" w:rsidRDefault="00DE0535" w:rsidP="00DE0535">
      <w:pPr>
        <w:spacing w:after="100" w:afterAutospacing="1" w:line="276" w:lineRule="auto"/>
        <w:rPr>
          <w:bCs/>
          <w:lang w:val="sr-Latn-RS"/>
        </w:rPr>
      </w:pPr>
      <w:r w:rsidRPr="00DE0535">
        <w:rPr>
          <w:bCs/>
        </w:rPr>
        <w:t>Značajno je i da je, iako ispitanici smatraju da su siromašni često izloženi diskriminaciji, ova grupa, zajedno sa ženama i pripadnicima srpske nacionalnosti, grupa prema kojoj postoji najniža socijalna distanca.</w:t>
      </w:r>
    </w:p>
    <w:p w:rsidR="008C62AB" w:rsidRPr="008C62AB" w:rsidRDefault="008C62AB" w:rsidP="00DE0535">
      <w:pPr>
        <w:spacing w:after="100" w:afterAutospacing="1" w:line="276" w:lineRule="auto"/>
        <w:rPr>
          <w:bCs/>
          <w:lang w:val="sr-Latn-RS"/>
        </w:rPr>
      </w:pPr>
    </w:p>
    <w:p w:rsidR="008C62AB" w:rsidRPr="008C62AB" w:rsidRDefault="008C62AB" w:rsidP="008C62AB">
      <w:pPr>
        <w:spacing w:line="276" w:lineRule="auto"/>
        <w:ind w:firstLine="284"/>
        <w:rPr>
          <w:bCs/>
          <w:i/>
        </w:rPr>
      </w:pPr>
      <w:r>
        <w:rPr>
          <w:bCs/>
          <w:i/>
        </w:rPr>
        <w:t>3.1.1.</w:t>
      </w:r>
      <w:r>
        <w:rPr>
          <w:bCs/>
          <w:i/>
          <w:lang w:val="sr-Latn-RS"/>
        </w:rPr>
        <w:t>7</w:t>
      </w:r>
      <w:r w:rsidRPr="008C62AB">
        <w:rPr>
          <w:bCs/>
          <w:i/>
        </w:rPr>
        <w:t>.</w:t>
      </w:r>
      <w:r w:rsidRPr="008C62AB">
        <w:rPr>
          <w:bCs/>
          <w:i/>
        </w:rPr>
        <w:tab/>
        <w:t>Odnos građana prema posebnim (afirmativnim) merama</w:t>
      </w:r>
    </w:p>
    <w:p w:rsidR="008C62AB" w:rsidRDefault="008C62AB" w:rsidP="008C62AB">
      <w:pPr>
        <w:spacing w:line="276" w:lineRule="auto"/>
        <w:rPr>
          <w:bCs/>
          <w:i/>
          <w:lang w:val="sr-Latn-RS"/>
        </w:rPr>
      </w:pPr>
    </w:p>
    <w:p w:rsidR="008C62AB" w:rsidRPr="008C62AB" w:rsidRDefault="008C62AB" w:rsidP="008C62AB">
      <w:pPr>
        <w:spacing w:line="276" w:lineRule="auto"/>
        <w:rPr>
          <w:bCs/>
        </w:rPr>
      </w:pPr>
      <w:r w:rsidRPr="008C62AB">
        <w:rPr>
          <w:bCs/>
        </w:rPr>
        <w:t xml:space="preserve">U kojoj meri građani razumeju položaj grupa koje su najčešće diskriminisane pokazuje i to koliko su spremni da podrže posebne (afirmativne) mere s ciljem unapređivanja položaja manjina. U ovogodišnjem istraživanju poseban fokus stavljen je na pravo pripadnika etničkih </w:t>
      </w:r>
      <w:r w:rsidRPr="008C62AB">
        <w:rPr>
          <w:bCs/>
        </w:rPr>
        <w:lastRenderedPageBreak/>
        <w:t>manjina da koriste svoj jezik prilikom komunikacije s institucijama, u procesu obrazovanja i prilikom informisanja. Rezultati istraživanja su pokazali da uvođenje mera koje bi obavezale poslodavce da zaposle određeni broj pripadnika grupa koje su u suštinski nejednakom položaju u odnosu na ostale građane, u potpunosti podržava 40% građana, a delimično još 33% njih. Protiv takvog podsticaja zapošljavanja je 17% ispitanika.</w:t>
      </w:r>
    </w:p>
    <w:p w:rsidR="008C62AB" w:rsidRPr="008C62AB" w:rsidRDefault="008C62AB" w:rsidP="008C62AB">
      <w:pPr>
        <w:spacing w:line="276" w:lineRule="auto"/>
        <w:rPr>
          <w:bCs/>
        </w:rPr>
      </w:pPr>
      <w:r w:rsidRPr="008C62AB">
        <w:rPr>
          <w:bCs/>
        </w:rPr>
        <w:t>Nešto manji broj ispitanika podržava uvođenje posebnih mera u okviru obrazovanja. Oko trećine građana podržava ovakve mere, dok nešto manje od trećine delimično podržava posebne mere u obrazovanju. Ukoliko se uporedi ukupan broj građana koji podržavaju ili delimično podržavaju povoljniji položaj pripadnika grupa koje se nalaze u povećanom riziku od diskriminacije, može se zaključiti da 64% ispitanika podržava posebne mere za upis u srednju školu, a 62% upis na fakultete. Ovaj rezultat ukazuje na to da je podrška posebnim merama u obrazovanju nešto niža nego 2013. godine, kada je iznosila 73%.</w:t>
      </w:r>
    </w:p>
    <w:p w:rsidR="008C62AB" w:rsidRPr="008C62AB" w:rsidRDefault="008C62AB" w:rsidP="008C62AB">
      <w:pPr>
        <w:spacing w:line="276" w:lineRule="auto"/>
        <w:rPr>
          <w:bCs/>
        </w:rPr>
      </w:pPr>
      <w:r w:rsidRPr="008C62AB">
        <w:rPr>
          <w:bCs/>
        </w:rPr>
        <w:t xml:space="preserve">Oko trećine građana podržava izdvajanje budžetskih sredstava za ostvarivanje prava etničkih manjina na komunikaciju s institucijama, informisanje i školovanje na maternjem jeziku, trećina delimično podržava, dok između trećine i četvrtine građana ne podržavaju ovakvo izdvajanje iz budžeta. U odnosu na 2013. godinu, ovo predstavlja blago smanjenje broja ispitanika koji podržavaju navedene mere, ali je došlo i do većeg pada broja građana koji ih izričito ne podržavaju. </w:t>
      </w:r>
    </w:p>
    <w:p w:rsidR="00135D51" w:rsidRPr="008C62AB" w:rsidRDefault="008C62AB" w:rsidP="008C62AB">
      <w:pPr>
        <w:spacing w:line="276" w:lineRule="auto"/>
        <w:rPr>
          <w:bCs/>
          <w:lang w:val="sr-Latn-RS"/>
        </w:rPr>
      </w:pPr>
      <w:r w:rsidRPr="008C62AB">
        <w:rPr>
          <w:bCs/>
        </w:rPr>
        <w:t>Skoro svi ispitanici (96%) smatraju da javne ustanove moraju da budu pristupačne za sve osobe sa invaliditetom.</w:t>
      </w:r>
    </w:p>
    <w:p w:rsidR="008C62AB" w:rsidRPr="008C62AB" w:rsidRDefault="008C62AB" w:rsidP="008C62AB">
      <w:pPr>
        <w:spacing w:line="276" w:lineRule="auto"/>
        <w:ind w:firstLine="567"/>
        <w:rPr>
          <w:rFonts w:cs="Arial"/>
          <w:lang w:val="sr-Latn-RS"/>
        </w:rPr>
      </w:pPr>
    </w:p>
    <w:p w:rsidR="008C62AB" w:rsidRPr="008C62AB" w:rsidRDefault="008C62AB" w:rsidP="008C62AB">
      <w:pPr>
        <w:spacing w:line="276" w:lineRule="auto"/>
        <w:ind w:firstLine="284"/>
        <w:rPr>
          <w:bCs/>
          <w:i/>
        </w:rPr>
      </w:pPr>
      <w:r>
        <w:rPr>
          <w:bCs/>
          <w:i/>
        </w:rPr>
        <w:t>3.1.1.</w:t>
      </w:r>
      <w:r>
        <w:rPr>
          <w:bCs/>
          <w:i/>
          <w:lang w:val="sr-Latn-RS"/>
        </w:rPr>
        <w:t>8</w:t>
      </w:r>
      <w:r w:rsidRPr="008C62AB">
        <w:rPr>
          <w:bCs/>
          <w:i/>
        </w:rPr>
        <w:t>.</w:t>
      </w:r>
      <w:r w:rsidRPr="008C62AB">
        <w:rPr>
          <w:bCs/>
          <w:i/>
        </w:rPr>
        <w:tab/>
        <w:t>Upoznatost sa zakonodavnim okvirom i percepcija o stepenu primene zakona</w:t>
      </w:r>
    </w:p>
    <w:p w:rsidR="008C62AB" w:rsidRPr="008C62AB" w:rsidRDefault="008C62AB" w:rsidP="008C62AB">
      <w:pPr>
        <w:spacing w:line="276" w:lineRule="auto"/>
        <w:rPr>
          <w:bCs/>
        </w:rPr>
      </w:pPr>
      <w:r w:rsidRPr="008C62AB">
        <w:rPr>
          <w:bCs/>
        </w:rPr>
        <w:t>Većina građana smatra da je diskriminacija u Srbiji zabranjena zakonom (67%), dok tek 12% veruje da nije. Istraživanje je pokazalo da postoji veza između stepena obrazovanja ispitanika i poznavanja antidiskriminacionih propisa. Najmanji broj građana sa nezavršenom i završenom osnovnom školom zna da je diskriminacija zabranjena (53%). Ovakav stav deli 66% građana sa srednjim obrazovanjem i 72% građana sa višim ili visokim obrazovanjem. Važno je naglasiti i da znatno manje ispitanika drugih nacionalnosti (osim srpske) smatra da je diskriminacija zabranjena zakonom (54%). Takođe, niži nivo znanja o antidiskriminacionom zakonodavstvu imaju stanovnici Vojvodine (57%) i južne i istočne Srbije (59%) u odnosu na ispitanike iz Beograda (64%), Šumadije i zapadne Srbije (83%).</w:t>
      </w:r>
    </w:p>
    <w:p w:rsidR="00135D51" w:rsidRPr="008C62AB" w:rsidRDefault="008C62AB" w:rsidP="008C62AB">
      <w:pPr>
        <w:spacing w:line="276" w:lineRule="auto"/>
        <w:rPr>
          <w:bCs/>
          <w:lang w:val="sr-Latn-RS"/>
        </w:rPr>
      </w:pPr>
      <w:r w:rsidRPr="008C62AB">
        <w:rPr>
          <w:bCs/>
        </w:rPr>
        <w:t>Da je diskriminacija u Srbiji potpuno sankcionisana veruje 4% građana, a da je delimično sankcionisana – 37%. Najveći broj ispitanika smatra da diskriminacija uopšte nije sankcionisana i da se sankcije ne primenjuju (43%).</w:t>
      </w:r>
    </w:p>
    <w:p w:rsidR="008C62AB" w:rsidRPr="008C62AB" w:rsidRDefault="008C62AB" w:rsidP="008C62AB">
      <w:pPr>
        <w:spacing w:line="276" w:lineRule="auto"/>
        <w:ind w:firstLine="567"/>
        <w:rPr>
          <w:rFonts w:cs="Arial"/>
          <w:lang w:val="sr-Latn-RS"/>
        </w:rPr>
      </w:pPr>
    </w:p>
    <w:p w:rsidR="00135D51" w:rsidRPr="00135D51" w:rsidRDefault="008C62AB" w:rsidP="008C62AB">
      <w:pPr>
        <w:pStyle w:val="Heading4"/>
        <w:numPr>
          <w:ilvl w:val="0"/>
          <w:numId w:val="0"/>
        </w:numPr>
        <w:spacing w:after="100" w:afterAutospacing="1" w:line="276" w:lineRule="auto"/>
        <w:ind w:left="567" w:hanging="360"/>
      </w:pPr>
      <w:bookmarkStart w:id="14" w:name="_Toc477248609"/>
      <w:bookmarkStart w:id="15" w:name="_Toc477251734"/>
      <w:r w:rsidRPr="008C62AB">
        <w:rPr>
          <w:bCs w:val="0"/>
        </w:rPr>
        <w:t>3.1.1.</w:t>
      </w:r>
      <w:r w:rsidRPr="008C62AB">
        <w:rPr>
          <w:bCs w:val="0"/>
          <w:lang w:val="sr-Latn-RS"/>
        </w:rPr>
        <w:t>9</w:t>
      </w:r>
      <w:r w:rsidRPr="008C62AB">
        <w:t>.</w:t>
      </w:r>
      <w:r>
        <w:rPr>
          <w:lang w:val="sr-Latn-RS"/>
        </w:rPr>
        <w:t xml:space="preserve">      </w:t>
      </w:r>
      <w:r w:rsidR="00AD0988">
        <w:rPr>
          <w:lang w:val="sr-Latn-RS"/>
        </w:rPr>
        <w:t xml:space="preserve">Prepoznavanje institucije </w:t>
      </w:r>
      <w:bookmarkEnd w:id="14"/>
      <w:bookmarkEnd w:id="15"/>
      <w:r w:rsidR="00AD0988">
        <w:rPr>
          <w:lang w:val="sr-Latn-RS"/>
        </w:rPr>
        <w:t>Poverenika za zaštitu ravnopravnosti</w:t>
      </w:r>
    </w:p>
    <w:p w:rsidR="00AD0988" w:rsidRPr="00AD0988" w:rsidRDefault="00AD0988" w:rsidP="00AD0988">
      <w:pPr>
        <w:spacing w:line="276" w:lineRule="auto"/>
        <w:rPr>
          <w:rFonts w:cs="Arial"/>
        </w:rPr>
      </w:pPr>
      <w:r w:rsidRPr="00AD0988">
        <w:rPr>
          <w:rFonts w:cs="Arial"/>
        </w:rPr>
        <w:t xml:space="preserve">Polovina ispitanika (51%) zna da u Srbiji postoji državni organ koji štiti ravnopravnost svih građana, dok 41% njih nije sigurno da takva institucija postoji. Ohrabruje činjenica da je u odnosu na istraživanje iz 2013. godine značajno povećan broj građana koji znaju da postoji institucija koja štiti od diskriminacije. </w:t>
      </w:r>
    </w:p>
    <w:p w:rsidR="00AD0988" w:rsidRPr="00AD0988" w:rsidRDefault="00AD0988" w:rsidP="00AD0988">
      <w:pPr>
        <w:spacing w:line="276" w:lineRule="auto"/>
        <w:rPr>
          <w:rFonts w:cs="Arial"/>
        </w:rPr>
      </w:pPr>
      <w:r w:rsidRPr="00AD0988">
        <w:rPr>
          <w:rFonts w:cs="Arial"/>
        </w:rPr>
        <w:t xml:space="preserve">Rezultati istraživanja iz 2016. godine pokazuju da je tačan naziv ove institucije znalo 41% građana, 35% ispitanika nije znalo da navede naziv, a 21% je odbilo da odgovori na ovo </w:t>
      </w:r>
      <w:r w:rsidRPr="00AD0988">
        <w:rPr>
          <w:rFonts w:cs="Arial"/>
        </w:rPr>
        <w:lastRenderedPageBreak/>
        <w:t>pitanje. Kada se posmatraju samo oni ispitanici koji su znali da postoji državni organ koji štiti ravnopravnost građana, 77% njih je znalo da je to Poverenik za zaštitu ravnopravnosti.</w:t>
      </w:r>
    </w:p>
    <w:p w:rsidR="00135D51" w:rsidRDefault="00AD0988" w:rsidP="00AD0988">
      <w:pPr>
        <w:spacing w:line="276" w:lineRule="auto"/>
        <w:rPr>
          <w:rFonts w:cs="Arial"/>
          <w:lang w:val="sr-Latn-RS"/>
        </w:rPr>
      </w:pPr>
      <w:r w:rsidRPr="00AD0988">
        <w:rPr>
          <w:rFonts w:cs="Arial"/>
        </w:rPr>
        <w:t>Prepoznatljivost Poverenika za zaštitu ravnopravnosti najniža je među građanima starosti 15–19 godina (37%), a najviša među ispitanicima starosti 50–59 godina (62%). S postojanjem i radom institucije u većoj meri su upoznati ispitanici sa završenom višom školom i fakultetom (59%), kao i građani srpske nacionalnosti (54%), u poređenju s građanima drugih nacionalnosti (40%).</w:t>
      </w:r>
    </w:p>
    <w:p w:rsidR="00AD0988" w:rsidRPr="00AD0988" w:rsidRDefault="00AD0988" w:rsidP="00AD0988">
      <w:pPr>
        <w:spacing w:line="276" w:lineRule="auto"/>
        <w:rPr>
          <w:rFonts w:cs="Arial"/>
          <w:lang w:val="sr-Latn-RS"/>
        </w:rPr>
      </w:pPr>
    </w:p>
    <w:p w:rsidR="00135D51" w:rsidRPr="00135D51" w:rsidRDefault="008C62AB" w:rsidP="008C62AB">
      <w:pPr>
        <w:pStyle w:val="Heading4"/>
        <w:numPr>
          <w:ilvl w:val="0"/>
          <w:numId w:val="0"/>
        </w:numPr>
        <w:spacing w:after="100" w:afterAutospacing="1" w:line="276" w:lineRule="auto"/>
        <w:ind w:left="567" w:hanging="360"/>
      </w:pPr>
      <w:bookmarkStart w:id="16" w:name="_Toc477248610"/>
      <w:bookmarkStart w:id="17" w:name="_Toc477251735"/>
      <w:r w:rsidRPr="008C62AB">
        <w:rPr>
          <w:bCs w:val="0"/>
        </w:rPr>
        <w:t>3.1.1.</w:t>
      </w:r>
      <w:r>
        <w:rPr>
          <w:bCs w:val="0"/>
          <w:lang w:val="sr-Latn-RS"/>
        </w:rPr>
        <w:t>10</w:t>
      </w:r>
      <w:r w:rsidRPr="008C62AB">
        <w:t>.</w:t>
      </w:r>
      <w:r>
        <w:rPr>
          <w:lang w:val="sr-Latn-RS"/>
        </w:rPr>
        <w:t xml:space="preserve"> </w:t>
      </w:r>
      <w:r w:rsidR="00736447">
        <w:rPr>
          <w:lang w:val="sr-Latn-RS"/>
        </w:rPr>
        <w:t xml:space="preserve">    </w:t>
      </w:r>
      <w:r w:rsidR="00AD0988">
        <w:rPr>
          <w:lang w:val="sr-Latn-RS"/>
        </w:rPr>
        <w:t>Percepcija odgovornosti i uloge institucija u suzbijanju diskriminacije</w:t>
      </w:r>
      <w:bookmarkEnd w:id="16"/>
      <w:bookmarkEnd w:id="17"/>
      <w:r w:rsidR="00135D51" w:rsidRPr="00135D51">
        <w:t xml:space="preserve"> </w:t>
      </w:r>
    </w:p>
    <w:p w:rsidR="00AD0988" w:rsidRPr="00AD0988" w:rsidRDefault="00AD0988" w:rsidP="00AD0988">
      <w:pPr>
        <w:spacing w:after="100" w:afterAutospacing="1" w:line="276" w:lineRule="auto"/>
        <w:rPr>
          <w:rFonts w:cs="Arial"/>
        </w:rPr>
      </w:pPr>
      <w:r w:rsidRPr="00AD0988">
        <w:rPr>
          <w:rFonts w:cs="Arial"/>
        </w:rPr>
        <w:t xml:space="preserve">Prema mišljenju ispitanika, akteri koji su u najvećoj meri odgovorni za diskriminaciju jesu mediji (19% ispitanih u odnosu na 8% u 2013. godini), ali i sami građani, dok kao aktere koji u najmanjoj meri dovode do diskriminacije prepoznaju vojsku i Poverenika za zaštitu ravnopravnosti. </w:t>
      </w:r>
    </w:p>
    <w:p w:rsidR="00AD0988" w:rsidRPr="00AD0988" w:rsidRDefault="00AD0988" w:rsidP="00AD0988">
      <w:pPr>
        <w:spacing w:after="100" w:afterAutospacing="1" w:line="276" w:lineRule="auto"/>
        <w:rPr>
          <w:rFonts w:cs="Arial"/>
        </w:rPr>
      </w:pPr>
      <w:r w:rsidRPr="00AD0988">
        <w:rPr>
          <w:rFonts w:cs="Arial"/>
        </w:rPr>
        <w:t>Prema mišljenju anketiranih, akteri koji u značajnoj meri diskriminišu građane jesu i političke stranke, škole i pravosuđe. Vlada se smatra manje odgovornom za pojavu diskriminacije u odnosu na prethodno istraživanje (23% manje u odnosu na istraživanje iz 2013. godine).</w:t>
      </w:r>
    </w:p>
    <w:p w:rsidR="00135D51" w:rsidRPr="00135D51" w:rsidRDefault="00AD0988" w:rsidP="00AD0988">
      <w:pPr>
        <w:spacing w:after="100" w:afterAutospacing="1" w:line="276" w:lineRule="auto"/>
        <w:rPr>
          <w:rFonts w:cs="Arial"/>
        </w:rPr>
      </w:pPr>
      <w:r w:rsidRPr="00AD0988">
        <w:rPr>
          <w:rFonts w:cs="Arial"/>
        </w:rPr>
        <w:t>Kao institucije koje najviše mogu da doprinesu suzbijanju diskriminacije ispitanici vide medije, a zatim porodicu, školu i same građane. Potom slede različite državne institucije, među kojima i Poverenik za zaštitu ravnopravnosti, dok najmanji uticaj na smanjenje diskriminacije prema mišljenju ispitanika ima vojska. Nešto drugačiji rezultati dobijaju se na direktno pitanje o tome koji akter bi najviše mogao da utiče na to da se smanji diskriminacija u društvu. Kao odgovor na ovo pitanje građani najčešće navode Vladu Republike Srbije (16%) i medije (15%), a zatim porodicu (12%).</w:t>
      </w:r>
    </w:p>
    <w:p w:rsidR="00135D51" w:rsidRPr="00135D51" w:rsidRDefault="00135D51" w:rsidP="00135D51">
      <w:pPr>
        <w:spacing w:line="276" w:lineRule="auto"/>
        <w:ind w:firstLine="567"/>
        <w:rPr>
          <w:rFonts w:cs="Arial"/>
        </w:rPr>
      </w:pPr>
    </w:p>
    <w:p w:rsidR="00135D51" w:rsidRPr="00736447" w:rsidRDefault="00736447" w:rsidP="00736447">
      <w:pPr>
        <w:pStyle w:val="Heading4"/>
        <w:numPr>
          <w:ilvl w:val="0"/>
          <w:numId w:val="0"/>
        </w:numPr>
        <w:spacing w:after="100" w:afterAutospacing="1" w:line="276" w:lineRule="auto"/>
        <w:ind w:left="567" w:hanging="360"/>
        <w:rPr>
          <w:lang w:val="sr-Latn-RS"/>
        </w:rPr>
      </w:pPr>
      <w:bookmarkStart w:id="18" w:name="_Toc477248611"/>
      <w:bookmarkStart w:id="19" w:name="_Toc477251736"/>
      <w:r w:rsidRPr="008C62AB">
        <w:rPr>
          <w:bCs w:val="0"/>
        </w:rPr>
        <w:t>3.1.1.</w:t>
      </w:r>
      <w:r>
        <w:rPr>
          <w:bCs w:val="0"/>
          <w:lang w:val="sr-Latn-RS"/>
        </w:rPr>
        <w:t>11</w:t>
      </w:r>
      <w:r w:rsidRPr="008C62AB">
        <w:t>.</w:t>
      </w:r>
      <w:r>
        <w:rPr>
          <w:lang w:val="sr-Latn-RS"/>
        </w:rPr>
        <w:t xml:space="preserve">     Informisanje građana o diskriminaciji</w:t>
      </w:r>
      <w:bookmarkEnd w:id="18"/>
      <w:bookmarkEnd w:id="19"/>
    </w:p>
    <w:p w:rsidR="00736447" w:rsidRPr="00736447" w:rsidRDefault="00736447" w:rsidP="00736447">
      <w:pPr>
        <w:spacing w:after="100" w:afterAutospacing="1" w:line="276" w:lineRule="auto"/>
        <w:rPr>
          <w:rFonts w:cs="Arial"/>
        </w:rPr>
      </w:pPr>
      <w:r w:rsidRPr="00736447">
        <w:rPr>
          <w:rFonts w:cs="Arial"/>
        </w:rPr>
        <w:t>Najveći broj ispitanika smatra da mediji malo pažnje posvećuju problemu diskriminacije (45%), dok 12% misli da uopšte ne posvećuju pažnju. Deo onih koji smatraju da tema diskriminacije nije uopšte zastupljena u medijima ili je u maloj meri zastupljena (57%) sličan je kao i 2013. godine, kada je takav stav delilo 63% građana.</w:t>
      </w:r>
    </w:p>
    <w:p w:rsidR="00736447" w:rsidRPr="00736447" w:rsidRDefault="00736447" w:rsidP="00736447">
      <w:pPr>
        <w:spacing w:after="100" w:afterAutospacing="1" w:line="276" w:lineRule="auto"/>
        <w:rPr>
          <w:rFonts w:cs="Arial"/>
        </w:rPr>
      </w:pPr>
      <w:r w:rsidRPr="00736447">
        <w:rPr>
          <w:rFonts w:cs="Arial"/>
        </w:rPr>
        <w:t xml:space="preserve">Građani smatraju da mediji trenutno najviše pažnje posvećuju ravnopravnosti pripadnika LGBT populacije (27%), a da skoro uopšte ne posvećuju pažnju siromašnima (3%) i starijim osobama (3%). Iako i dalje najveći broj ispitanika smatra da mediji najviše pažnje posvećuju LGBT populaciji, ovaj procenat je niži nego 2013. godine, kada je ovako mislilo 39% građana. </w:t>
      </w:r>
    </w:p>
    <w:p w:rsidR="00736447" w:rsidRPr="00736447" w:rsidRDefault="00736447" w:rsidP="00736447">
      <w:pPr>
        <w:spacing w:after="100" w:afterAutospacing="1" w:line="276" w:lineRule="auto"/>
        <w:rPr>
          <w:rFonts w:cs="Arial"/>
        </w:rPr>
      </w:pPr>
      <w:r w:rsidRPr="00736447">
        <w:rPr>
          <w:rFonts w:cs="Arial"/>
        </w:rPr>
        <w:t>U skladu s prethodnim nalazom, građani smatraju da društvo u predstojećem periodu mnogo pažnje treba da posveti ravnopravnosti osoba sa invaliditetom (66%), siromašnih ljudi (67%), kao i starijih (56%).</w:t>
      </w:r>
    </w:p>
    <w:p w:rsidR="00736447" w:rsidRPr="00736447" w:rsidRDefault="00736447" w:rsidP="00736447">
      <w:pPr>
        <w:spacing w:after="100" w:afterAutospacing="1" w:line="276" w:lineRule="auto"/>
        <w:rPr>
          <w:rFonts w:cs="Arial"/>
        </w:rPr>
      </w:pPr>
      <w:r w:rsidRPr="00736447">
        <w:rPr>
          <w:rFonts w:cs="Arial"/>
        </w:rPr>
        <w:lastRenderedPageBreak/>
        <w:t>Najveći broj ispitanika smatra da institucije u maloj meri informišu građane o problemu diskriminacije i aktivnostima koje u ovom domenu preduzima država (44%), što je manje nego 2013. godine, kada je isti stav delilo 55% građana. Ipak, značajno je primetiti da nešto veći broj ispitanika (17%) smatra da institucije uopšte ne informišu građane, što predstavlja važan signal za državu da prilagodi svoje servise za informisanje, kako bi informacije bile dostupnije, a usluge pristupačnije potrebama građana.</w:t>
      </w:r>
    </w:p>
    <w:p w:rsidR="00135D51" w:rsidRDefault="00736447" w:rsidP="00736447">
      <w:pPr>
        <w:spacing w:after="100" w:afterAutospacing="1" w:line="276" w:lineRule="auto"/>
        <w:rPr>
          <w:rFonts w:cs="Arial"/>
          <w:lang w:val="sr-Latn-RS"/>
        </w:rPr>
      </w:pPr>
      <w:r w:rsidRPr="00736447">
        <w:rPr>
          <w:rFonts w:cs="Arial"/>
        </w:rPr>
        <w:t>Iako nešto više od polovine ispitanika smatra da institucije ne informišu građane dovoljno o diskriminaciji, tek je petina građana (20%) zainteresovana da bude bolje informisana o problemima diskriminacije u Srbiji.</w:t>
      </w:r>
    </w:p>
    <w:p w:rsidR="00736447" w:rsidRPr="00736447" w:rsidRDefault="00736447" w:rsidP="00736447">
      <w:pPr>
        <w:spacing w:after="100" w:afterAutospacing="1" w:line="276" w:lineRule="auto"/>
        <w:rPr>
          <w:rFonts w:cs="Arial"/>
          <w:lang w:val="sr-Latn-RS"/>
        </w:rPr>
      </w:pPr>
    </w:p>
    <w:p w:rsidR="00135D51" w:rsidRPr="001C7E66" w:rsidRDefault="001C7E66" w:rsidP="001C7E66">
      <w:pPr>
        <w:pStyle w:val="Heading3"/>
        <w:ind w:firstLine="284"/>
      </w:pPr>
      <w:bookmarkStart w:id="20" w:name="_Toc477248612"/>
      <w:bookmarkStart w:id="21" w:name="_Toc477251737"/>
      <w:r>
        <w:rPr>
          <w:lang w:val="sr-Latn-RS"/>
        </w:rPr>
        <w:t>3.1.2.</w:t>
      </w:r>
      <w:r>
        <w:rPr>
          <w:lang w:val="sr-Latn-RS"/>
        </w:rPr>
        <w:tab/>
        <w:t xml:space="preserve">Istraživanje </w:t>
      </w:r>
      <w:r w:rsidR="00135D51" w:rsidRPr="001C7E66">
        <w:t>„</w:t>
      </w:r>
      <w:r>
        <w:rPr>
          <w:lang w:val="sr-Latn-RS"/>
        </w:rPr>
        <w:t>Položaj starijih u ruralnim oblastima</w:t>
      </w:r>
      <w:r w:rsidR="00135D51" w:rsidRPr="001C7E66">
        <w:t>“</w:t>
      </w:r>
      <w:bookmarkEnd w:id="20"/>
      <w:bookmarkEnd w:id="21"/>
    </w:p>
    <w:p w:rsidR="001C7E66" w:rsidRPr="001C7E66" w:rsidRDefault="001C7E66" w:rsidP="001C7E66">
      <w:pPr>
        <w:spacing w:after="100" w:afterAutospacing="1" w:line="276" w:lineRule="auto"/>
        <w:rPr>
          <w:rFonts w:cs="Arial"/>
        </w:rPr>
      </w:pPr>
      <w:r w:rsidRPr="001C7E66">
        <w:rPr>
          <w:rFonts w:cs="Arial"/>
        </w:rPr>
        <w:t>Istraživanje „Položaj starijih u ruralnim oblastima“ realizovali su Crveni krst Srbije i Poverenik za zaštitu ravnopravnosti, uz podršku Populacionog fonda Ujedinjenih nacija (UNFPA), u periodu avgust–novembar 2016. godine.</w:t>
      </w:r>
    </w:p>
    <w:p w:rsidR="001C7E66" w:rsidRPr="001C7E66" w:rsidRDefault="001C7E66" w:rsidP="001C7E66">
      <w:pPr>
        <w:spacing w:after="100" w:afterAutospacing="1" w:line="276" w:lineRule="auto"/>
        <w:rPr>
          <w:rFonts w:cs="Arial"/>
        </w:rPr>
      </w:pPr>
      <w:r w:rsidRPr="001C7E66">
        <w:rPr>
          <w:rFonts w:cs="Arial"/>
        </w:rPr>
        <w:t>Istraživanje je omogućilo da se sagledaju izazovi s kojima se susreću stariji u ruralnim područjima, njihove porodice, ali i lokalne zajednice zbog smanjene gustine stanovnika na selu. Podaci iz istraživanja i utvrđeni izazovi omogućili su da se kreiraju preporuke koje treba da doprinesu unapređenju ravnopravnosti, poboljšanju kvaliteta života u starosti i obezbede dostojanstvo starijim osobama koje žive na selu.</w:t>
      </w:r>
    </w:p>
    <w:p w:rsidR="001C7E66" w:rsidRPr="001C7E66" w:rsidRDefault="001C7E66" w:rsidP="001C7E66">
      <w:pPr>
        <w:spacing w:after="100" w:afterAutospacing="1" w:line="276" w:lineRule="auto"/>
        <w:rPr>
          <w:rFonts w:cs="Arial"/>
        </w:rPr>
      </w:pPr>
      <w:r w:rsidRPr="001C7E66">
        <w:rPr>
          <w:rFonts w:cs="Arial"/>
        </w:rPr>
        <w:t>Kao ključni izazovi u ostvarivanju ravnopravnog tretmana ove kategorije stanovništva prepoznati su smanjen pristup uslugama zdravstvene i socijalne zaštite, potom smanjeno interesovanje profesionalnih pružalaca usluga za rad u ruralnim oblastima, smanjenje neformalnih mreža podrške – česte migracije u urbane oblasti, nedovoljna informisanost o uslugama i pravima, kao i često neprepoznavanje mentalnih bolesti (depresija, demencija). Osim toga, kao izazov se nameće i neekonomičnost pružanja transportnih usluga u oblastima s malom gustinom stanovništva, kao i limitiran pristup transportnim kapacitetima prilagođenih potrebama starijih. Kao ne manje važno, prisutno je i pitanje starenja u svojoj kući, koje u takvim uslovima vodi socijalnoj izolaciji, mali je broj i loš je pristup socijalnim i kulturnim aktivnostima, kao i mogućnostima za učenje, a nedostaje i oprema koja olakšava samostalan život starijih u ruralnim područjima.</w:t>
      </w:r>
    </w:p>
    <w:p w:rsidR="001C7E66" w:rsidRPr="001C7E66" w:rsidRDefault="001C7E66" w:rsidP="001C7E66">
      <w:pPr>
        <w:spacing w:after="100" w:afterAutospacing="1" w:line="276" w:lineRule="auto"/>
        <w:rPr>
          <w:rFonts w:cs="Arial"/>
        </w:rPr>
      </w:pPr>
      <w:r w:rsidRPr="001C7E66">
        <w:rPr>
          <w:rFonts w:cs="Arial"/>
        </w:rPr>
        <w:t xml:space="preserve">Rezultati istraživanja pokazali su da je socijalni profil starijeg stanovništva na selu heterogen, slojevit i raznovrstan. Promene u strukturi porodice i domaćinstva menjaju tradicionalne funkcije porodice. „Bela kuga“ i česte migracije u urbane oblasti umanjuju kapacitete za porodičnu podršku u starosti. Među učesnicima istraživanja 34% pripada samačkim domaćinstvima, a u 63% domaćinstava nema mlađih od 65 godina. </w:t>
      </w:r>
    </w:p>
    <w:p w:rsidR="001C7E66" w:rsidRPr="001C7E66" w:rsidRDefault="001C7E66" w:rsidP="001C7E66">
      <w:pPr>
        <w:spacing w:after="100" w:afterAutospacing="1" w:line="276" w:lineRule="auto"/>
        <w:rPr>
          <w:rFonts w:cs="Arial"/>
        </w:rPr>
      </w:pPr>
      <w:r w:rsidRPr="001C7E66">
        <w:rPr>
          <w:rFonts w:cs="Arial"/>
        </w:rPr>
        <w:t xml:space="preserve">Stariji na selu su narušenog zdravlja i suočavaju se s brojnim preprekama u ostvarivanju zdravstvene zaštite. Rezultati istraživanja su pokazali da se ona ostvaruje samo delimično, da je 43% starijih trebalo lekara ali ga nije posetilo. Poteškoće u kretanju ima skoro polovina starijih ljudi na selu (44%), a 3% je stalno u postelji ili u kolicima. </w:t>
      </w:r>
    </w:p>
    <w:p w:rsidR="001C7E66" w:rsidRPr="001C7E66" w:rsidRDefault="001C7E66" w:rsidP="001C7E66">
      <w:pPr>
        <w:spacing w:after="100" w:afterAutospacing="1" w:line="276" w:lineRule="auto"/>
        <w:rPr>
          <w:rFonts w:cs="Arial"/>
        </w:rPr>
      </w:pPr>
      <w:r w:rsidRPr="001C7E66">
        <w:rPr>
          <w:rFonts w:cs="Arial"/>
        </w:rPr>
        <w:lastRenderedPageBreak/>
        <w:t xml:space="preserve">Subjektivni osećaj života starijih na selu je sumoran. Svaki četvrti smatra da živi loše ili veoma loše, a većina (54%) živi ni dobro ni loše. Stari na selu su u većem riziku od socijalne isključenosti nego od gubitka funkcionalnih kapaciteta za brigu o sebi. Većim delom su izvan institucionalnog sistema usluga za pomoć i podršku starijoj populaciji, a njihov oslonac su neformalne usluge, pomoć i podrška. Očekivanja starijih na selu od države nisu nerealna i baziraju se na njihovom položaju i uslovima života. </w:t>
      </w:r>
    </w:p>
    <w:p w:rsidR="00135D51" w:rsidRDefault="001C7E66" w:rsidP="001C7E66">
      <w:pPr>
        <w:spacing w:after="100" w:afterAutospacing="1" w:line="276" w:lineRule="auto"/>
        <w:rPr>
          <w:rFonts w:cs="Arial"/>
          <w:lang w:val="sr-Latn-RS"/>
        </w:rPr>
      </w:pPr>
      <w:r w:rsidRPr="001C7E66">
        <w:rPr>
          <w:rFonts w:cs="Arial"/>
        </w:rPr>
        <w:t>Najveći broj ispitanih ocenjuju da nikada nisu bili izloženi diskriminaciji (56,4%), petina ponekad (19,6%), 11% veoma retko, a svega 7,3% ispitanika navode da su često izloženi diskriminaciji. Pozitivan stav o rodnoj ravnopravnosti iskazalo je 86% ispitanih, 8,9% je neodlučno, a 3,8% ima negativan stav.</w:t>
      </w:r>
    </w:p>
    <w:p w:rsidR="003D09EF" w:rsidRDefault="003D09EF" w:rsidP="001C7E66">
      <w:pPr>
        <w:spacing w:after="100" w:afterAutospacing="1" w:line="276" w:lineRule="auto"/>
        <w:rPr>
          <w:rFonts w:cs="Arial"/>
          <w:lang w:val="sr-Latn-RS"/>
        </w:rPr>
      </w:pPr>
    </w:p>
    <w:p w:rsidR="00BF3D2E" w:rsidRPr="001C7E66" w:rsidRDefault="00BF3D2E" w:rsidP="001C7E66">
      <w:pPr>
        <w:spacing w:after="100" w:afterAutospacing="1" w:line="276" w:lineRule="auto"/>
        <w:rPr>
          <w:rFonts w:cs="Arial"/>
          <w:lang w:val="sr-Latn-RS"/>
        </w:rPr>
      </w:pPr>
    </w:p>
    <w:p w:rsidR="00135D51" w:rsidRPr="00135D51" w:rsidRDefault="001C7E66" w:rsidP="00D93153">
      <w:pPr>
        <w:pStyle w:val="Heading2"/>
        <w:numPr>
          <w:ilvl w:val="0"/>
          <w:numId w:val="11"/>
        </w:numPr>
        <w:spacing w:after="100" w:afterAutospacing="1" w:line="276" w:lineRule="auto"/>
        <w:ind w:left="426"/>
        <w:rPr>
          <w:rFonts w:ascii="Arial" w:hAnsi="Arial" w:cs="Arial"/>
          <w:sz w:val="22"/>
          <w:szCs w:val="22"/>
        </w:rPr>
      </w:pPr>
      <w:bookmarkStart w:id="22" w:name="_Toc477248613"/>
      <w:bookmarkStart w:id="23" w:name="_Toc477251738"/>
      <w:r>
        <w:rPr>
          <w:rFonts w:ascii="Arial" w:hAnsi="Arial" w:cs="Arial"/>
          <w:sz w:val="22"/>
          <w:szCs w:val="22"/>
          <w:lang w:val="sr-Latn-RS"/>
        </w:rPr>
        <w:t>Izveštaji EU, međunarodnih organizacija i ugovornih tel</w:t>
      </w:r>
      <w:bookmarkEnd w:id="22"/>
      <w:bookmarkEnd w:id="23"/>
      <w:r>
        <w:rPr>
          <w:rFonts w:ascii="Arial" w:hAnsi="Arial" w:cs="Arial"/>
          <w:sz w:val="22"/>
          <w:szCs w:val="22"/>
          <w:lang w:val="sr-Latn-RS"/>
        </w:rPr>
        <w:t>a</w:t>
      </w:r>
    </w:p>
    <w:p w:rsidR="001C7E66" w:rsidRPr="001C7E66" w:rsidRDefault="001C7E66" w:rsidP="001C7E66">
      <w:pPr>
        <w:spacing w:after="100" w:afterAutospacing="1" w:line="276" w:lineRule="auto"/>
        <w:rPr>
          <w:rFonts w:cs="Arial"/>
          <w:bCs/>
        </w:rPr>
      </w:pPr>
      <w:r w:rsidRPr="001C7E66">
        <w:rPr>
          <w:rFonts w:cs="Arial"/>
          <w:bCs/>
        </w:rPr>
        <w:t>Iako su evidentni pomaci na planu sprečavanja i suzbijanja diskriminacije, potrebu za daljim i aktivnijim delovanjem u ovoj oblasti potvrđuju izveštaji Evropske unije, međunarodnih organizacija i ugovornih tela.</w:t>
      </w:r>
    </w:p>
    <w:p w:rsidR="001C7E66" w:rsidRPr="001C7E66" w:rsidRDefault="001C7E66" w:rsidP="001C7E66">
      <w:pPr>
        <w:spacing w:after="100" w:afterAutospacing="1" w:line="276" w:lineRule="auto"/>
        <w:rPr>
          <w:rFonts w:cs="Arial"/>
          <w:bCs/>
        </w:rPr>
      </w:pPr>
      <w:r w:rsidRPr="001C7E66">
        <w:rPr>
          <w:rFonts w:cs="Arial"/>
          <w:bCs/>
        </w:rPr>
        <w:t xml:space="preserve">U </w:t>
      </w:r>
      <w:r w:rsidRPr="003D09EF">
        <w:rPr>
          <w:rFonts w:cs="Arial"/>
          <w:bCs/>
          <w:i/>
        </w:rPr>
        <w:t>Izveštaju Evropske komisije o napretku Srbije u procesu evropskih integracija za 2016. godinu</w:t>
      </w:r>
      <w:r w:rsidR="003D09EF">
        <w:rPr>
          <w:rStyle w:val="FootnoteReference"/>
          <w:rFonts w:cs="Arial"/>
          <w:bCs/>
          <w:i/>
        </w:rPr>
        <w:footnoteReference w:id="70"/>
      </w:r>
      <w:r w:rsidRPr="001C7E66">
        <w:rPr>
          <w:rFonts w:cs="Arial"/>
          <w:bCs/>
        </w:rPr>
        <w:t xml:space="preserve">  navodi se da zakonodavni okvir za zaštitu ljudskih prava postoji, ali se ne sprovodi dosledno. Uočen je nedostatak političke podrške u zaštiti prava najviše diskriminisanih grupa, uključujući i pripadnike LGBTI populacije, osoba sa invaliditetom, osoba koje žive sa HIV/AIDS-om i ostalih ranjivih grupa. Evropska komisija upozorava da je potrebno intenzivirati rad na sprovođenju istraga, gonjenju i kažnjavanju za krivična dela motivisana mržnjom, i sveobuhvatno pristupiti integraciji nacionalnih manjina punim sprovođenjem akcionog plana o nacionalnim manjinama širom zemlje. Komisija posebno ističe neophodnost što bržeg usvajanja akcionog plana za puno sprovođenje nove strategije za inkluziju Roma.</w:t>
      </w:r>
    </w:p>
    <w:p w:rsidR="001C7E66" w:rsidRPr="001C7E66" w:rsidRDefault="001C7E66" w:rsidP="001C7E66">
      <w:pPr>
        <w:spacing w:after="100" w:afterAutospacing="1" w:line="276" w:lineRule="auto"/>
        <w:rPr>
          <w:rFonts w:cs="Arial"/>
          <w:bCs/>
        </w:rPr>
      </w:pPr>
      <w:r w:rsidRPr="001C7E66">
        <w:rPr>
          <w:rFonts w:cs="Arial"/>
          <w:bCs/>
        </w:rPr>
        <w:t>U izveštaju Evropske komisije istaknuto je da je postignut izvestan napredak u oblastima politike zapošljavanja, inkluzije Roma, zabrane diskriminacije i rodne ravnopravnosti, ali da i pored toga položaj žena na tržištu rada nije promenjen i odlikuje se znatno smanjenom stopom aktivnosti i zaposlenosti u odnosu na muškarce. U izveštaju je posebno naglašeno da treba delotvorno sprovoditi aktivnosti na promociji ravnopravnosti i obezbeđivanja integracije pripadnika najviše diskriminisanih grupa (Romi, LGBTI osobe, osobe sa invaliditetom, osobe sa HIV/AIDS-om i druge ranjive grupe).</w:t>
      </w:r>
    </w:p>
    <w:p w:rsidR="001C7E66" w:rsidRPr="001C7E66" w:rsidRDefault="001C7E66" w:rsidP="001C7E66">
      <w:pPr>
        <w:spacing w:after="100" w:afterAutospacing="1" w:line="276" w:lineRule="auto"/>
        <w:rPr>
          <w:rFonts w:cs="Arial"/>
          <w:bCs/>
        </w:rPr>
      </w:pPr>
      <w:r w:rsidRPr="001C7E66">
        <w:rPr>
          <w:rFonts w:cs="Arial"/>
          <w:bCs/>
        </w:rPr>
        <w:t xml:space="preserve">Zakonodavni okvir u oblasti zabrane diskriminacije generalno je u skladu s evropskim standardima, ali je ocenjeno da dodatne izmene, koje bi ga potpuno uskladile s pravnim tekovinama Evropske unije, nisu izvršene. </w:t>
      </w:r>
    </w:p>
    <w:p w:rsidR="001C7E66" w:rsidRPr="001C7E66" w:rsidRDefault="001C7E66" w:rsidP="001C7E66">
      <w:pPr>
        <w:spacing w:after="100" w:afterAutospacing="1" w:line="276" w:lineRule="auto"/>
        <w:rPr>
          <w:rFonts w:cs="Arial"/>
          <w:bCs/>
        </w:rPr>
      </w:pPr>
      <w:r w:rsidRPr="001C7E66">
        <w:rPr>
          <w:rFonts w:cs="Arial"/>
          <w:bCs/>
        </w:rPr>
        <w:lastRenderedPageBreak/>
        <w:t xml:space="preserve">Pohvaljene su aktivnosti Srbije na uvođenju Indeksa rodne ravnopravnosti EU, budžetska reforma i Zakon o budžetskom sistemu, koji je uveo rodno odgovorno budžetiranje kao obavezno za sve budžetske korisnike na nacionalnom, pokrajinskom i lokalnom nivou. Međutim, ukazano je na to da je potrebno uspostaviti održivu institucionalnu mrežu koja bi imala kapacitet i sredstva za promovisanje rodne ravnopravnosti. Posebna zabrinutost istaknuta je zbog brojnih slučajeva ubistava žena u partnerskom nasilju. Naglašena je neophodnost pravilnog sprovođenja Konvencije Saveta Evrope u sprečavanju i borbi protiv nasilja nad ženama i nasilja u porodici (Istambulska konvencija), kao i usklađivanje nacionalnog zakonodavstva s ovom konvencijom. Takođe, potrebno je pojačati zaštitu žena od svih oblika nasilja i unaprediti mehanizme za koordinaciju prikupljanja i razmene podataka između svih relevantnih aktera u sistemu. </w:t>
      </w:r>
    </w:p>
    <w:p w:rsidR="001C7E66" w:rsidRPr="001C7E66" w:rsidRDefault="001C7E66" w:rsidP="001C7E66">
      <w:pPr>
        <w:spacing w:after="100" w:afterAutospacing="1" w:line="276" w:lineRule="auto"/>
        <w:rPr>
          <w:rFonts w:cs="Arial"/>
          <w:bCs/>
        </w:rPr>
      </w:pPr>
      <w:r w:rsidRPr="001C7E66">
        <w:rPr>
          <w:rFonts w:cs="Arial"/>
          <w:bCs/>
        </w:rPr>
        <w:t xml:space="preserve">Posebno je ukazano da je potrebno uložiti dodatni napor da se poveća učešće osoba s invaliditetom u obrazovanju i da se sprovede sveobuhvatan plan o pristupu objektima za osobe s invaliditetom, starije osobe i socijalno ugrožena lica. U izveštaju se upozorava na to da smeštaj i lečenje osoba s psihosocijalnim i intelektualnim smetnjama u socijalnim ustanovama još uvek nisu uređeni u skladu s međunarodnim standardima. Od Srbije se zahteva da postupak lišavanja lica poslovne sposobnosti i postupak za dodelu starateljstva uskladi s međunarodnim standardima. </w:t>
      </w:r>
    </w:p>
    <w:p w:rsidR="001C7E66" w:rsidRPr="001C7E66" w:rsidRDefault="001C7E66" w:rsidP="001C7E66">
      <w:pPr>
        <w:spacing w:after="100" w:afterAutospacing="1" w:line="276" w:lineRule="auto"/>
        <w:rPr>
          <w:rFonts w:cs="Arial"/>
          <w:bCs/>
        </w:rPr>
      </w:pPr>
      <w:r w:rsidRPr="001C7E66">
        <w:rPr>
          <w:rFonts w:cs="Arial"/>
          <w:bCs/>
        </w:rPr>
        <w:t>Pozitivno su ocenjene aktivnosti Srbije na promovisanju prava LGBTI populacije, naročito izbor ministarke koja se otvoreno izjašnjava kao pripadnica LGBT zajednice, obezbeđenje prostorija za prvo svratište za LGBTI osobe koje traže podršku, kao i održavanje Parade ponosa bez incidenata. Međutim, Evropska komisija upozorava da se LGBTI osobe i aktivisti i dalje suočavaju s govorom mržnje, pretnjama, a ponekad čak i sa fizičkim nasiljem, kao i da ne postoji centralizovana evidencija zvaničnih podataka o broju krivičnih dela motivisanih homofobijom i transfobijom. U izveštaju je navedeno da je potrebna veća politička posvećenost unapređenju kulture poštovanja prava LGBTI osoba i obezbeđivanju zabrane diskriminacije na poslu, u sektoru zdravstva i u sistemu obrazovanja. Nivo predrasuda o LGBTI osobama i dalje je relativno visok i treba se baviti ovim pitanjem. Takođe, potrebno je izmeniti školske udžbenike koji sadrže diskriminatorne sadržaje i urediti postupke za pravno priznavanje posledica promene pola.</w:t>
      </w:r>
    </w:p>
    <w:p w:rsidR="001C7E66" w:rsidRPr="001C7E66" w:rsidRDefault="001C7E66" w:rsidP="001C7E66">
      <w:pPr>
        <w:spacing w:after="100" w:afterAutospacing="1" w:line="276" w:lineRule="auto"/>
        <w:rPr>
          <w:rFonts w:cs="Arial"/>
          <w:bCs/>
        </w:rPr>
      </w:pPr>
      <w:r w:rsidRPr="001C7E66">
        <w:rPr>
          <w:rFonts w:cs="Arial"/>
          <w:bCs/>
        </w:rPr>
        <w:t xml:space="preserve">Na 15. zasedanju Komiteta UN za prava osoba sa invaliditetom, u aprilu 2016. godine, usvojena su </w:t>
      </w:r>
      <w:r w:rsidRPr="00DE76BA">
        <w:rPr>
          <w:rFonts w:cs="Arial"/>
          <w:bCs/>
          <w:i/>
        </w:rPr>
        <w:t>Zaključna zapažanja sa preporukama Republici Srbiji za zaštitu i unapređenje položaja osoba sa invaliditetom (CRPD/C/SRB/CO/1)</w:t>
      </w:r>
      <w:r w:rsidR="00DE76BA">
        <w:rPr>
          <w:rStyle w:val="FootnoteReference"/>
          <w:rFonts w:cs="Arial"/>
          <w:bCs/>
          <w:i/>
        </w:rPr>
        <w:footnoteReference w:id="71"/>
      </w:r>
      <w:r w:rsidRPr="00DE76BA">
        <w:rPr>
          <w:rFonts w:cs="Arial"/>
          <w:bCs/>
          <w:i/>
        </w:rPr>
        <w:t>.</w:t>
      </w:r>
      <w:r w:rsidRPr="001C7E66">
        <w:rPr>
          <w:rFonts w:cs="Arial"/>
          <w:bCs/>
        </w:rPr>
        <w:t xml:space="preserve">  Komitet je pohvalio Republiku Srbiju za niz dostignuća i aktivnosti u pogledu unapređenja ravnopravnosti, pri čemu su posebno istaknuta zakonska rešenja i strateški dokumenti usvojeni u razmatranom vremenskom periodu. Međutim, u zaključnim zapažanjima izneta je zabrinutost da su pojedini propisi u </w:t>
      </w:r>
      <w:r w:rsidRPr="001C7E66">
        <w:rPr>
          <w:rFonts w:cs="Arial"/>
          <w:bCs/>
        </w:rPr>
        <w:lastRenderedPageBreak/>
        <w:t>suprotnosti s odredbama Konvencije o pravima osoba sa invaliditetom. Takođe, ocenjeno je da se zakonski propisi protiv diskriminacije ne primenjuju sistematski, da u njima nedostaje jasno određenje diskriminacije po osnovu invaliditeta i da ne obuhvataju sve oblike diskriminacije. Komitet je zabrinut zbog odsustva posebnih aktivnosti koje bi država članica sprovodila s ciljem sprečavanja i borbe protiv višestruke i unakrsne diskriminacije s kojom se žene i devojke sa invaliditetom suočavaju. Komitet preporučuje Republici Srbiji da preispita svoj zakonski okvir i uvrsti određenje diskriminacije po osnovu invaliditeta koje bi se eksplicitno odnosilo na sve oblike diskriminacije, kao i uključivanje koncepta razumnog prilagođavanja i obezbeđivanja da se odgovarajućim zakonima i propisima utvrdi da je odbijanje razumnog prilagođavanja oblik diskriminacije po osnovu invaliditeta.</w:t>
      </w:r>
    </w:p>
    <w:p w:rsidR="001C7E66" w:rsidRPr="001C7E66" w:rsidRDefault="001C7E66" w:rsidP="001C7E66">
      <w:pPr>
        <w:spacing w:after="100" w:afterAutospacing="1" w:line="276" w:lineRule="auto"/>
        <w:rPr>
          <w:rFonts w:cs="Arial"/>
          <w:bCs/>
        </w:rPr>
      </w:pPr>
      <w:r w:rsidRPr="001C7E66">
        <w:rPr>
          <w:rFonts w:cs="Arial"/>
          <w:bCs/>
        </w:rPr>
        <w:t xml:space="preserve">Komitet je izrazio duboku zabrinutost zbog broja dece sa invaliditetom koja žive u institucijama, posebno dece s mentalnim smetnjama, i podstiče Srbiju da pojača napore u deinstitucionalizaciji dece i da osigura efikasnije prebacivanje dečaka i devojčica iz institucija u porodice. Komitet je zabrinut zbog toga što ne postoji utvrđena praksa podizanja svesti o osobama sa invaliditetom, posebno u redovnim školama, i što nema mehanizma za borbu protiv višestruko štetnih stereotipa i široko rasprostranjene diskriminacije. Komitet ohrabruje Srbiju da sprovodi kampanje podizanja svesti, u koje bi se uključile osobe sa invaliditetom i organizacije koje ih predstavljaju, te da aktivno promoviše pozitivnu sliku o osobama sa invaliditetom. </w:t>
      </w:r>
    </w:p>
    <w:p w:rsidR="001C7E66" w:rsidRPr="001C7E66" w:rsidRDefault="001C7E66" w:rsidP="001C7E66">
      <w:pPr>
        <w:spacing w:after="100" w:afterAutospacing="1" w:line="276" w:lineRule="auto"/>
        <w:rPr>
          <w:rFonts w:cs="Arial"/>
          <w:bCs/>
        </w:rPr>
      </w:pPr>
      <w:r w:rsidRPr="001C7E66">
        <w:rPr>
          <w:rFonts w:cs="Arial"/>
          <w:bCs/>
        </w:rPr>
        <w:t>U zaključnim zapažanjima Komiteta izražena je zabrinutost zbog nepostojanja nacionalne strategije za obezbeđivanje pristupačnosti i zakonskih rešenja koja bi sadržavala delotvorne sankcije za nepoštovanje propisa, zatim zbog niskog stepena mogućnosti pristupa javnim objektima, institucijama i uslugama, kao i uslugama elektronskih medija u Srbiji. Komitet preporučuje da Srbija razvije sveobuhvatan plan za obezbeđivanje pristupačnosti uz efikasan nadzor i mapu puta koja će postaviti polazne tačke za uklanjanje postojećih prepreka. Komitet preporučuje Srbiji da odredi dovoljno sredstava za nadziranje sprovođenja standarda pristupačnosti, utvrdi delotvorne sankcije, poveća titlovanje i prevođenje na znakovni jezik u medijima i uključi organizacije osoba sa invaliditetom u ovaj proces.</w:t>
      </w:r>
    </w:p>
    <w:p w:rsidR="001C7E66" w:rsidRPr="001C7E66" w:rsidRDefault="001C7E66" w:rsidP="001C7E66">
      <w:pPr>
        <w:spacing w:after="100" w:afterAutospacing="1" w:line="276" w:lineRule="auto"/>
        <w:rPr>
          <w:rFonts w:cs="Arial"/>
          <w:bCs/>
        </w:rPr>
      </w:pPr>
      <w:r w:rsidRPr="001C7E66">
        <w:rPr>
          <w:rFonts w:cs="Arial"/>
          <w:bCs/>
        </w:rPr>
        <w:t>Komitet je upozorio da žene sa invaliditetom nisu zaštićene od seksualnog nasilja na jednakoj osnovi kao drugi i preporučio Srbiji da preduzme naredne korake u cilju osiguranja nesmetanog i nediskriminatornog pristupa pravdi tako što će obezbediti proceduralna i starosnom dobu osobe primerena prilagođavanja na osnovu slobodnog izbora i opredeljenja osoba sa invaliditetom. Republika Srbija treba da zabrani sve oblike prisilnog postupanja sa odraslim osobama i decom sa invaliditetom, uključujući fizičko i hemijsko sputavanje, kao i prekomernu antipsihotičku terapiju i izolaciju, i da otpočne administrativne i krivične istrage o prijavljenim slučajevima da bi se utvrdila odgovarajuća odgovornost. Komitet preporučuje Srbiji da zabrani medicinsku meru bez prethodne saglasnosti osobe sa invaliditetom i da obezbedi odgovarajući pravni lek i obeštećenje za one koju su podvrgnuti takvim postupcima. Srbiji je preporučeno da preduzme hitne korake kako bi se obezbedilo da sve osobe sa invaliditetom imaju pristup kvalitetnom inkluzivnom osnovnom, srednjem i tercijernom obrazovanju, i da se razumna prilagođavanja, u skladu s utvrđenim planovima individualnog obrazovanja, obezbede u redovnom obrazovanju.</w:t>
      </w:r>
    </w:p>
    <w:p w:rsidR="001C7E66" w:rsidRPr="001C7E66" w:rsidRDefault="001C7E66" w:rsidP="001C7E66">
      <w:pPr>
        <w:spacing w:after="100" w:afterAutospacing="1" w:line="276" w:lineRule="auto"/>
        <w:rPr>
          <w:rFonts w:cs="Arial"/>
          <w:bCs/>
        </w:rPr>
      </w:pPr>
      <w:r w:rsidRPr="001C7E66">
        <w:rPr>
          <w:rFonts w:cs="Arial"/>
          <w:bCs/>
        </w:rPr>
        <w:lastRenderedPageBreak/>
        <w:t xml:space="preserve">U septembru 2016. godine, Komitet UN za prava osoba sa invaliditetom usvojio je i </w:t>
      </w:r>
      <w:r w:rsidRPr="00A70B65">
        <w:rPr>
          <w:rFonts w:cs="Arial"/>
          <w:bCs/>
          <w:i/>
        </w:rPr>
        <w:t>Opšti komentar br. 3 na član 6. Konvencije o pravima osoba sa invaliditetom</w:t>
      </w:r>
      <w:r w:rsidR="00A70B65">
        <w:rPr>
          <w:rStyle w:val="FootnoteReference"/>
          <w:rFonts w:cs="Arial"/>
          <w:bCs/>
          <w:i/>
        </w:rPr>
        <w:footnoteReference w:id="72"/>
      </w:r>
      <w:r w:rsidRPr="001C7E66">
        <w:rPr>
          <w:rFonts w:cs="Arial"/>
          <w:bCs/>
        </w:rPr>
        <w:t xml:space="preserve"> , koji se tiče devojčica i žena sa invaliditetom. Opšti komentar predstavlja tumačenje člana 6, koji je povezan sa svim ostalim članovima Konvencije. Konstatovano je da postoje tri glavna problema, a to su nasilje, seksualno i reproduktivno zdravlje i diskriminacija. Komitet upozorava da su žene sa invaliditetom izložene višestrukoj diskriminaciji i zahteva da države članice preduzmu posebne mere kako bi ženama i devojčicama sa invaliditetom garantovale uživanje ljudskih prava i osnovnih sloboda sadržanih u ovoj konvenciji. Komitet zahteva da države članice uzmu aktivnu ulogu na usvajanju mera koje za cilj imaju potpun razvoj, napredak i osposobljavanje žena i devojčica sa invaliditetom.</w:t>
      </w:r>
    </w:p>
    <w:p w:rsidR="001C7E66" w:rsidRPr="001C7E66" w:rsidRDefault="001C7E66" w:rsidP="001C7E66">
      <w:pPr>
        <w:spacing w:after="100" w:afterAutospacing="1" w:line="276" w:lineRule="auto"/>
        <w:rPr>
          <w:rFonts w:cs="Arial"/>
          <w:bCs/>
        </w:rPr>
      </w:pPr>
      <w:r w:rsidRPr="001C7E66">
        <w:rPr>
          <w:rFonts w:cs="Arial"/>
          <w:bCs/>
        </w:rPr>
        <w:t xml:space="preserve">Komitet UN za ukidanje rasne diskriminacije uzeo je u razmatranje </w:t>
      </w:r>
      <w:r w:rsidRPr="00A70B65">
        <w:rPr>
          <w:rFonts w:cs="Arial"/>
          <w:bCs/>
          <w:i/>
        </w:rPr>
        <w:t>Drugi i Treći periodični izveštaj Republike Srbije o primeni Međunarodne konvencije o ukidanju svih oblika rasne diskriminacije</w:t>
      </w:r>
      <w:r w:rsidR="00A70B65">
        <w:rPr>
          <w:rStyle w:val="FootnoteReference"/>
          <w:rFonts w:cs="Arial"/>
          <w:bCs/>
          <w:i/>
        </w:rPr>
        <w:footnoteReference w:id="73"/>
      </w:r>
      <w:r w:rsidRPr="001C7E66">
        <w:rPr>
          <w:rFonts w:cs="Arial"/>
          <w:bCs/>
        </w:rPr>
        <w:t xml:space="preserve"> , koji je Vlada Republike Srbije usvojila na sednici 30. decembra 2015. godine. Izveštaj sadrži pregled zakonodavnih, sudskih, administrativnih i drugih mera koje je država preduzela radi primene odredaba Konvencije i ostvarivanja pune i efektivne ravnopravnosti i zaštite od rasne diskriminacije. Izveštaj sadrži informacije o implementaciji preporuka Komiteta sadržanih u Zaključnim razmatranjima (CERD/C/SRB/CO/1), koje su Srbiji upućene nakon razmatranja inicijalnog izveštaja iz marta 2011. godine i zapažanja Komiteta prilikom razmatranja Izveštaja Republike Srbije o primeni preporuka sadržanih u st. 11, 15, 19. i 22, od 30. avgusta 2013. godine. Izveštajem su obuhvaćeni svi aktuelni mehanizmi i mere koje je država uspostavila i sprovodi u cilju zaštite stanovništva od rasne diskriminacije.</w:t>
      </w:r>
    </w:p>
    <w:p w:rsidR="001C7E66" w:rsidRPr="001C7E66" w:rsidRDefault="001C7E66" w:rsidP="001C7E66">
      <w:pPr>
        <w:spacing w:after="100" w:afterAutospacing="1" w:line="276" w:lineRule="auto"/>
        <w:rPr>
          <w:rFonts w:cs="Arial"/>
          <w:bCs/>
        </w:rPr>
      </w:pPr>
      <w:r w:rsidRPr="001C7E66">
        <w:rPr>
          <w:rFonts w:cs="Arial"/>
          <w:bCs/>
        </w:rPr>
        <w:t xml:space="preserve">Komitet UN za prava deteta uputio je Republici Srbiji dodatna pitanja u vezi sa </w:t>
      </w:r>
      <w:r w:rsidRPr="00B84508">
        <w:rPr>
          <w:rFonts w:cs="Arial"/>
          <w:bCs/>
          <w:i/>
        </w:rPr>
        <w:t>Drugim i Trećim periodičnim izveštajem o primeni Konvencije o pravima deteta u Republici Srbiji</w:t>
      </w:r>
      <w:r w:rsidRPr="001C7E66">
        <w:rPr>
          <w:rFonts w:cs="Arial"/>
          <w:bCs/>
        </w:rPr>
        <w:t xml:space="preserve"> </w:t>
      </w:r>
      <w:r w:rsidR="00B84508">
        <w:rPr>
          <w:rStyle w:val="FootnoteReference"/>
          <w:rFonts w:cs="Arial"/>
          <w:bCs/>
        </w:rPr>
        <w:footnoteReference w:id="74"/>
      </w:r>
      <w:r w:rsidRPr="001C7E66">
        <w:rPr>
          <w:rFonts w:cs="Arial"/>
          <w:bCs/>
        </w:rPr>
        <w:t xml:space="preserve">. Pitanja su se odnosila na jasno definisanje pojma deteta, koordinaciju međusektorske saradnje i trenutni status Saveta za prava deteta Vlade Republike Srbije. Od Srbije je traženo da dostavi informacije u vezi s daljim planovima na formulisanju politike države prema deci, budući da je Nacionalni akcioni plan istekao 2015. godine. Komitet je zahtevao da Srbija prosledi informacije o merama koje preduzima s ciljem zabrane telesnog kažnjavanja u svim sredinama, kao i da odgovori da li Nacrt građanskog zakonika i Nacrt zakona o izmenama i dopunama Porodičnog zakona sadrže odredbe kojima se eksplicitno zabranjuje telesno kažnjavanje u svim sredinama, uključujući i porodicu. Komitet je tražio informaciju da li je Srbija preduzela mere po preporuci Komiteta o izmeni Krivičnog zakonika u pravcu razlikovanja prodaje dece od trgovine decom. Srbija je na ova pitanja dostavila </w:t>
      </w:r>
      <w:r w:rsidR="00BF3D2E">
        <w:rPr>
          <w:rFonts w:cs="Arial"/>
          <w:bCs/>
          <w:lang w:val="sr-Latn-RS"/>
        </w:rPr>
        <w:lastRenderedPageBreak/>
        <w:t>p</w:t>
      </w:r>
      <w:r w:rsidRPr="001C7E66">
        <w:rPr>
          <w:rFonts w:cs="Arial"/>
          <w:bCs/>
        </w:rPr>
        <w:t>isane odgovore</w:t>
      </w:r>
      <w:r w:rsidR="00B84508">
        <w:rPr>
          <w:rStyle w:val="FootnoteReference"/>
          <w:rFonts w:cs="Arial"/>
          <w:bCs/>
        </w:rPr>
        <w:footnoteReference w:id="75"/>
      </w:r>
      <w:r w:rsidRPr="001C7E66">
        <w:rPr>
          <w:rFonts w:cs="Arial"/>
          <w:bCs/>
        </w:rPr>
        <w:t xml:space="preserve">  krajem 2016. godine. U istom periodu, nevladine organizacije u Srbiji podnele su Komitetu za prava deteta pet izveštaja o stanju prava deteta</w:t>
      </w:r>
      <w:r w:rsidR="00B84508">
        <w:rPr>
          <w:rStyle w:val="FootnoteReference"/>
          <w:rFonts w:cs="Arial"/>
          <w:bCs/>
        </w:rPr>
        <w:footnoteReference w:id="76"/>
      </w:r>
      <w:r w:rsidRPr="001C7E66">
        <w:rPr>
          <w:rFonts w:cs="Arial"/>
          <w:bCs/>
        </w:rPr>
        <w:t xml:space="preserve"> .</w:t>
      </w:r>
    </w:p>
    <w:p w:rsidR="001C7E66" w:rsidRPr="001C7E66" w:rsidRDefault="001C7E66" w:rsidP="001C7E66">
      <w:pPr>
        <w:spacing w:after="100" w:afterAutospacing="1" w:line="276" w:lineRule="auto"/>
        <w:rPr>
          <w:rFonts w:cs="Arial"/>
          <w:bCs/>
        </w:rPr>
      </w:pPr>
      <w:r w:rsidRPr="001C7E66">
        <w:rPr>
          <w:rFonts w:cs="Arial"/>
          <w:bCs/>
        </w:rPr>
        <w:t xml:space="preserve">Komitet UN protiv torture objavio je </w:t>
      </w:r>
      <w:r w:rsidRPr="00B400AE">
        <w:rPr>
          <w:rFonts w:cs="Arial"/>
          <w:bCs/>
          <w:i/>
        </w:rPr>
        <w:t>Dodatak na Zaključna zapažanja o Drugom periodičnom izveštaju Srbije</w:t>
      </w:r>
      <w:r w:rsidR="00B400AE">
        <w:rPr>
          <w:rStyle w:val="FootnoteReference"/>
          <w:rFonts w:cs="Arial"/>
          <w:bCs/>
          <w:i/>
        </w:rPr>
        <w:footnoteReference w:id="77"/>
      </w:r>
      <w:r w:rsidRPr="001C7E66">
        <w:rPr>
          <w:rFonts w:cs="Arial"/>
          <w:bCs/>
        </w:rPr>
        <w:t xml:space="preserve"> . Izveštaju je prethodio odgovor Srbije na Zaključna zapažanja Komiteta (CAT/C/SRB/CO/2) koja se odnose na obavezu države članice da do 15. maja 2016. godine dostavi u pisanoj formi informacije o preduzetim koracima u implementaciji preporuka broj 9(a) i 19. Republika Srbija je izvestila Komitet o primeni ove dve preporuke. Preporuka broj 9(a) se odnosi na obavezu Republike Srbije da obezbedi nezavisne lekarske preglede pritvorenih lica od početka lišavanja slobode. Preporuka broj 19 obuhvata niz obaveza Republike Srbije u vezi sa javnom osudom pretnji i napada na borce za ljudska prava, novinare, LGBT osobe i pripadnike romske zajednice i njihovu istragu. Dodatak na Zaključna zapažanja sadrži opis stanja, informacije i mere koje je Srbija preduzela na implementaciji preporuka broj 9(a) i 19 Komiteta.</w:t>
      </w:r>
    </w:p>
    <w:p w:rsidR="001C7E66" w:rsidRPr="001C7E66" w:rsidRDefault="001C7E66" w:rsidP="001C7E66">
      <w:pPr>
        <w:spacing w:after="100" w:afterAutospacing="1" w:line="276" w:lineRule="auto"/>
        <w:rPr>
          <w:rFonts w:cs="Arial"/>
          <w:bCs/>
        </w:rPr>
      </w:pPr>
      <w:r w:rsidRPr="001C7E66">
        <w:rPr>
          <w:rFonts w:cs="Arial"/>
          <w:bCs/>
        </w:rPr>
        <w:t xml:space="preserve">Međunarodna organizacija Human Rights Watch (HRW) objavila je izveštaj pod nazivom </w:t>
      </w:r>
      <w:r w:rsidRPr="00B400AE">
        <w:rPr>
          <w:rFonts w:cs="Arial"/>
          <w:bCs/>
          <w:i/>
        </w:rPr>
        <w:t>Moj san je da napustim ovo mesto: Deca sa invaliditetom u srpskim institucijama</w:t>
      </w:r>
      <w:r w:rsidR="00B400AE">
        <w:rPr>
          <w:rStyle w:val="FootnoteReference"/>
          <w:rFonts w:cs="Arial"/>
          <w:bCs/>
          <w:i/>
        </w:rPr>
        <w:footnoteReference w:id="78"/>
      </w:r>
      <w:r w:rsidRPr="001C7E66">
        <w:rPr>
          <w:rFonts w:cs="Arial"/>
          <w:bCs/>
        </w:rPr>
        <w:t xml:space="preserve"> . U izveštaju je istaknuto da porodice često trpe pritisak da decu sa invaliditetom šalju u velike rezidencijalne ustanove, koje su često daleko od njihovih domova i u kojima su deca sa invaliditetom odvojena od svojih porodica. Izveštaj pokazuje da su u takvim ustanovama deca često zanemarena, imaju neadekvatan pristup lečenju, nedostatak privatnosti i ograničen pristup obrazovanju.</w:t>
      </w:r>
    </w:p>
    <w:p w:rsidR="00135D51" w:rsidRDefault="001C7E66" w:rsidP="001C7E66">
      <w:pPr>
        <w:spacing w:after="100" w:afterAutospacing="1" w:line="276" w:lineRule="auto"/>
        <w:rPr>
          <w:rFonts w:cs="Arial"/>
          <w:bCs/>
          <w:lang w:val="sr-Latn-RS"/>
        </w:rPr>
      </w:pPr>
      <w:r w:rsidRPr="001C7E66">
        <w:rPr>
          <w:rFonts w:cs="Arial"/>
          <w:bCs/>
        </w:rPr>
        <w:t xml:space="preserve">U izveštaju koji je objavila međunarodna organizacija Amnesty International, </w:t>
      </w:r>
      <w:r w:rsidRPr="003F7576">
        <w:rPr>
          <w:rFonts w:cs="Arial"/>
          <w:bCs/>
          <w:i/>
        </w:rPr>
        <w:t>Stanje ljudskih prava u svetu</w:t>
      </w:r>
      <w:r w:rsidR="003F7576">
        <w:rPr>
          <w:rStyle w:val="FootnoteReference"/>
          <w:rFonts w:cs="Arial"/>
          <w:bCs/>
          <w:i/>
        </w:rPr>
        <w:footnoteReference w:id="79"/>
      </w:r>
      <w:r w:rsidRPr="003F7576">
        <w:rPr>
          <w:rFonts w:cs="Arial"/>
          <w:bCs/>
        </w:rPr>
        <w:t xml:space="preserve"> </w:t>
      </w:r>
      <w:r w:rsidRPr="001C7E66">
        <w:rPr>
          <w:rFonts w:cs="Arial"/>
          <w:bCs/>
        </w:rPr>
        <w:t>, prikazani su rezultati analize stanja ljudskih prava u 160 zemalja i teritorija tokom 2015/16. godine. U delu koji se odnosi na Republiku Srbiju govori se o izbeglicama, azilantima i migrantima, prisilnim nestancima, diskriminaciji Roma, LGBT pravima i zločinima koji podležu međunarodnom pravu, a koji su posledica etničkih sukoba u regionu. Izveštaj u pozitivnom kontekstu govori o Paradi ponosa koja je i 2016. godine održana bez incidenata. Međutim, zločini iz mržnje i napadi na pripadnike i pripadnice LGBT zajednice još uvek su prisutni. U izveštaju je ukazano na to da se zakoni koji treba da spreče zločine iz mržnje ne primenjuju u dovoljnoj meri. Romi, Aškalije i Egipćani na Kosovu i dalje trpe institucionalnu diskriminaciju, uključujući i pristup socijalnim i ekonomskim pravima. Veliki broj njih je napustio Kosovo i traži azil u EU. Osim toga, u izveštaju je navedeno da privremene vlasti na Kosovu nisu uspele da istraže zločine iz mržnje, uključujući i fizičke napade na pripadnike i pripadnice LGBTI zajednice.</w:t>
      </w:r>
    </w:p>
    <w:p w:rsidR="001C7E66" w:rsidRPr="001C7E66" w:rsidRDefault="001C7E66" w:rsidP="001C7E66">
      <w:pPr>
        <w:spacing w:after="100" w:afterAutospacing="1" w:line="276" w:lineRule="auto"/>
        <w:rPr>
          <w:rFonts w:cs="Arial"/>
          <w:lang w:val="sr-Latn-RS"/>
        </w:rPr>
      </w:pPr>
    </w:p>
    <w:p w:rsidR="00135D51" w:rsidRPr="00135D51" w:rsidRDefault="00C41588" w:rsidP="00D93153">
      <w:pPr>
        <w:pStyle w:val="Heading2"/>
        <w:numPr>
          <w:ilvl w:val="0"/>
          <w:numId w:val="11"/>
        </w:numPr>
        <w:spacing w:after="100" w:afterAutospacing="1" w:line="276" w:lineRule="auto"/>
        <w:ind w:left="426"/>
        <w:rPr>
          <w:rFonts w:ascii="Arial" w:hAnsi="Arial" w:cs="Arial"/>
          <w:sz w:val="22"/>
          <w:szCs w:val="22"/>
        </w:rPr>
      </w:pPr>
      <w:bookmarkStart w:id="24" w:name="_Toc477248614"/>
      <w:bookmarkStart w:id="25" w:name="_Toc477251739"/>
      <w:r>
        <w:rPr>
          <w:rFonts w:ascii="Arial" w:hAnsi="Arial" w:cs="Arial"/>
          <w:sz w:val="22"/>
          <w:szCs w:val="22"/>
          <w:lang w:val="sr-Latn-RS"/>
        </w:rPr>
        <w:t>Izveštaji i istraživanja domaćih institucija i organizacija</w:t>
      </w:r>
      <w:bookmarkEnd w:id="24"/>
      <w:bookmarkEnd w:id="25"/>
    </w:p>
    <w:p w:rsidR="00C41588" w:rsidRPr="00C41588" w:rsidRDefault="00C41588" w:rsidP="00E6322A">
      <w:pPr>
        <w:spacing w:after="100" w:afterAutospacing="1" w:line="276" w:lineRule="auto"/>
        <w:rPr>
          <w:rFonts w:cs="Arial"/>
        </w:rPr>
      </w:pPr>
      <w:r w:rsidRPr="00C41588">
        <w:rPr>
          <w:rFonts w:cs="Arial"/>
        </w:rPr>
        <w:t xml:space="preserve">Četvrti po redu Izveštaj o sprovođenju </w:t>
      </w:r>
      <w:r w:rsidRPr="00E6322A">
        <w:rPr>
          <w:rFonts w:cs="Arial"/>
          <w:i/>
        </w:rPr>
        <w:t>Akcionog plana za poglavlje 23 u pristupnim pregovorima za članstvo u Evropskoj uniji</w:t>
      </w:r>
      <w:r w:rsidR="00E6322A">
        <w:rPr>
          <w:rStyle w:val="FootnoteReference"/>
          <w:rFonts w:cs="Arial"/>
          <w:i/>
        </w:rPr>
        <w:footnoteReference w:id="80"/>
      </w:r>
      <w:r w:rsidRPr="00C41588">
        <w:rPr>
          <w:rFonts w:cs="Arial"/>
        </w:rPr>
        <w:t xml:space="preserve"> , Ministarstvo pravde objavilo je na kraju 2016. godine. U Izveštaju je navedeno da je u prethodnom periodu donet </w:t>
      </w:r>
      <w:r w:rsidRPr="00E6322A">
        <w:rPr>
          <w:rFonts w:cs="Arial"/>
          <w:i/>
        </w:rPr>
        <w:t>Pravilnik o merilima i postupku za upis učenika – pripadnika romske nacionalne manjine u srednju školu pod povoljnijim uslovima radi postizanja pune ravnopravnosti</w:t>
      </w:r>
      <w:r w:rsidR="00E6322A">
        <w:rPr>
          <w:rStyle w:val="FootnoteReference"/>
          <w:rFonts w:cs="Arial"/>
          <w:i/>
        </w:rPr>
        <w:footnoteReference w:id="81"/>
      </w:r>
      <w:r w:rsidRPr="00C41588">
        <w:rPr>
          <w:rFonts w:cs="Arial"/>
        </w:rPr>
        <w:t xml:space="preserve"> , što je dalo zavidne rezultate u praksi. U školskoj 2016/17. godini upisano je 1.512 učenika, u odnosu na prethodnu godinu, kada je upisano 420 romskih đaka. Pored povećanja obuhvata, ovaj pravilnik je unapredio afirmativni kriterijum upisa, tako što je iskombinovao etički i socijalni princip i uskladio ga sa uspehom učenika u osnovnoj školi i na završnom ispitu</w:t>
      </w:r>
      <w:r w:rsidR="00E6322A">
        <w:rPr>
          <w:rStyle w:val="FootnoteReference"/>
          <w:rFonts w:cs="Arial"/>
        </w:rPr>
        <w:footnoteReference w:id="82"/>
      </w:r>
      <w:r w:rsidRPr="00C41588">
        <w:rPr>
          <w:rFonts w:cs="Arial"/>
        </w:rPr>
        <w:t xml:space="preserve">.  Takođe, usvojen je i </w:t>
      </w:r>
      <w:r w:rsidRPr="00E6322A">
        <w:rPr>
          <w:rFonts w:cs="Arial"/>
          <w:i/>
        </w:rPr>
        <w:t>Pravilnik o merilima i postupku za upis polaznika koji su završili program osnovnog obrazovanja odraslih u srednju školu pod povoljnijim uslovima radi postizanja pune ravnopravnosti</w:t>
      </w:r>
      <w:r w:rsidRPr="00C41588">
        <w:rPr>
          <w:rFonts w:cs="Arial"/>
        </w:rPr>
        <w:t xml:space="preserve"> </w:t>
      </w:r>
      <w:r w:rsidR="00E6322A">
        <w:rPr>
          <w:rStyle w:val="FootnoteReference"/>
          <w:rFonts w:cs="Arial"/>
        </w:rPr>
        <w:footnoteReference w:id="83"/>
      </w:r>
      <w:r w:rsidRPr="00C41588">
        <w:rPr>
          <w:rFonts w:cs="Arial"/>
        </w:rPr>
        <w:t>.</w:t>
      </w:r>
    </w:p>
    <w:p w:rsidR="00C41588" w:rsidRPr="00C41588" w:rsidRDefault="00C41588" w:rsidP="00C41588">
      <w:pPr>
        <w:spacing w:after="100" w:afterAutospacing="1" w:line="276" w:lineRule="auto"/>
        <w:rPr>
          <w:rFonts w:cs="Arial"/>
        </w:rPr>
      </w:pPr>
      <w:r w:rsidRPr="00C41588">
        <w:rPr>
          <w:rFonts w:cs="Arial"/>
        </w:rPr>
        <w:t>S ciljem potpune harmonizacije zakonodavnog okvira s propisima Evropske unije u oblasti zabrane diskriminacije, nastavljeno je sa izradom Nacrta zakona o izmenama i dopunama Zakona o zabrani diskriminacije. Pored aktivnosti koje je preduzelo Ministarstvo za rad, zapošljavanje, boračka i socijalna pitanja na izradi teksta Nacrta zakona, i Poverenik za zaštitu ravnopravnosti je, na osnovu svoje dosadašnje prakse u primeni Zakona i izvršene analize Zakona, sačinio predloge za njegovu izmenu i dopunu</w:t>
      </w:r>
      <w:r w:rsidR="00E6322A">
        <w:rPr>
          <w:rStyle w:val="FootnoteReference"/>
          <w:rFonts w:cs="Arial"/>
        </w:rPr>
        <w:footnoteReference w:id="84"/>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Ministarstvo prosvete, nauke i tehnološkog razvoja pripremilo je i usvojilo </w:t>
      </w:r>
      <w:r w:rsidRPr="00AE6888">
        <w:rPr>
          <w:rFonts w:cs="Arial"/>
          <w:i/>
        </w:rPr>
        <w:t>Pravilnik o bližim kriterijumima za prepoznavanje oblika diskriminacije od strane zaposlenog, deteta, učenika ili trećeg lica u ustanovi obrazovanja i vaspitanja</w:t>
      </w:r>
      <w:r w:rsidR="00AE6888">
        <w:rPr>
          <w:rStyle w:val="FootnoteReference"/>
          <w:rFonts w:cs="Arial"/>
          <w:i/>
        </w:rPr>
        <w:footnoteReference w:id="85"/>
      </w:r>
      <w:r w:rsidRPr="00AE6888">
        <w:rPr>
          <w:rFonts w:cs="Arial"/>
        </w:rPr>
        <w:t xml:space="preserve"> </w:t>
      </w:r>
      <w:r w:rsidRPr="00C41588">
        <w:rPr>
          <w:rFonts w:cs="Arial"/>
        </w:rPr>
        <w:t>, u februaru 2016. godine, čime je postupljeno po preporuci Poverenika datoj u Redovnom godišnjem izveštaju o radu Poverenika za 2015. godinu. U Izveštaju o sprovođenju Akcionog plana za poglavlje 23 navedeno je da se, u saradnji s Unicefom, priprema set obuka za zaposlene u oblasti obrazovanja za adekvatnu primenu Pravilnika.</w:t>
      </w:r>
    </w:p>
    <w:p w:rsidR="00C41588" w:rsidRPr="00C41588" w:rsidRDefault="00C41588" w:rsidP="00C41588">
      <w:pPr>
        <w:spacing w:after="100" w:afterAutospacing="1" w:line="276" w:lineRule="auto"/>
        <w:rPr>
          <w:rFonts w:cs="Arial"/>
        </w:rPr>
      </w:pPr>
      <w:r w:rsidRPr="00C41588">
        <w:rPr>
          <w:rFonts w:cs="Arial"/>
        </w:rPr>
        <w:t>Narodna skupština Republike Srbije je 23. novembra 2016. godine donela Zakon o izmenama i dopunama Krivičnog zakonika u smislu dopune krivičnog dela povreda</w:t>
      </w:r>
      <w:r w:rsidR="00BF3D2E">
        <w:rPr>
          <w:rFonts w:cs="Arial"/>
          <w:lang w:val="sr-Latn-RS"/>
        </w:rPr>
        <w:t xml:space="preserve"> </w:t>
      </w:r>
      <w:r w:rsidRPr="00C41588">
        <w:rPr>
          <w:rFonts w:cs="Arial"/>
        </w:rPr>
        <w:lastRenderedPageBreak/>
        <w:t>ravnopravnosti (član 128), na način da se ovo delo može izvršiti ako se zbog seksualne orijentacije ili rodnog identiteta nekom licu ograniče ili uskrate prava čoveka i građanina</w:t>
      </w:r>
      <w:r w:rsidR="00AE6888">
        <w:rPr>
          <w:rStyle w:val="FootnoteReference"/>
          <w:rFonts w:cs="Arial"/>
        </w:rPr>
        <w:footnoteReference w:id="86"/>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U avgustu 2016. godine Kancelarija za ljudska i manjinska prava je objavila </w:t>
      </w:r>
      <w:r w:rsidRPr="00AE6888">
        <w:rPr>
          <w:rFonts w:cs="Arial"/>
          <w:i/>
        </w:rPr>
        <w:t>Izveštaj o praćenju implementacije Akcionog plana za primenu Strategije prevencije i zaštite od diskriminacije</w:t>
      </w:r>
      <w:r w:rsidR="00AE6888">
        <w:rPr>
          <w:rStyle w:val="FootnoteReference"/>
          <w:rFonts w:cs="Arial"/>
          <w:i/>
        </w:rPr>
        <w:footnoteReference w:id="87"/>
      </w:r>
      <w:r w:rsidRPr="00C41588">
        <w:rPr>
          <w:rFonts w:cs="Arial"/>
        </w:rPr>
        <w:t xml:space="preserve"> za period od 2014. do 2018. godine – za drugi, treći i četvrti kvartal 2015. godine.  U Izveštaju je ocenjeno da je delimično sprovedena mera koja se odnosi na pripremu nacrta o izmenama i dopunama postojećih zakona, utvrđivanje drugih posebnih mera u oblasti državne uprave i zabrane diskriminacije, kao i usaglašavanje različitih mehanizama sudske zaštite utvrđene opštim i posebnim antidiskriminacionim zakonima radi unapređenja njene delotvornosti. U izveštajnom periodu formirana je posebna radna grupa za pripremu teksta Nacrta zakona o izmenama i dopunama Zakona o nacionalnim savetima nacionalnih manjina</w:t>
      </w:r>
      <w:r w:rsidR="00AE6888">
        <w:rPr>
          <w:rStyle w:val="FootnoteReference"/>
          <w:rFonts w:cs="Arial"/>
        </w:rPr>
        <w:footnoteReference w:id="88"/>
      </w:r>
      <w:r w:rsidRPr="00C41588">
        <w:rPr>
          <w:rFonts w:cs="Arial"/>
        </w:rPr>
        <w:t xml:space="preserve"> . </w:t>
      </w:r>
    </w:p>
    <w:p w:rsidR="00C41588" w:rsidRPr="00C41588" w:rsidRDefault="00C41588" w:rsidP="00C41588">
      <w:pPr>
        <w:spacing w:after="100" w:afterAutospacing="1" w:line="276" w:lineRule="auto"/>
        <w:rPr>
          <w:rFonts w:cs="Arial"/>
        </w:rPr>
      </w:pPr>
      <w:r w:rsidRPr="00C41588">
        <w:rPr>
          <w:rFonts w:cs="Arial"/>
        </w:rPr>
        <w:t xml:space="preserve">U okviru mere koja se tiče harmonizacije propisa u oblasti zabrane diskriminacije koji nisu u potpunosti usklađeni s relevantnim propisima Evropske unije, jedna od predviđenih aktivnosti bila je da se obezbede pristup i učešće dece u postupku pred Poverenikom za zaštitu ravnopravnosti po pritužbama po meri deteta. Ministarstvo za rad, zapošljavanje, boračka i socijalna pitanja, koje je zaduženo za realizaciju ove mere, nije dalo podatke o sprovedenim aktivnostima za navedeni izveštajni period. </w:t>
      </w:r>
    </w:p>
    <w:p w:rsidR="00C41588" w:rsidRPr="00C41588" w:rsidRDefault="00C41588" w:rsidP="00C41588">
      <w:pPr>
        <w:spacing w:after="100" w:afterAutospacing="1" w:line="276" w:lineRule="auto"/>
        <w:rPr>
          <w:rFonts w:cs="Arial"/>
        </w:rPr>
      </w:pPr>
      <w:r w:rsidRPr="00C41588">
        <w:rPr>
          <w:rFonts w:cs="Arial"/>
        </w:rPr>
        <w:t xml:space="preserve">Ocenjeno je da je delimično sprovedena mera, odnosno aktivnost koja se tiče praktične primene preporuke Poverenika za zaštitu ravnopravnosti za uklanjanje diskriminatornih sadržaja iz udžbenika i nastavnih materijala radi sprečavanja diskriminacije, promovisanja tolerancije, uvažavanja različitosti i poštovanja ljudskih prava. Zavod za unapređivanje obrazovanja i vaspitanja je pregledao devet udžbenika za srednje škole koji prema oceni NVO Labris i Poverenika za zaštitu ravnopravnosti sadrže diskriminatorne sadržaje. Po sprovedenom postupku, Ministarstvu prosvete, nauke i tehnološkog razvoja upućeno je mišljenje Zavoda da osam udžbenika sadrži diskriminatorne sadržaje i da ne mogu biti dalje u upotrebi. </w:t>
      </w:r>
    </w:p>
    <w:p w:rsidR="00C41588" w:rsidRPr="00C41588" w:rsidRDefault="00C41588" w:rsidP="00C41588">
      <w:pPr>
        <w:spacing w:after="100" w:afterAutospacing="1" w:line="276" w:lineRule="auto"/>
        <w:rPr>
          <w:rFonts w:cs="Arial"/>
        </w:rPr>
      </w:pPr>
      <w:r w:rsidRPr="00C41588">
        <w:rPr>
          <w:rFonts w:cs="Arial"/>
        </w:rPr>
        <w:t>U toku izveštajnog perioda, Služba za upravljanje kadrovima je organizovala stručne obuke državnih službenika o primeni antidiskriminatornih propisa u odnosu na osetljive društvene grupe, a bila je predviđena i izrada priručnika o zaštiti od diskriminacije za potrebe edukacije u obrazovanju. Ocenjeno je da je ova aktivnost delimično realizovana.</w:t>
      </w:r>
    </w:p>
    <w:p w:rsidR="00C41588" w:rsidRPr="00C41588" w:rsidRDefault="00C41588" w:rsidP="00C41588">
      <w:pPr>
        <w:spacing w:after="100" w:afterAutospacing="1" w:line="276" w:lineRule="auto"/>
        <w:rPr>
          <w:rFonts w:cs="Arial"/>
        </w:rPr>
      </w:pPr>
      <w:r w:rsidRPr="00C41588">
        <w:rPr>
          <w:rFonts w:cs="Arial"/>
        </w:rPr>
        <w:t xml:space="preserve">Jedna od ključnih tema u 2016. godini bilo je pitanje migranata i izbeglica, kao posebno ranjivih grupa. S tim u vezi, kreirane su </w:t>
      </w:r>
      <w:r w:rsidRPr="00FD7D9D">
        <w:rPr>
          <w:rFonts w:cs="Arial"/>
          <w:i/>
        </w:rPr>
        <w:t>Standardne operativne procedure za zaštitu dece izbeglica/migranata</w:t>
      </w:r>
      <w:r w:rsidR="00FD7D9D">
        <w:rPr>
          <w:rStyle w:val="FootnoteReference"/>
          <w:rFonts w:cs="Arial"/>
          <w:i/>
        </w:rPr>
        <w:footnoteReference w:id="89"/>
      </w:r>
      <w:r w:rsidRPr="00C41588">
        <w:rPr>
          <w:rFonts w:cs="Arial"/>
        </w:rPr>
        <w:t xml:space="preserve"> (SOP) , koje predstavljaju osnov za koordinisano delovanje svih </w:t>
      </w:r>
      <w:r w:rsidRPr="00C41588">
        <w:rPr>
          <w:rFonts w:cs="Arial"/>
        </w:rPr>
        <w:lastRenderedPageBreak/>
        <w:t>učesnika u podršci i identifikaciji posebno ugrožene dece izbeglica/migranata. Ove procedure, kao proizvod strateške saradnje između Ministarstva za rad, zapošljavanje, boračka i socijalna pitanja, Unicefa i organizacije IDEAS, definišu organizacioni model reagovanja, uloge i odgovornosti svih aktera, jedinstvene kriterijume i procedure. Svrha SOP jeste da se uspostavi zajedničko razumevanje svih aktera uključenih u zaštitu dece o rizicima kojima su deca izložena u okolnostima vanrednih situacija i osigura da u svakoj situaciji kada im je potrebna, deca dobiju adekvatnu podršku. SOP su namenjene svim organizacijama koje su operativne duž rute kretanja migranata i izbeglica u Srbiji</w:t>
      </w:r>
      <w:r w:rsidR="00FD7D9D">
        <w:rPr>
          <w:rStyle w:val="FootnoteReference"/>
          <w:rFonts w:cs="Arial"/>
        </w:rPr>
        <w:footnoteReference w:id="90"/>
      </w:r>
      <w:r w:rsidRPr="00C41588">
        <w:rPr>
          <w:rFonts w:cs="Arial"/>
        </w:rPr>
        <w:t xml:space="preserve">. </w:t>
      </w:r>
    </w:p>
    <w:p w:rsidR="00C41588" w:rsidRDefault="00C41588" w:rsidP="00C41588">
      <w:pPr>
        <w:spacing w:after="100" w:afterAutospacing="1" w:line="276" w:lineRule="auto"/>
        <w:rPr>
          <w:rFonts w:cs="Arial"/>
          <w:lang w:val="sr-Latn-RS"/>
        </w:rPr>
      </w:pPr>
      <w:r w:rsidRPr="00C41588">
        <w:rPr>
          <w:rFonts w:cs="Arial"/>
        </w:rPr>
        <w:t xml:space="preserve">U priručniku </w:t>
      </w:r>
      <w:r w:rsidRPr="00FD7D9D">
        <w:rPr>
          <w:rFonts w:cs="Arial"/>
          <w:i/>
        </w:rPr>
        <w:t>Digitalno nasilje – prevencija i reagovanje</w:t>
      </w:r>
      <w:r w:rsidR="00FD7D9D">
        <w:rPr>
          <w:rStyle w:val="FootnoteReference"/>
          <w:rFonts w:cs="Arial"/>
          <w:i/>
        </w:rPr>
        <w:footnoteReference w:id="91"/>
      </w:r>
      <w:r w:rsidRPr="00C41588">
        <w:rPr>
          <w:rFonts w:cs="Arial"/>
        </w:rPr>
        <w:t xml:space="preserve"> , koje su objavili Ministarstvo prosvete, nauke i tehnološkog razvoja i Pedagoško društvo Srbije, ističe se da je 62% osnovaca i 84% srednjoškolaca izložilo sebe nekom od rizika na internetu, a da je digitalno nasilje doživelo 37% osnovaca i 66% srednjoškolaca. Uz to, ukupno 22% osnovaca i 30% srednjoškolaca videlo je ili čulo da njihovi vršnjaci trpe digitalno nasilje</w:t>
      </w:r>
      <w:r w:rsidR="00FD7D9D">
        <w:rPr>
          <w:rStyle w:val="FootnoteReference"/>
          <w:rFonts w:cs="Arial"/>
        </w:rPr>
        <w:footnoteReference w:id="92"/>
      </w:r>
      <w:r w:rsidRPr="00C41588">
        <w:rPr>
          <w:rFonts w:cs="Arial"/>
        </w:rPr>
        <w:t>.  Kao jedna od mogućnosti za prijavu digitalnog nasilja navedena je tzv. net-patrola – elektronski mehanizam za anonimnu prijavu nelegalnih sadržaja na internetu, zadužena da prijave prosleđuje MUP-u i da uklanja i sprečava dalje širenje materijala koji se tiču seksualne zloupotrebe dece, fizičkih i psihičkih napada na decu, govora mržnje, kao i sadržaje rasističke i ksenofobične prirode i druge neprimerene sadržaje i oblike ponašanja na internetu</w:t>
      </w:r>
      <w:r w:rsidR="00FD7D9D">
        <w:rPr>
          <w:rStyle w:val="FootnoteReference"/>
          <w:rFonts w:cs="Arial"/>
        </w:rPr>
        <w:footnoteReference w:id="93"/>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Osipanje učenika iz sistema obrazovanja jeste problem s kojim se danas suočavaju mnoge države sveta, među kojima je i Republika Srbija. Tim za socijalno uključivanje i smanjenje siromaštva je objavio publikaciju</w:t>
      </w:r>
      <w:r w:rsidR="00FD7D9D">
        <w:rPr>
          <w:rStyle w:val="FootnoteReference"/>
          <w:rFonts w:cs="Arial"/>
        </w:rPr>
        <w:footnoteReference w:id="94"/>
      </w:r>
      <w:r w:rsidRPr="00C41588">
        <w:rPr>
          <w:rFonts w:cs="Arial"/>
        </w:rPr>
        <w:t xml:space="preserve">  u kojoj se ističe da u procesu sprečavanja osipanja učenika iz sistema obrazovanja i ranog napuštanja ključnu ulogu ima škola, koja treba da identifikuje učenike u riziku i da im raznovrsnim merama pomogne, da ih podrži i zaustavi u nameri da napuste školu i obrazovanje. Ocenjeno je da je u tom procesu neophodna podrška roditelja i različitih službi na nivou lokalne samouprave</w:t>
      </w:r>
      <w:r w:rsidR="00FD7D9D">
        <w:rPr>
          <w:rStyle w:val="FootnoteReference"/>
          <w:rFonts w:cs="Arial"/>
        </w:rPr>
        <w:footnoteReference w:id="95"/>
      </w:r>
      <w:r w:rsidRPr="00C41588">
        <w:rPr>
          <w:rFonts w:cs="Arial"/>
        </w:rPr>
        <w:t xml:space="preserve">.  </w:t>
      </w:r>
    </w:p>
    <w:p w:rsidR="00C41588" w:rsidRPr="00C41588" w:rsidRDefault="00C41588" w:rsidP="00C41588">
      <w:pPr>
        <w:spacing w:after="100" w:afterAutospacing="1" w:line="276" w:lineRule="auto"/>
        <w:rPr>
          <w:rFonts w:cs="Arial"/>
        </w:rPr>
      </w:pPr>
      <w:r w:rsidRPr="00FD7D9D">
        <w:rPr>
          <w:rFonts w:cs="Arial"/>
          <w:i/>
        </w:rPr>
        <w:t>Analiza primene afirmativnih mera u oblasti obrazovanja Roma i Romkinja i preporuke za unapređenje mera</w:t>
      </w:r>
      <w:r w:rsidRPr="00C41588">
        <w:rPr>
          <w:rFonts w:cs="Arial"/>
        </w:rPr>
        <w:t xml:space="preserve"> iz juna 2016. godine</w:t>
      </w:r>
      <w:r w:rsidR="00FD7D9D">
        <w:rPr>
          <w:rStyle w:val="FootnoteReference"/>
          <w:rFonts w:cs="Arial"/>
        </w:rPr>
        <w:footnoteReference w:id="96"/>
      </w:r>
      <w:r w:rsidRPr="00C41588">
        <w:rPr>
          <w:rFonts w:cs="Arial"/>
        </w:rPr>
        <w:t xml:space="preserve">  pokazala je da je diskriminacija romskih učenika </w:t>
      </w:r>
      <w:r w:rsidRPr="00C41588">
        <w:rPr>
          <w:rFonts w:cs="Arial"/>
        </w:rPr>
        <w:lastRenderedPageBreak/>
        <w:t>još uvek prisutna u školama u Srbiji i da je to i dalje prvi problem koji treba rešiti kako bi se potom polako i spontano prešlo na veću individualizaciju nastave, kao i da bi se napustila praksa zadržavanja istih kriterijuma ocenjivanja ili diskriminišućeg smanjenja kriterijuma</w:t>
      </w:r>
      <w:r w:rsidR="00FD7D9D">
        <w:rPr>
          <w:rStyle w:val="FootnoteReference"/>
          <w:rFonts w:cs="Arial"/>
        </w:rPr>
        <w:footnoteReference w:id="97"/>
      </w:r>
      <w:r w:rsidRPr="00C41588">
        <w:rPr>
          <w:rFonts w:cs="Arial"/>
        </w:rPr>
        <w:t>.  Prikupljanje podataka o Romima u obrazovanju još uvek nije unapređeno u dovoljnoj meri, te je nužno postići konsenzus u okviru zvaničnih institucija i organizacija civilnog društva oko toga koje kategorije podataka imaju prioritet u prikupljanju, odnosno koje su to definicije koje se koriste prilikom obrade. Time bi se obezbedila neophodna doza uniformnosti podataka i stvorila bi se adekvatna osnova za formiranje baze podataka o Romima u obrazovanju, čime bi se lakše procenjivala uspešnost realizovanih mera i jednostavnije planirali naredni koraci i mere</w:t>
      </w:r>
      <w:r w:rsidR="00FD7D9D">
        <w:rPr>
          <w:rStyle w:val="FootnoteReference"/>
          <w:rFonts w:cs="Arial"/>
        </w:rPr>
        <w:footnoteReference w:id="98"/>
      </w:r>
      <w:r w:rsidRPr="00C41588">
        <w:rPr>
          <w:rFonts w:cs="Arial"/>
        </w:rPr>
        <w:t xml:space="preserve">. </w:t>
      </w:r>
    </w:p>
    <w:p w:rsidR="00C41588" w:rsidRPr="00C41588" w:rsidRDefault="00C41588" w:rsidP="00C41588">
      <w:pPr>
        <w:spacing w:after="100" w:afterAutospacing="1" w:line="276" w:lineRule="auto"/>
        <w:rPr>
          <w:rFonts w:cs="Arial"/>
        </w:rPr>
      </w:pPr>
      <w:r w:rsidRPr="005D078D">
        <w:rPr>
          <w:rFonts w:cs="Arial"/>
          <w:i/>
        </w:rPr>
        <w:t>Uputstvo za izradu nastavnog materijala u skladu sa principom univerzalnog dizajna</w:t>
      </w:r>
      <w:r w:rsidR="005D078D">
        <w:rPr>
          <w:rStyle w:val="FootnoteReference"/>
          <w:rFonts w:cs="Arial"/>
          <w:i/>
        </w:rPr>
        <w:footnoteReference w:id="99"/>
      </w:r>
      <w:r w:rsidRPr="00C41588">
        <w:rPr>
          <w:rFonts w:cs="Arial"/>
        </w:rPr>
        <w:t xml:space="preserve">  nalaže da u inkluzivnom okruženju treba nastojati da nastavni materijal bude pristupačan i koristan za sve učenike, uzimajući u obzir njihove međusobne razlike, mogućnosti primanja i obrade informacija, kao i stilove učenja. Deci sa oštećenjem vida (slepoj i veoma slabovidoj deci) ništa neće značiti samo vizuelne informacije, kao što ni deci/učenicima sa oštećenjem sluha neće biti od koristi samo auditivne ili zvučne informacije. Za decu sa oštećenjem vida zvučne informacije će biti mnogo korisnije od pisanih, dok će deci sa oštećenjem sluha svakako više odgovarati kombinacija vizuelnih i tekstualnih. Za decu sa intelektualnim teškoćama nastavne sadržaje treba pripremiti tako da budu što lakši za razumevanje</w:t>
      </w:r>
      <w:r w:rsidR="00EC099E">
        <w:rPr>
          <w:rStyle w:val="FootnoteReference"/>
          <w:rFonts w:cs="Arial"/>
        </w:rPr>
        <w:footnoteReference w:id="100"/>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Tim za socijalno uključivanje i smanjenje siromaštva je u oktobru 2016. godine objavio </w:t>
      </w:r>
      <w:r w:rsidRPr="00EC099E">
        <w:rPr>
          <w:rFonts w:cs="Arial"/>
          <w:i/>
        </w:rPr>
        <w:t>Smernice za procenu uticaja na društvo</w:t>
      </w:r>
      <w:r w:rsidR="00EC099E">
        <w:rPr>
          <w:rStyle w:val="FootnoteReference"/>
          <w:rFonts w:cs="Arial"/>
          <w:i/>
        </w:rPr>
        <w:footnoteReference w:id="101"/>
      </w:r>
      <w:r w:rsidRPr="00C41588">
        <w:rPr>
          <w:rFonts w:cs="Arial"/>
        </w:rPr>
        <w:t xml:space="preserve"> , koje mogu biti od koristi u procesima donošenja odluka, utvrđivanju mogućih strateških opcija javnih politika, ali i praćenja efekata javnih politika na društvo. Četvrtu ključnu oblast javne politike za procenu uticaja na društvo predstavlja jednakost tretmana i mogućnosti, prevencija i zabrana diskriminacije. Za procenu uticaja u okviru ove oblasti potrebno je odgovoriti na pitanja da li opcija utiče na jednak tretman i jednake mogućnosti za sve, zatim da li opcija podrazumeva bilo kakav različit tretman grupa ili pojedinaca direktno na osnovu npr. rase, nacionalnosti ili društvenog statusa, religije ili uverenja, invaliditeta, starosti ili seksualne orijentacije, da li može da dovede do posredne diskriminacije, zatim da li opcija različito utiče na žene i muškarce, odnosno da li opcija unapređuje ravnopravnost žena i muškaraca. Kao izvori podataka </w:t>
      </w:r>
      <w:r w:rsidRPr="00C41588">
        <w:rPr>
          <w:rFonts w:cs="Arial"/>
        </w:rPr>
        <w:lastRenderedPageBreak/>
        <w:t>predviđeni su rodno razvrstani podaci iz različitih oblasti javnih politika (Republički zavod za statistiku i drugi proizvođači statističkih podataka)</w:t>
      </w:r>
      <w:r w:rsidR="00EC099E">
        <w:rPr>
          <w:rStyle w:val="FootnoteReference"/>
          <w:rFonts w:cs="Arial"/>
        </w:rPr>
        <w:footnoteReference w:id="102"/>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Kako se navodi u publikaciji Tima za socijalno uključivanje i smanjenje siromaštva, </w:t>
      </w:r>
      <w:r w:rsidRPr="00880349">
        <w:rPr>
          <w:rFonts w:cs="Arial"/>
          <w:i/>
        </w:rPr>
        <w:t>Mapiranje usluga socijalne zaštite u nadležnosti jedinica lokalnih samouprava u Republici Srbiji</w:t>
      </w:r>
      <w:r w:rsidRPr="00C41588">
        <w:rPr>
          <w:rFonts w:cs="Arial"/>
        </w:rPr>
        <w:t xml:space="preserve"> </w:t>
      </w:r>
      <w:r w:rsidR="00880349">
        <w:rPr>
          <w:rStyle w:val="FootnoteReference"/>
          <w:rFonts w:cs="Arial"/>
        </w:rPr>
        <w:footnoteReference w:id="103"/>
      </w:r>
      <w:r w:rsidRPr="00C41588">
        <w:rPr>
          <w:rFonts w:cs="Arial"/>
        </w:rPr>
        <w:t>, usluge socijalne zaštite u nadležnosti jedinica lokalnih samouprava u Srbiji nisu razvijene u dovoljnom obimu i neravnomerno su dostupne. Među uslugama su najrasprostranjenije dnevne usluge u zajednici, i to pomoć u kući za odrasla i starija lica i dnevni boravak za decu sa smetnjama u razvoju i invaliditetom. Pomoć u kući za odrasla i starija lica pruža se u 122 lokalne samouprave, a dnevni boravak za decu sa smetnjama u razvoju i invaliditetom u 68 opština i gradova. Sve ostale usluge prisutne su u malom broju opština/gradova i nisu dovoljno razvijene. Posebno je naglašeno da su usluge podrške za samostalni život osoba sa invaliditetom izrazito nerazvijene. Usluga personalne asistencije uspostavljena je u 17 jedinica lokalne samouprave za 160 korisnika, a stanovanje uz podršku za OSI u 13 opština i gradova za 145 korisnika. U odnosu na 2012. godinu povećao se broj jedinica lokalnih samouprava koje pružaju uslugu stanovanja uz podršku, imajući u vidu zakonske promene koje su omogućile da se ova usluga finansira s nacionalnog nivoa u svim, osim u najrazvijenijim opštinama i gradovima</w:t>
      </w:r>
      <w:r w:rsidR="00880349">
        <w:rPr>
          <w:rStyle w:val="FootnoteReference"/>
          <w:rFonts w:cs="Arial"/>
        </w:rPr>
        <w:footnoteReference w:id="104"/>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U toku 2016. godine Zaštitnik građana je objavio </w:t>
      </w:r>
      <w:r w:rsidRPr="00CA26DA">
        <w:rPr>
          <w:rFonts w:cs="Arial"/>
          <w:i/>
        </w:rPr>
        <w:t>Poseban izveštaj o informisanju na jezicima nacionalnih manjina nakon privatizacije medija</w:t>
      </w:r>
      <w:r w:rsidR="00CA26DA">
        <w:rPr>
          <w:rStyle w:val="FootnoteReference"/>
          <w:rFonts w:cs="Arial"/>
          <w:i/>
        </w:rPr>
        <w:footnoteReference w:id="105"/>
      </w:r>
      <w:r w:rsidRPr="00C41588">
        <w:rPr>
          <w:rFonts w:cs="Arial"/>
        </w:rPr>
        <w:t>, s ciljem da na osnovu prikupljenih podataka i utvrđenih činjenica, pravovremeno skrene pažnju nadležnim organima na nepravilnosti i probleme u praksi nakon privatizacije, kako bi se postiglo da se informisanje na manjinskom jeziku ostvaruje na način koji zadovoljava potrebe pripadnika nacionalnih manjina</w:t>
      </w:r>
      <w:r w:rsidR="00A507D8">
        <w:rPr>
          <w:rStyle w:val="FootnoteReference"/>
          <w:rFonts w:cs="Arial"/>
        </w:rPr>
        <w:footnoteReference w:id="106"/>
      </w:r>
      <w:r w:rsidRPr="00C41588">
        <w:rPr>
          <w:rFonts w:cs="Arial"/>
        </w:rPr>
        <w:t>.  U izveštaju je navedeno da je samo romskoj zajednici omogućeno da prati programske celine na svom jeziku. Iako je prema saznanjima Zaštitnika Radio-televizija Srbije (RTS) planirala uvođenje više medijskih sadržaja na jezicima nacionalnih manjina, tačnije, emisije na albanskom, bugarskom i rumunskom jeziku, koje bi se emitovale svakog radnog dana u jutarnjem i večernjem terminu u oktobru 2016. godine, emitovanje novih sadržaja na manjinskim jezicima još nije započeto</w:t>
      </w:r>
      <w:r w:rsidR="00A507D8">
        <w:rPr>
          <w:rStyle w:val="FootnoteReference"/>
          <w:rFonts w:cs="Arial"/>
        </w:rPr>
        <w:footnoteReference w:id="107"/>
      </w:r>
      <w:r w:rsidRPr="00C41588">
        <w:rPr>
          <w:rFonts w:cs="Arial"/>
        </w:rPr>
        <w:t xml:space="preserve">.  S druge strane, Radio televizija Vojvodina (RTV) je, i pored svih poznatih problema u radu javnih servisa, uspela da u proteklih godinu dana čak značajno poveća udeo programa na jezicima nacionalnih manjina – uvođenjem novih emisija, povećanjem broja repriza, kupovinom programa, pa i kupovinom emisija nezavisne produkcije. Zaštitnik građana navodi da se odlaganjem ispunjavanja obaveze javnog medijskog servisa ne samo krši zakon već se i dodatno produbljuju postojeće razlike u informisanju nacionalnih manjina u zavisnosti od toga da li žive na </w:t>
      </w:r>
      <w:r w:rsidRPr="00C41588">
        <w:rPr>
          <w:rFonts w:cs="Arial"/>
        </w:rPr>
        <w:lastRenderedPageBreak/>
        <w:t>teritoriji Vojvodine ili centralne Srbije. U izveštaju se navodi i to da je prilikom svih dosadašnjih reformi propušteno da se sistemski i sveobuhvatno reši pitanje medija koje osnivaju nacionalni saveti</w:t>
      </w:r>
      <w:r w:rsidR="00A507D8">
        <w:rPr>
          <w:rStyle w:val="FootnoteReference"/>
          <w:rFonts w:cs="Arial"/>
        </w:rPr>
        <w:footnoteReference w:id="108"/>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U publikaciji Zaštitnika građana, </w:t>
      </w:r>
      <w:r w:rsidRPr="00A507D8">
        <w:rPr>
          <w:rFonts w:cs="Arial"/>
          <w:i/>
        </w:rPr>
        <w:t>Zaštita žena od nasilja u porodici i partnerskim odnosima</w:t>
      </w:r>
      <w:r w:rsidRPr="00C41588">
        <w:rPr>
          <w:rFonts w:cs="Arial"/>
        </w:rPr>
        <w:t xml:space="preserve"> (izabrane preporuke), istaknuto je da ni 11 godina nakon donošenja Opšteg i posebnih protokola za zaštitu dece od zlostavljanja i zanemarivanja, sistem zaštite dece ne funkcioniše u punoj meri</w:t>
      </w:r>
      <w:r w:rsidR="00A507D8">
        <w:rPr>
          <w:rStyle w:val="FootnoteReference"/>
          <w:rFonts w:cs="Arial"/>
        </w:rPr>
        <w:footnoteReference w:id="109"/>
      </w:r>
      <w:r w:rsidRPr="00C41588">
        <w:rPr>
          <w:rFonts w:cs="Arial"/>
        </w:rPr>
        <w:t>.  Ispitujući 60 slučajeva, od kojih 14 slučajeva ubistava žena, Zaštitnik građana je utvrdio brojne propuste organa u zaštiti žena od nasilja u porodici i partnerskim odnosima i zaštiti dece od zlostavljanja i zanemarivanja i organima uputio više desetina preporuka. Između ostalog, u postupcima kontrole Zaštitnik građana je utvrdio da je samo u jednom od pomenutih slučajeva policija obavestila Centar za socijalni rad o primljenoj prijavi nasilja, preduzetim merama i proceni policijskih službenika. U većem broju slučajevima, policijski službenici davali su ocene prijavljenih incidenata, ne kvalifikujući ih kao nasilje, već kao „porodične nesuglasice“, „verbalni sukob“, „narušene porodične odnose“, „loše bračne odnose“, iako ovim ocenama nisu prethodile aktivnosti na utvrđivanju svih činjenica – izuzev uzimanja izjava od prijaviteljke i prijavljenog</w:t>
      </w:r>
      <w:r w:rsidR="00A507D8">
        <w:rPr>
          <w:rStyle w:val="FootnoteReference"/>
          <w:rFonts w:cs="Arial"/>
        </w:rPr>
        <w:footnoteReference w:id="110"/>
      </w:r>
      <w:r w:rsidRPr="00C41588">
        <w:rPr>
          <w:rFonts w:cs="Arial"/>
        </w:rPr>
        <w:t>.  Najčešće, kako se navodi, protiv policijskih službenika koji nisu postupali u skladu sa Opštim i posebnim protokolima za zaštitu žena od nasilja u porodici i partnerskim odnosima i Opštim i posebnim protokolima za zaštitu dece od zlostavljanja i zanemarivanja nisu pokretani disciplinski postupci, a tamo gde su pokrenuti, izrečene su samo novčane kazne u iznosu od 20% od mesečne plate u trajanju od jednog meseca</w:t>
      </w:r>
      <w:r w:rsidR="00A507D8">
        <w:rPr>
          <w:rStyle w:val="FootnoteReference"/>
          <w:rFonts w:cs="Arial"/>
        </w:rPr>
        <w:footnoteReference w:id="111"/>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Tim za socijalno uključivanje i smanjenje siromaštva je u februaru 2016. godine objavio prvi </w:t>
      </w:r>
      <w:r w:rsidRPr="00DC61C4">
        <w:rPr>
          <w:rFonts w:cs="Arial"/>
          <w:i/>
        </w:rPr>
        <w:t>Indeks rodne ravnopravnosti za Srbiju</w:t>
      </w:r>
      <w:r w:rsidR="00DC61C4">
        <w:rPr>
          <w:rStyle w:val="FootnoteReference"/>
          <w:rFonts w:cs="Arial"/>
          <w:i/>
        </w:rPr>
        <w:footnoteReference w:id="112"/>
      </w:r>
      <w:r w:rsidRPr="00C41588">
        <w:rPr>
          <w:rFonts w:cs="Arial"/>
        </w:rPr>
        <w:t xml:space="preserve"> , ističući da je Republika Srbija prva zemlja van Evropske unije koja je uvela ovaj merni instrument rodne ravnopravnosti</w:t>
      </w:r>
      <w:r w:rsidR="00DC61C4">
        <w:rPr>
          <w:rStyle w:val="FootnoteReference"/>
          <w:rFonts w:cs="Arial"/>
        </w:rPr>
        <w:footnoteReference w:id="113"/>
      </w:r>
      <w:r w:rsidRPr="00C41588">
        <w:rPr>
          <w:rFonts w:cs="Arial"/>
        </w:rPr>
        <w:t xml:space="preserve">.  On meri rodnu ravnopravnost (rodni jaz) na skali od 1 (potpuna neravnopravnost) do 100 (potpuna ravnopravnost) kroz šest domena relevantnih za okvir politika EU: znanje, rad, novac, zdravlje, vreme i moć, kao i dva poddomena: nasilje i unakrsne nejednakosti. Indeks rodne ravnopravnosti za Srbiju iznosi 40,6%, u odnosu na rezultat Indeksa za zemlje članice </w:t>
      </w:r>
      <w:r w:rsidRPr="00C41588">
        <w:rPr>
          <w:rFonts w:cs="Arial"/>
        </w:rPr>
        <w:lastRenderedPageBreak/>
        <w:t>Evropske unije, koji iznosi 52,9%. Srbija zaostaje za prosekom u EU-28 za 12 procentnih poena, odnosno čak 30%. Najveći uspeh u ostvarivanju rodne ravnopravnosti postignut je u domenu moći na nacionalnom nivou, a najveći zaostatak u odnosu na zemlje Evropske unije zabeležen je u domenu rada i novca</w:t>
      </w:r>
      <w:r w:rsidR="00DC61C4">
        <w:rPr>
          <w:rStyle w:val="FootnoteReference"/>
          <w:rFonts w:cs="Arial"/>
        </w:rPr>
        <w:footnoteReference w:id="114"/>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Kako se dalje navodi, najhitnije delovanje je neophodno u domenima rada, novca, znanja i vremena. Domen moći pokazuje donekle bolje rezultate usled kvota u skupštinama i veće zastupljenosti žena u Narodnoj banci. Međutim, dodatno povećanje političke i ekonomske moći žena je i dalje neophodno, pošto su vrednosti Indeksa daleko od ciljeva pune ravnopravnosti. Najbolji učinak je primećen u domenu zdravlja u poređenju sa ostalim domenima Indeksa rodne ravnopravnosti u Srbiji. Razlike među regionima su prisutne u svim domenima (osim znanja i moći, za koje podaci nisu obrađivani na regionalnom nivou) – Beograd je region s najboljim učinkom, južna i istočna Srbija su regioni s najnižim rezultatom u domenima rada, novca i vremena, a Vojvodina region s najnižim rezultatom u domenu zdravlja</w:t>
      </w:r>
      <w:r w:rsidR="00290217">
        <w:rPr>
          <w:rStyle w:val="FootnoteReference"/>
          <w:rFonts w:cs="Arial"/>
        </w:rPr>
        <w:footnoteReference w:id="115"/>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Za domen unakrsnih nejednakosti i nasilja Indeks bi trebalo dodatno razvijati, imajući u vidu ozbiljne probleme u vezi s pozicijom žena iz različitih ranjivih grupa (Romkinje, žene iz ruralnih oblasti, migrantkinje, pripadnice nacionalnih manjina, žene sa invaliditetom, samohrane majke, siromašne, nezaposlene žene i žene bez radnih veština, žene manjinske seksualne orijentacije i ostale). Komparativne vrednosti za Srbiju i pojedinačne države članice Evropske unije pokazuju da se Srbija u većini slučajeva nalazi u grupi država s niskim rezultatom, osim u domenu moći. Čak i u domenu zdravlja, gde je jaz između Srbije i EU-28 najmanji, Srbija se nalazi među četiri države s najnižim rezultatom. Zaključak je da bi Srbija trebalo da kreira ambicioznu politiku rodne ravnopravnosti, koja bi postavila visoke ali ostvarljive ciljeve, ugledajući se na rodno najravnopravnije države Evrope i učeći iz njihovih iskustava</w:t>
      </w:r>
      <w:r w:rsidR="00290217">
        <w:rPr>
          <w:rStyle w:val="FootnoteReference"/>
          <w:rFonts w:cs="Arial"/>
        </w:rPr>
        <w:footnoteReference w:id="116"/>
      </w:r>
      <w:r w:rsidRPr="00C41588">
        <w:rPr>
          <w:rFonts w:cs="Arial"/>
        </w:rPr>
        <w:t xml:space="preserve">. </w:t>
      </w:r>
    </w:p>
    <w:p w:rsidR="00C41588" w:rsidRDefault="00C41588" w:rsidP="00C41588">
      <w:pPr>
        <w:spacing w:after="100" w:afterAutospacing="1" w:line="276" w:lineRule="auto"/>
        <w:rPr>
          <w:rFonts w:cs="Arial"/>
          <w:lang w:val="sr-Latn-RS"/>
        </w:rPr>
      </w:pPr>
      <w:r w:rsidRPr="00C41588">
        <w:rPr>
          <w:rFonts w:cs="Arial"/>
        </w:rPr>
        <w:t>U istraživanju „Mogućnost pristupa ekonomskim šansama u Srbiji za žene“</w:t>
      </w:r>
      <w:r w:rsidR="00290217">
        <w:rPr>
          <w:rStyle w:val="FootnoteReference"/>
          <w:rFonts w:cs="Arial"/>
        </w:rPr>
        <w:footnoteReference w:id="117"/>
      </w:r>
      <w:r w:rsidRPr="00C41588">
        <w:rPr>
          <w:rFonts w:cs="Arial"/>
        </w:rPr>
        <w:t xml:space="preserve"> , koje je sprovedeno u saradnji sa Svetskom bankom, ocenjeno je da je veliki jaz u platama između muškaraca i žena posebno izražen na visokim nivoima zarade, ukazujući na to da postoji gornja granica za zarade žena. Žene u Srbiji su nesrazmerno više opterećene aktivnostima i obavezama koje se odnose na brigu o članovima porodice i rad u domaćinstvu. Slabijeg su zdravstvenog stanja u poređenju s muškarcima i češće nego muškarci sebi ne mogu da obezbede zdravstvene usluge. Ovo je nešto što zaslužuje veću pažnju kreatora politike, budući da podaci istraživanja ukazuju na to da unapređenje zdravlja žena doprinosi njihovom ekonomskom osnaživanju</w:t>
      </w:r>
      <w:r w:rsidR="00290217">
        <w:rPr>
          <w:rStyle w:val="FootnoteReference"/>
          <w:rFonts w:cs="Arial"/>
        </w:rPr>
        <w:footnoteReference w:id="118"/>
      </w:r>
      <w:r w:rsidRPr="00C41588">
        <w:rPr>
          <w:rFonts w:cs="Arial"/>
        </w:rPr>
        <w:t xml:space="preserve"> . Još jedna ključna oblast na koju bi mere politike morale da se usredsrede jeste ulaganje u objekte za brigu o deci, što bi zaposlenim majkama omogućilo </w:t>
      </w:r>
      <w:r w:rsidRPr="00C41588">
        <w:rPr>
          <w:rFonts w:cs="Arial"/>
        </w:rPr>
        <w:lastRenderedPageBreak/>
        <w:t xml:space="preserve">da lakše pomire obaveze u porodici i na poslu, a onim ženama koje su trenutno neaktivne ili nezaposlene otvorilo nove šanse da ostvare dohodak. </w:t>
      </w:r>
    </w:p>
    <w:p w:rsidR="00C41588" w:rsidRPr="00C41588" w:rsidRDefault="00C41588" w:rsidP="00C41588">
      <w:pPr>
        <w:spacing w:after="100" w:afterAutospacing="1" w:line="276" w:lineRule="auto"/>
        <w:rPr>
          <w:rFonts w:cs="Arial"/>
        </w:rPr>
      </w:pPr>
      <w:r w:rsidRPr="00C41588">
        <w:rPr>
          <w:rFonts w:cs="Arial"/>
        </w:rPr>
        <w:t>Pokrajinski ombudsman je u julu 2016. godine objavio novo istraživanje</w:t>
      </w:r>
      <w:r w:rsidR="002F5468">
        <w:rPr>
          <w:rStyle w:val="FootnoteReference"/>
          <w:rFonts w:cs="Arial"/>
        </w:rPr>
        <w:footnoteReference w:id="119"/>
      </w:r>
      <w:r w:rsidRPr="00C41588">
        <w:rPr>
          <w:rFonts w:cs="Arial"/>
        </w:rPr>
        <w:t xml:space="preserve">  o primeni principa rodne ravnopravnosti</w:t>
      </w:r>
      <w:r w:rsidR="002F5468">
        <w:rPr>
          <w:rStyle w:val="FootnoteReference"/>
          <w:rFonts w:cs="Arial"/>
        </w:rPr>
        <w:footnoteReference w:id="120"/>
      </w:r>
      <w:r w:rsidRPr="00C41588">
        <w:rPr>
          <w:rFonts w:cs="Arial"/>
        </w:rPr>
        <w:t xml:space="preserve">  u jedinicama lokalne samouprave na teritoriji AP Vojvodine</w:t>
      </w:r>
      <w:r w:rsidR="00AA7219">
        <w:rPr>
          <w:rStyle w:val="FootnoteReference"/>
          <w:rFonts w:cs="Arial"/>
        </w:rPr>
        <w:footnoteReference w:id="121"/>
      </w:r>
      <w:r w:rsidRPr="00C41588">
        <w:rPr>
          <w:rFonts w:cs="Arial"/>
        </w:rPr>
        <w:t xml:space="preserve"> . Istraživanje je pokazalo da je u svim sferama javne lokalne politike i vlasti prisutna nejednakost i neravnopravnost polova i da i dalje muškarcima pripadaju mesta i pozicije odlučivanja i moći, dok su žene u vlasti prisutne samo u onoj meri u kojoj to obezbeđuju afirmativne mere u vidu kvota. Žene su formalno u mogućnosti da donose odluke jer zauzimaju pozicije, međutim, rukovode sektorima koji se tradicionalno dodeljuju ženama, kao što su društvena pitanja, obrazovanje i socijalna zaštita</w:t>
      </w:r>
      <w:r w:rsidR="002F5468">
        <w:rPr>
          <w:rStyle w:val="FootnoteReference"/>
          <w:rFonts w:cs="Arial"/>
        </w:rPr>
        <w:footnoteReference w:id="122"/>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Rezultati istraživanja pokazali su i da je u postojećoj organizaciji i aktima o unutrašnjem uređenju i sistematizaciji u 81% lokalnih samouprava (u odnosu na broj jedinica koje su učestvovale u istraživanju) organizovano stalno radno telo, većinom komisije za rodnu ravnopravnost (14) i saveti za rodnu ravnopravnost (7). U 52% opština/gradova, osim stalnog radnog tela, određen/određena je i zaposleni/zaposlena za rodnu ravnopravnost, dok je u četiri jedinice lokalne samouprave za ovu oblast isključivo zaduže</w:t>
      </w:r>
      <w:r w:rsidR="00462592">
        <w:rPr>
          <w:rFonts w:cs="Arial"/>
        </w:rPr>
        <w:t>na osoba za rodnu ravnopravnost</w:t>
      </w:r>
      <w:r w:rsidR="00462592">
        <w:rPr>
          <w:rStyle w:val="FootnoteReference"/>
          <w:rFonts w:cs="Arial"/>
        </w:rPr>
        <w:footnoteReference w:id="123"/>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Telo za rodnu ravnopravnost predviđeno je statutom u 17 jedinica lokalne samouprave (63% od broja jedinica koje su odgovorile na upitnik). Rodno osetljiv budžet izradile su samo neke opštine. Odluku o ravnopravnosti polova usvojilo je 14, odnosno polovina jedinica lokalne samouprave koje su odgovorile na upitnik (trećina ukupnog broja jedinica lokalne samouprave), a šest planira njeno usvajanje</w:t>
      </w:r>
      <w:r w:rsidR="00462592">
        <w:rPr>
          <w:rStyle w:val="FootnoteReference"/>
          <w:rFonts w:cs="Arial"/>
        </w:rPr>
        <w:footnoteReference w:id="124"/>
      </w:r>
      <w:r w:rsidRPr="00C41588">
        <w:rPr>
          <w:rFonts w:cs="Arial"/>
        </w:rPr>
        <w:t>.  Svega nekoliko jedinica lokalne samouprave iskazuje po polu evidentirane statističke podatke</w:t>
      </w:r>
      <w:r w:rsidR="00462592">
        <w:rPr>
          <w:rStyle w:val="FootnoteReference"/>
          <w:rFonts w:cs="Arial"/>
        </w:rPr>
        <w:footnoteReference w:id="125"/>
      </w:r>
      <w:r w:rsidRPr="00C41588">
        <w:rPr>
          <w:rFonts w:cs="Arial"/>
        </w:rPr>
        <w:t xml:space="preserve">.  Muškarci su u 85% jedinica lokalne </w:t>
      </w:r>
      <w:r w:rsidRPr="00C41588">
        <w:rPr>
          <w:rFonts w:cs="Arial"/>
        </w:rPr>
        <w:lastRenderedPageBreak/>
        <w:t xml:space="preserve">samouprave predsednici skupštine opštine, a u 92% su na mestima predsednika opština/gradonačelnika. </w:t>
      </w:r>
    </w:p>
    <w:p w:rsidR="00C41588" w:rsidRPr="00C41588" w:rsidRDefault="00C41588" w:rsidP="00C41588">
      <w:pPr>
        <w:spacing w:after="100" w:afterAutospacing="1" w:line="276" w:lineRule="auto"/>
        <w:rPr>
          <w:rFonts w:cs="Arial"/>
        </w:rPr>
      </w:pPr>
      <w:r w:rsidRPr="00C41588">
        <w:rPr>
          <w:rFonts w:cs="Arial"/>
        </w:rPr>
        <w:t>Istraživanje je pokazalo da žene zauzimaju nešto više od trećine odborničkih mesta u skupštinama jedinica lokalne samouprave</w:t>
      </w:r>
      <w:r w:rsidR="00462592">
        <w:rPr>
          <w:rStyle w:val="FootnoteReference"/>
          <w:rFonts w:cs="Arial"/>
        </w:rPr>
        <w:footnoteReference w:id="126"/>
      </w:r>
      <w:r w:rsidRPr="00C41588">
        <w:rPr>
          <w:rFonts w:cs="Arial"/>
        </w:rPr>
        <w:t xml:space="preserve"> , a čine i trećinu ukupnog broja potpredsednika skupštine opštine/grada, kao i 20% članstva opštinskog/gradskog veća. Članice opštinskog/gradskog veća najčešće su zadužene za oblasti zdravstva, obrazovanja, socijalna pitanja, kulture, rodnu ravnopravnost i slično. Odnos muškaraca i žena među načelnicima opštinskih/gradskih uprava je približno isti. Žene su na mestima direktorki javnih preduzeća i ustanova u trećini ukupnog broja jedinica lokalne samouprave, a najčešće u ustanovama kao što su biblioteke, predškolske ustanove, centri za socijalni rad, galerije, muzeji i slično. U nadzornim odborima javnih preduzeća žene čine 27% ukupnog broja članova, a u izvršnim odborima (tamo gde oni postoje) njih i nema. Istovremeno, u upravnim odborima ustanova žene čine nešto više od polovine članstva, dok se u telima za ravnopravnost polova nalazi 77%, a u kriznim štabovima / štabovima za vanredne situacije – 21% žena</w:t>
      </w:r>
      <w:r w:rsidR="00462592">
        <w:rPr>
          <w:rStyle w:val="FootnoteReference"/>
          <w:rFonts w:cs="Arial"/>
        </w:rPr>
        <w:footnoteReference w:id="127"/>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Pokrajinski sekretarijat za socijalnu politiku, demografiju i ravnopravnost polova objavio je </w:t>
      </w:r>
      <w:r w:rsidRPr="00BF67F4">
        <w:rPr>
          <w:rFonts w:cs="Arial"/>
          <w:i/>
        </w:rPr>
        <w:t>Zbirku konferencija slučaja nasilja nad ženama u porodici i partnerskim odnosima</w:t>
      </w:r>
      <w:r w:rsidR="00BF67F4">
        <w:rPr>
          <w:rStyle w:val="FootnoteReference"/>
          <w:rFonts w:cs="Arial"/>
          <w:i/>
        </w:rPr>
        <w:footnoteReference w:id="128"/>
      </w:r>
      <w:r w:rsidRPr="00C41588">
        <w:rPr>
          <w:rFonts w:cs="Arial"/>
        </w:rPr>
        <w:t xml:space="preserve"> , u kojoj prikazani slučajevi ilustruju određene teškoće u radu, načine njihovog prevazilaženja i uticaj na profesionalno postupanje. Osim toga, predstavljaju i primere dobre prakse – kako razumevanje fenomena nasilja prema ženama u partnerskom odnosu i razumevanje položaja dece, doslednom primenom raspoloživih ovlašćenja svih relevantnih institucija u definisanju konkretnih planova zaštite i koordiniranom akcijom, može da zaustavi nasilje i obezbedi zaštitu svim žrtvama nasilja. Na osnovu saradnje s institucijama i praćenja njihovog rada u poslednjih trinaest godina, stiče se utisak da su konferencije slučaja prihvatljive kao tehnika rada na zaustavljanju nasilja u porodici, kao i to da je njihov cilj – zaustavljanje nasilja koordiniranom akcijom različitih institucija – opšteprihvaćen u okviru institucija koje ih primenjuju ili institucija koje u njima učestvuju</w:t>
      </w:r>
      <w:r w:rsidR="004C1417">
        <w:rPr>
          <w:rStyle w:val="FootnoteReference"/>
          <w:rFonts w:cs="Arial"/>
        </w:rPr>
        <w:footnoteReference w:id="129"/>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U </w:t>
      </w:r>
      <w:r w:rsidRPr="004C1417">
        <w:rPr>
          <w:rFonts w:cs="Arial"/>
          <w:i/>
        </w:rPr>
        <w:t>Analizi efekata primene izmena i dopuna Zakona o radu</w:t>
      </w:r>
      <w:r w:rsidRPr="00C41588">
        <w:rPr>
          <w:rFonts w:cs="Arial"/>
        </w:rPr>
        <w:t>, koju je sačinila Fondacija Centar za demokratiju</w:t>
      </w:r>
      <w:r w:rsidR="004C1417">
        <w:rPr>
          <w:rStyle w:val="FootnoteReference"/>
          <w:rFonts w:cs="Arial"/>
        </w:rPr>
        <w:footnoteReference w:id="130"/>
      </w:r>
      <w:r w:rsidRPr="00C41588">
        <w:rPr>
          <w:rFonts w:cs="Arial"/>
        </w:rPr>
        <w:t xml:space="preserve"> , navodi se da je odnos Zakona o zabrani diskriminacije (ZZD) i Zakona o radu (ZOR) jedan od ključnih problema koji se javljaju u praksi. Zakon o radu nema upućujuću odredbu ka Zakonu o zabrani diskriminacije, već kao sistem zaštite od </w:t>
      </w:r>
      <w:r w:rsidRPr="00C41588">
        <w:rPr>
          <w:rFonts w:cs="Arial"/>
        </w:rPr>
        <w:lastRenderedPageBreak/>
        <w:t>diskriminacije uvodi sopstveni kvaziantidiskriminacioni postupak, koji ima određenih dodirnih tačaka s postupkom koji je normiran Zakonom o zabrani diskriminacije. Uspostavljena praksa pokazuje da se ovi slučajevi dodeljuju većima za radne sporove, koje ona procesuiraju prema pravilima o radnim sporovima. Jedna od najlošijih posledica ovakve prakse svakako jeste primena pravila o prekluzivnom roku za pokretanje radnog spora od 60 dana, što znači da diskriminisana osoba na radu ima toliko vremena da pokrene spor, iako je Zakonom o zabrani diskriminacije određeno da pravo na zaštitu od diskriminacije ne zastareva. U analizi je ocenjeno da bi sve navedeno moglo da se normativno premosti jednostavnom upućujućom odredbom da se sporovi povodom diskriminacije u oblasti rada vode prema pravilima iz Zakona o zabrani diskriminacije</w:t>
      </w:r>
      <w:r w:rsidR="004C1417">
        <w:rPr>
          <w:rStyle w:val="FootnoteReference"/>
          <w:rFonts w:cs="Arial"/>
        </w:rPr>
        <w:footnoteReference w:id="131"/>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Komitet pravnika za ljudska prava YUCOM je u novembru 2016. godine objavio analitički izveštaj</w:t>
      </w:r>
      <w:r w:rsidR="004C1417">
        <w:rPr>
          <w:rStyle w:val="FootnoteReference"/>
          <w:rFonts w:cs="Arial"/>
        </w:rPr>
        <w:footnoteReference w:id="132"/>
      </w:r>
      <w:r w:rsidRPr="00C41588">
        <w:rPr>
          <w:rFonts w:cs="Arial"/>
        </w:rPr>
        <w:t xml:space="preserve">  koji ukazuje na određene trendove zločina iz mržnje i govora mržnje prema LGBT osobama. U izveštaju je navedeno da postoji disproporcija između broja zvanično prijavljenih slučajeva diskriminacije i zločina iz mržnje prema LGBT osobama i broja lica koja se tim povodom obraćaju aktivistima iz nevladinog sektora</w:t>
      </w:r>
      <w:r w:rsidR="004C1417">
        <w:rPr>
          <w:rStyle w:val="FootnoteReference"/>
          <w:rFonts w:cs="Arial"/>
        </w:rPr>
        <w:footnoteReference w:id="133"/>
      </w:r>
      <w:r w:rsidRPr="00C41588">
        <w:rPr>
          <w:rFonts w:cs="Arial"/>
        </w:rPr>
        <w:t>.  Ocenjeno je da je to posledica nepoverenja građana u institucije, a kao poseban problem u sagledavanju obima nasilja nad LGBT osobama ukazano je i na nedostatak državne statistike po ovom pitanju</w:t>
      </w:r>
      <w:r w:rsidR="004C1417">
        <w:rPr>
          <w:rStyle w:val="FootnoteReference"/>
          <w:rFonts w:cs="Arial"/>
        </w:rPr>
        <w:footnoteReference w:id="134"/>
      </w:r>
      <w:r w:rsidRPr="00C41588">
        <w:rPr>
          <w:rFonts w:cs="Arial"/>
        </w:rPr>
        <w:t>.  Pohvaljena je i naročito istaknuta dobra saradnja s oficirom za vezu u policiji, uz napomenu da dobri kontakti ostvareni s policijom ipak nisu doprineli identifikaciji i privođenju odgovornih u jednom konkretnom slučaju napada na pripadnice LGBT zajednice</w:t>
      </w:r>
      <w:r w:rsidR="004C1417">
        <w:rPr>
          <w:rStyle w:val="FootnoteReference"/>
          <w:rFonts w:cs="Arial"/>
        </w:rPr>
        <w:footnoteReference w:id="135"/>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Pored toga, u izveštaju je ocenjeno da uprkos pozitivnim pomacima još uvek postoje slučajevi zločina iz mržnje u kojima policija s pripadnicima LGBT postupa bez osnovnog poštovanja prema njihovom ljudskom dostojanstvu, te da deo prijavljenih slučajeva zbog različitih razloga nije zaveden u policijskoj evidenciji. S druge strane, LGBT osobe ne</w:t>
      </w:r>
      <w:r w:rsidR="00340B46">
        <w:rPr>
          <w:rFonts w:cs="Arial"/>
        </w:rPr>
        <w:t>maju poverenja u rad tužilaštva</w:t>
      </w:r>
      <w:r w:rsidR="00340B46">
        <w:rPr>
          <w:rStyle w:val="FootnoteReference"/>
          <w:rFonts w:cs="Arial"/>
        </w:rPr>
        <w:footnoteReference w:id="136"/>
      </w:r>
      <w:r w:rsidRPr="00C41588">
        <w:rPr>
          <w:rFonts w:cs="Arial"/>
        </w:rPr>
        <w:t>.</w:t>
      </w:r>
    </w:p>
    <w:p w:rsidR="00C41588" w:rsidRDefault="00C41588" w:rsidP="00C41588">
      <w:pPr>
        <w:spacing w:after="100" w:afterAutospacing="1" w:line="276" w:lineRule="auto"/>
        <w:rPr>
          <w:rFonts w:cs="Arial"/>
          <w:lang w:val="sr-Latn-RS"/>
        </w:rPr>
      </w:pPr>
      <w:r w:rsidRPr="00C41588">
        <w:rPr>
          <w:rFonts w:cs="Arial"/>
        </w:rPr>
        <w:lastRenderedPageBreak/>
        <w:t>Sastavni deo ovog izveštaja čini analiza medijskog izveštavanja o LGBT osobama, odabranih priloga štampanih i elektronskih medija, koja je sprovedena tokom perioda maj–oktobar 2016. godine, pri čemu je posebna pažnja data rečniku i terminologiji koje su koristili novinari/mediji. Jedan od zaključaka medijske analize jeste da je, iako mediji redovno izveštavaju o LGBT temama, intenzitet tih izveštavanja bio povećan tokom određenih događaja. Naročito se izdvajaju izbor prve ministarke koja pripada LGBT zajednici u Vladu Republike Srbije, tokom avgusta, kao i održavanje Prajd manifestacije u Beogradu, 18. septembra 2016. godine. Afirmativni tekstovi o LGBT osobama činili su 23,4% analiziranih priloga, negativni 4,7%, dok su neutralni izveštaji preovladavali sa 71,9% od ukupno 64 analizirana priloga</w:t>
      </w:r>
      <w:r w:rsidR="00340B46">
        <w:rPr>
          <w:rStyle w:val="FootnoteReference"/>
          <w:rFonts w:cs="Arial"/>
        </w:rPr>
        <w:footnoteReference w:id="137"/>
      </w:r>
      <w:r w:rsidRPr="00C41588">
        <w:rPr>
          <w:rFonts w:cs="Arial"/>
        </w:rPr>
        <w:t xml:space="preserve">.  Negativni tekstovi su bili zastupljeni u medijima koji imaju izuzetno veliku čitanost ili gledanost i koriste terminologiju koja je uvredljiva za LGBT osobe. Za afirmativne priloge su bile karakteristične pozitivne poruke koje LGBT zajednica želi da prenese, među kojima se izdvajaju poštovanje osnovnih principa demokratije i ljudskih sloboda, kao i sprečavanje nasilja prema svim ugroženim grupama. Analiza medijskih priloga pokazala je da je trend izveštavanja o LGBT zajednici pozitivan, da se kreće u dobrom pravcu, da je sve manje negativnih prikaza i korišćenja neadekvatnog rečnika. Ipak, da bi se istinski povećala tolerancija i smanjila diskriminacija prema toj zajednici, potrebno je povećati broj afirmativnih tekstova i priloga koji promovišu kulturu poštovanja ljudskih prava i nulte tolerancije prema nasilju, ocenjeno je u izveštaju. </w:t>
      </w:r>
    </w:p>
    <w:p w:rsidR="00C41588" w:rsidRPr="00C41588" w:rsidRDefault="00C41588" w:rsidP="00C41588">
      <w:pPr>
        <w:spacing w:after="100" w:afterAutospacing="1" w:line="276" w:lineRule="auto"/>
        <w:rPr>
          <w:rFonts w:cs="Arial"/>
        </w:rPr>
      </w:pPr>
      <w:r w:rsidRPr="00C41588">
        <w:rPr>
          <w:rFonts w:cs="Arial"/>
        </w:rPr>
        <w:t>U Izveštaju o rezultatima rada Komisije za žalbe Saveta za štampu u periodu od 1. maja do 31. avgusta 2016. godine, navodi se da su u ovom periodu u štampanim i onlajn medijima najčešće kršene odredbe Kodeksa novinara Srbije koje se odnose na istinitost izveštavanja, a zatim na obavezu poštovanja privatnosti i zabranu diskriminacije i govora mržnje. Pri tome je broj žalbi u stalnom porastu, a i dalje je u 90% slučajeva istim tekstom prekršeno više odredaba Kodeksa novinara. Ovo je pokazala Analiza odluka Komisije za žalbe Saveta za štampu u periodu od 1. maja do 31. avgusta 2016. godine. Češće nego ranije, utvrđeno je i kršenje pravila o zabrani diskriminacije i govora mržnje, što je, pretpostavlja se, rezultat povećane aktivnosti nevladinih organizacija, koje su češće podnosile žalbe po ovom osnovu, navodi se u analizi</w:t>
      </w:r>
      <w:r w:rsidR="00340B46">
        <w:rPr>
          <w:rStyle w:val="FootnoteReference"/>
          <w:rFonts w:cs="Arial"/>
        </w:rPr>
        <w:footnoteReference w:id="138"/>
      </w:r>
      <w:r w:rsidRPr="00C41588">
        <w:rPr>
          <w:rFonts w:cs="Arial"/>
        </w:rPr>
        <w:t xml:space="preserve">. </w:t>
      </w:r>
    </w:p>
    <w:p w:rsidR="00C41588" w:rsidRPr="00C41588" w:rsidRDefault="00C41588" w:rsidP="00C41588">
      <w:pPr>
        <w:spacing w:after="100" w:afterAutospacing="1" w:line="276" w:lineRule="auto"/>
        <w:rPr>
          <w:rFonts w:cs="Arial"/>
        </w:rPr>
      </w:pPr>
      <w:r w:rsidRPr="00340B46">
        <w:rPr>
          <w:rFonts w:cs="Arial"/>
          <w:i/>
        </w:rPr>
        <w:t>Izveštaj o monitoringu poštovanja Kodeksa novinara Srbije u dnevnim štampanim medijima u periodu od 1. februara do 24. aprila 2016</w:t>
      </w:r>
      <w:r w:rsidRPr="00C41588">
        <w:rPr>
          <w:rFonts w:cs="Arial"/>
        </w:rPr>
        <w:t xml:space="preserve"> takođe pokazuje da je u ovom periodu zabeležen povećan broj kršenja tačke 1. Poglavlja IV Kodeksa, koja se odnosi na diskriminaciju i govor mržnje. U izveštaju za period od 1. marta do 31. avgusta</w:t>
      </w:r>
      <w:r w:rsidR="00340B46">
        <w:rPr>
          <w:rStyle w:val="FootnoteReference"/>
          <w:rFonts w:cs="Arial"/>
        </w:rPr>
        <w:footnoteReference w:id="139"/>
      </w:r>
      <w:r w:rsidRPr="00C41588">
        <w:rPr>
          <w:rFonts w:cs="Arial"/>
        </w:rPr>
        <w:t xml:space="preserve">  navodi se da jedan domaći dnevni list objavljuje bez ikakvih ograda duboko diskriminatorne sadržaje, poput vesti na naslovnoj strani o tome da su gej ljudi odgovorni za epidemiju HIV-a. </w:t>
      </w:r>
    </w:p>
    <w:p w:rsidR="00C41588" w:rsidRPr="00C41588" w:rsidRDefault="00C41588" w:rsidP="00C41588">
      <w:pPr>
        <w:spacing w:after="100" w:afterAutospacing="1" w:line="276" w:lineRule="auto"/>
        <w:rPr>
          <w:rFonts w:cs="Arial"/>
        </w:rPr>
      </w:pPr>
      <w:r w:rsidRPr="004204FB">
        <w:rPr>
          <w:rFonts w:cs="Arial"/>
          <w:i/>
        </w:rPr>
        <w:lastRenderedPageBreak/>
        <w:t>U Vodiču za novinar(k)e – nasilje u porodici</w:t>
      </w:r>
      <w:r w:rsidRPr="00C41588">
        <w:rPr>
          <w:rFonts w:cs="Arial"/>
        </w:rPr>
        <w:t>, koji je objavio Autonomni ženski centar</w:t>
      </w:r>
      <w:r w:rsidR="004204FB">
        <w:rPr>
          <w:rStyle w:val="FootnoteReference"/>
          <w:rFonts w:cs="Arial"/>
        </w:rPr>
        <w:footnoteReference w:id="140"/>
      </w:r>
      <w:r w:rsidRPr="00C41588">
        <w:rPr>
          <w:rFonts w:cs="Arial"/>
        </w:rPr>
        <w:t xml:space="preserve"> , ističe se da je za novinare koji izveštavaju (ili istražuju) nasilje u porodici i nasilje prema ženama od presudne važnosti poznavanje i razumevanje ključnih karakteristika ovih fenomena. To omogućava da opisi događaja, konteksta, žrtve, učinioca nasilja i društvene odgovornosti budu korektni. Nužno je, kako se navodi, i postojanje odgovarajućeg stava u odnosu na fenomen(e), kako bi iz izveštaja bilo isključeno svako stereotipizirano, pojednostavljeno, pogrešno ili diskriminišuće opisivanje i komentarisanje događaja i fenomena</w:t>
      </w:r>
      <w:r w:rsidR="004204FB">
        <w:rPr>
          <w:rStyle w:val="FootnoteReference"/>
          <w:rFonts w:cs="Arial"/>
        </w:rPr>
        <w:footnoteReference w:id="141"/>
      </w:r>
      <w:r w:rsidRPr="00C41588">
        <w:rPr>
          <w:rFonts w:cs="Arial"/>
        </w:rPr>
        <w:t>.  U priručniku je navedeno da bi prilikom izveštavanja trebalo izbegavati komentare ili opise koji sadrže diskriminatorne stavove prema određenim grupama, odnosno koji upućuju na zaključke da je nasilje prema ženama i nasilje u porodici „uobičajeno“ ili „učestalo“ ponašanje, karakteristično za određene etničke, kulturne ili socijalne grupe građana. Pored toga, opisi situacije koji navode „provokaciju“ žene ili reči i komentari kojima se implicira da je žrtva svojim ponašanjem „izazvala“, ili da „ništa nije činila da se zaštiti“, doprinose utisku da je kontrola nasilnog ponašanja u moći i odgovornosti žrtve. To stvara utisak da se nasilje opravdava ili umanjuje, odnosno da se okrivljuje žrtva. Istovremeno, trebalo bi izbegavati i konstrukcije kao što su „bez ikakvog razloga“, jer bi mogle da sugerišu da postoje „opravdani“ razlozi za nasilje, kao i „došlo je do tragedije“, koje upućuju na to da se nasilje desilo (samo od sebe), a ne da je učinjeno kao (svesni) izbor nasilnika</w:t>
      </w:r>
      <w:r w:rsidR="004204FB">
        <w:rPr>
          <w:rStyle w:val="FootnoteReference"/>
          <w:rFonts w:cs="Arial"/>
        </w:rPr>
        <w:footnoteReference w:id="142"/>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Položaj tražilaca azila i izbeglica kao uže grupe migranata posebno je osetljiv, jer oni spadaju u tzv. ranjive grupe migranata, s obzirom na to da napuštaju svoju zemlju porekla usled osnovnog straha za sopstveni život, te su zbog svoje ranjivosti veoma česta meta diskriminacije po osnovu državljanstva, navodi se u izveštaju Beogradskog centra za ljudska prava, objavljenom u junu 2016. godine</w:t>
      </w:r>
      <w:r w:rsidR="004204FB">
        <w:rPr>
          <w:rStyle w:val="FootnoteReference"/>
          <w:rFonts w:cs="Arial"/>
        </w:rPr>
        <w:footnoteReference w:id="143"/>
      </w:r>
      <w:r w:rsidRPr="00C41588">
        <w:rPr>
          <w:rFonts w:cs="Arial"/>
        </w:rPr>
        <w:t>.  Tražiteljke azila, kao i žene izbeglice, predstavljaju posebno ranjivu grupu migranata zbog pola i rodnih stereotipa, i upravo iz tog razloga od suštinskog značaja za razvoj i sprovođenje mera i politika azila moraju biti i programi usmereni na zaštitu i osnaživanje žena izbeglica. Države bi trebalo da prepoznaju njihove potrebe i da u svoje politike i programe koji su namenjeni osnaživanju i zaštiti prava žena uključe i tražiteljke azila i žene izbeglice.</w:t>
      </w:r>
    </w:p>
    <w:p w:rsidR="00C41588" w:rsidRPr="00C41588" w:rsidRDefault="00C41588" w:rsidP="00C41588">
      <w:pPr>
        <w:spacing w:after="100" w:afterAutospacing="1" w:line="276" w:lineRule="auto"/>
        <w:rPr>
          <w:rFonts w:cs="Arial"/>
        </w:rPr>
      </w:pPr>
      <w:r w:rsidRPr="00C41588">
        <w:rPr>
          <w:rFonts w:cs="Arial"/>
        </w:rPr>
        <w:t xml:space="preserve">Beogradski centar za ljudska prava je u oktobru 2016. godine objavio i </w:t>
      </w:r>
      <w:r w:rsidRPr="00643D15">
        <w:rPr>
          <w:rFonts w:cs="Arial"/>
          <w:i/>
        </w:rPr>
        <w:t>Analizu Zakona o azilu kroz rodnu perspektivu</w:t>
      </w:r>
      <w:r w:rsidR="00643D15">
        <w:rPr>
          <w:rStyle w:val="FootnoteReference"/>
          <w:rFonts w:cs="Arial"/>
          <w:i/>
        </w:rPr>
        <w:footnoteReference w:id="144"/>
      </w:r>
      <w:r w:rsidRPr="00C41588">
        <w:rPr>
          <w:rFonts w:cs="Arial"/>
        </w:rPr>
        <w:t xml:space="preserve">.  U analizi je navedeno da, iako važeći Zakon o azilu, pored načela rodne ravnopravnosti, ne predviđa druge rodno osetljive mere namenjene tražiteljkama azila i ženama izbeglicama, ipak su nadležni organi, pre svega Ministarstvo </w:t>
      </w:r>
      <w:r w:rsidRPr="00C41588">
        <w:rPr>
          <w:rFonts w:cs="Arial"/>
        </w:rPr>
        <w:lastRenderedPageBreak/>
        <w:t>unutrašnjih poslova – Kancelarija za azil, u nekoliko slučajeva u dosadašnjoj praksi prepoznavali elemente rodno zasnovanih zahteva za azil i dodeljivali međunarodnu zaštitu ženama izbeglicama i LBGT osobama. Ipak, do sada Kancelarija za azil nije ni u jednom predmetu dodelila zaštitu isključivo zbog progona na osnovu pola ili roda</w:t>
      </w:r>
      <w:r w:rsidR="00643D15">
        <w:rPr>
          <w:rStyle w:val="FootnoteReference"/>
          <w:rFonts w:cs="Arial"/>
        </w:rPr>
        <w:footnoteReference w:id="145"/>
      </w:r>
      <w:r w:rsidRPr="00C41588">
        <w:rPr>
          <w:rFonts w:cs="Arial"/>
        </w:rPr>
        <w:t xml:space="preserve">.  Jedan od razloga za ranjivost tražiteljki azila i žena izbeglica vezan je za poteškoće s kojima se često suočavaju u dokazivanju svojih osnova za priznavanje izbegličkog statusa, jer žene često ne žele da se izjasne da su bile žrtve seksualnog nasilja ili rodno zasnovanog progona, ili nemaju svest o tome da su bile žrtve u svojoj zemlji porekla. Rodno zasnovano nasilje često je posledica nejednakih rodnih odnosa u zemlji porekla i često se od muških članova porodice s kojima žene putuju koristi kao mehanizam za pretnju, ili može biti posledica prisilnih raseljavanja usled sukoba u zemlji porekla. </w:t>
      </w:r>
    </w:p>
    <w:p w:rsidR="00C41588" w:rsidRPr="00C41588" w:rsidRDefault="00C41588" w:rsidP="00C41588">
      <w:pPr>
        <w:spacing w:after="100" w:afterAutospacing="1" w:line="276" w:lineRule="auto"/>
        <w:rPr>
          <w:rFonts w:cs="Arial"/>
        </w:rPr>
      </w:pPr>
      <w:r w:rsidRPr="00C41588">
        <w:rPr>
          <w:rFonts w:cs="Arial"/>
        </w:rPr>
        <w:t>U analizi je posebno istaknuto da je položaj tražiteljki azila i žena izbeglica posebno osetljiv, s obzirom na to da one napuštaju svoju zemlju porekla usled osnovanog straha za sopstveni život, progona po osnovu pola i rodnih uloga u društvima iz kojih dolaze, a da su zbog svoje ranjivosti veoma česta meta diskriminacije po različitim osnovama. Ono što evidentno nedostaje jesu pravila postupanja i upućivanja u slučaju identifikovanja ranjivih grupa, a posebno ranjivih žena i devojčica, koja bi nadležni organi trebalo da slede.</w:t>
      </w:r>
    </w:p>
    <w:p w:rsidR="00C41588" w:rsidRPr="00C41588" w:rsidRDefault="00C41588" w:rsidP="00C41588">
      <w:pPr>
        <w:spacing w:after="100" w:afterAutospacing="1" w:line="276" w:lineRule="auto"/>
        <w:rPr>
          <w:rFonts w:cs="Arial"/>
        </w:rPr>
      </w:pPr>
      <w:r w:rsidRPr="00C41588">
        <w:rPr>
          <w:rFonts w:cs="Arial"/>
        </w:rPr>
        <w:t>Potrebno je voditi računa o tome da se u svakom segmentu procedure azila uzima u obzir rodna usaglašenost prevodilaca, imajući u vidu kulturološke razlike i činjenicu da mnogim tražiteljkama azila neće biti prijatno da pred muškarcima pričaju o svojim iskustvima, naročito kada je u pitanju seksualno i rodno zasnovano nasilje. Takođe, potrebno je obezbediti da se postupak azila, a naročito intervjuisanje, obavlja u atmosferi koja podstiče poverenje i promoviše osećanje sigurnosti, uz mogućnost da tražioci azila odaberu pol službenika i prevodilaca koji učestvuju u službenim radnjama. Pored toga, neophodno je ustanoviti pravila i mehanizme za blagovremeno otkrivanje žrtava seksualnog i rodno zasnovanog nasilja i za njihovo zbrinjavanje i zaštitu, ali treba izbegavati ograničavanje kretanja ženama i devojčicama i promovisati druge alternative ovoj meri. Potrebno je i obezbediti i stalne smeštajne objekte za žene bez pratnje porodice, kao i za žene s maloletnom decom, naročito kada su u pitanju žene koje su preživele seksualno i rodno zasnovano nasilje, imajući u vidu da nema dovoljno sigurnih kuća u kojima bi ove žene mogle da nađu sklonište. Takođe, ocenjeno je da je neophodno kreirati posebne programe za integraciju žena i devojčica izbeglica, koji treba da vode računa o ranjivosti i specifičnom položaju ove grupe izbeglica. Politike integracije treba da imaju za cilj njihovo osnaživanje i nezavisnost, kreiranje socijalnih i društvenih usluga i mera integracije koje će odgovarati njihovim specifičnim potrebama</w:t>
      </w:r>
      <w:r w:rsidR="00643D15">
        <w:rPr>
          <w:rStyle w:val="FootnoteReference"/>
          <w:rFonts w:cs="Arial"/>
        </w:rPr>
        <w:footnoteReference w:id="146"/>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 xml:space="preserve">U publikaciji </w:t>
      </w:r>
      <w:r w:rsidRPr="00C476DB">
        <w:rPr>
          <w:rFonts w:cs="Arial"/>
          <w:i/>
        </w:rPr>
        <w:t>Zaštita manjinskih prava Roma</w:t>
      </w:r>
      <w:r w:rsidRPr="00C41588">
        <w:rPr>
          <w:rFonts w:cs="Arial"/>
        </w:rPr>
        <w:t>, koju je početkom godine izdao Romski informativni centar iz Kragujevca</w:t>
      </w:r>
      <w:r w:rsidR="00C476DB">
        <w:rPr>
          <w:rStyle w:val="FootnoteReference"/>
          <w:rFonts w:cs="Arial"/>
        </w:rPr>
        <w:footnoteReference w:id="147"/>
      </w:r>
      <w:r w:rsidRPr="00C41588">
        <w:rPr>
          <w:rFonts w:cs="Arial"/>
        </w:rPr>
        <w:t xml:space="preserve"> , navodi se da su podaci o socijalno-ekonomskom položaju Roma i Romkinja šturi, zastareli, nesistematizovani, kao i da se prikupljaju parcijalno, uglavnom na osnovu nestandardizovanih i neverifikovanih metodologija. S </w:t>
      </w:r>
      <w:r w:rsidRPr="00C41588">
        <w:rPr>
          <w:rFonts w:cs="Arial"/>
        </w:rPr>
        <w:lastRenderedPageBreak/>
        <w:t>obzirom na to da podaci o siromaštvu u Srbiji ne sadrže informacije o etničkoj strukturi siromašnih građana, teško je procenjivati realne dimenzije siromaštva Roma i Romkinja, a nevođenje statistike o tome predstavlja još jedan vid njihove socijalne isključenosti. U ovom dokumentu je istaknuto i to da podela nadležnosti između nacionalnih službi i lokalnih samouprava u vezi sa sprovođenjem inkluzije Roma i Romkinja podrazumeva i definisanje zaduženja za Nacionalni savet romske nacionalne manjine, koji bi, pored zakonom utvrđene nadležnosti u vezi s kulturnom autonomijom Roma i Romkinja (obrazovanje, službena upotreba jezika, kultura i informisanje), trebalo da razvije kapacitete za osmišljavanje i sprovođenje inkluzivne kulturne politike kojom se obezbeđuje očuvanje etno-kulturnog identiteta Roma</w:t>
      </w:r>
      <w:r w:rsidR="00C476DB">
        <w:rPr>
          <w:rStyle w:val="FootnoteReference"/>
          <w:rFonts w:cs="Arial"/>
        </w:rPr>
        <w:footnoteReference w:id="148"/>
      </w:r>
      <w:r w:rsidRPr="00C41588">
        <w:rPr>
          <w:rFonts w:cs="Arial"/>
        </w:rPr>
        <w:t>.  Pored toga, ocenjeno je da se merama i aktivnostima kojima se ostvaruju strateški ciljevi ne sme uticati na promene etničkog i kulturnog identiteta Roma i Romkinja. Potencijal te kulture treba u postojećim pravnim i institucionalnim uslovima iskoristiti kao sredstvo za prevazilaženje predrasuda prema njima, ali i kao zamajac u kulturnim industrijama u (inter)kulturalnom okruženju</w:t>
      </w:r>
      <w:r w:rsidR="00C476DB">
        <w:rPr>
          <w:rStyle w:val="FootnoteReference"/>
          <w:rFonts w:cs="Arial"/>
        </w:rPr>
        <w:footnoteReference w:id="149"/>
      </w:r>
      <w:r w:rsidRPr="00C41588">
        <w:rPr>
          <w:rFonts w:cs="Arial"/>
        </w:rPr>
        <w:t xml:space="preserve">.  </w:t>
      </w:r>
    </w:p>
    <w:p w:rsidR="00C41588" w:rsidRPr="00C41588" w:rsidRDefault="00C41588" w:rsidP="00C41588">
      <w:pPr>
        <w:spacing w:after="100" w:afterAutospacing="1" w:line="276" w:lineRule="auto"/>
        <w:rPr>
          <w:rFonts w:cs="Arial"/>
        </w:rPr>
      </w:pPr>
      <w:r w:rsidRPr="00C41588">
        <w:rPr>
          <w:rFonts w:cs="Arial"/>
        </w:rPr>
        <w:t>Dalje je ocenjeno da je, s obzirom na to da su ciljevi veoma uopšteno postavljeni i ne postoje jasni kriterijumi na osnovu kojih bi se procenjivala efikasnost mera, potrebno razmotriti uvođenje indikatora na osnovu kojih bi se procenjivalo da li je neka mera efikasna i u kom obimu. U procesu kreiranja indikatora na osnovu kojih bi se pratio napredak u oblasti obrazovanja Roma, važno je voditi računa o tome da indikatori koji će biti desegregisani budu jasno definisani po ciljnim grupama</w:t>
      </w:r>
      <w:r w:rsidR="001C1F2A">
        <w:rPr>
          <w:rStyle w:val="FootnoteReference"/>
          <w:rFonts w:cs="Arial"/>
        </w:rPr>
        <w:footnoteReference w:id="150"/>
      </w:r>
      <w:r w:rsidRPr="00C41588">
        <w:rPr>
          <w:rFonts w:cs="Arial"/>
        </w:rPr>
        <w:t>.  Kao sastavni deo mera afirmativne akcije treba predvideti profesionalnu orijentaciju, mentorstvo, stipendiranje, mogućnost zaposlenja po završetku škole kroz sklapanje ugovora sa poslodavcima, itd. Potrebno je širiti znanje o merama afirmativne akcije van samih korisničkih grupa, tj. samih romskih učenika i njihovih roditelja. Intersektorska saradnja je još uvek slaba, a pri kreiranju različitih mera potrebna je ekonomska podrška u većoj meri, i to na svim nivoima. U nedostatku kapaciteta predškolskih ustanova, alternativu u praksi mogu predstavljati programi podrške ranom razvoju, organizovani u naseljima ili u neposrednoj blizini</w:t>
      </w:r>
      <w:r w:rsidR="001C1F2A">
        <w:rPr>
          <w:rStyle w:val="FootnoteReference"/>
          <w:rFonts w:cs="Arial"/>
        </w:rPr>
        <w:footnoteReference w:id="151"/>
      </w:r>
      <w:r w:rsidRPr="00C41588">
        <w:rPr>
          <w:rFonts w:cs="Arial"/>
        </w:rPr>
        <w:t xml:space="preserve">.  </w:t>
      </w:r>
    </w:p>
    <w:p w:rsidR="00542066" w:rsidRDefault="00C41588" w:rsidP="00542066">
      <w:pPr>
        <w:spacing w:after="100" w:afterAutospacing="1" w:line="276" w:lineRule="auto"/>
        <w:rPr>
          <w:rFonts w:cs="Arial"/>
          <w:lang w:val="sr-Latn-RS"/>
        </w:rPr>
      </w:pPr>
      <w:r w:rsidRPr="00C41588">
        <w:rPr>
          <w:rFonts w:cs="Arial"/>
        </w:rPr>
        <w:t>Poslednjih godina romski učenici na završnim ispitima pokazuju bolji uspeh na testovima iz matematike nego iz srpskog jezika, te i dalje treba obezbeđivati dodatnu podršku u učenju i savladavanju jezičkih poteškoća. Analizirani podaci o srednjoškolskom nivou obrazovanja pokazuju napredak u broju upisanih učenika u srednju školu na osnovu mera afirmativne akcije. Dodatno, podaci ukazuju i na povećan ukupni obuhvat romskih učenika srednjim obrazovanjem. Romi su i dalje veoma slabo zastupljena grupa u visokom obrazovanju. Individualne obrazovne planove (IOP) više primenjuju u osnovnoj nego u srednjoj školi, a izrada IOP-a nije uvek praćena izradom pedagoških profila. Treba insistirati na razvoju pedagoških profila pre izrade individualnih obrazovnih planova</w:t>
      </w:r>
      <w:r w:rsidR="001C1F2A">
        <w:rPr>
          <w:rStyle w:val="FootnoteReference"/>
          <w:rFonts w:cs="Arial"/>
        </w:rPr>
        <w:footnoteReference w:id="152"/>
      </w:r>
      <w:r w:rsidRPr="00C41588">
        <w:rPr>
          <w:rFonts w:cs="Arial"/>
        </w:rPr>
        <w:t xml:space="preserve">.  Radni status 175 pedagoških asistenata koji su završili akreditovane module obuka treba da bude pravno utemeljen (donošenjem relevantnog pravilnika) i trajno rešen na finansijski održiv način. Podaci predstavljeni u ovoj studiji ukazuju na to da je broj učenika iz depriviranih sredina koji </w:t>
      </w:r>
      <w:r w:rsidRPr="00C41588">
        <w:rPr>
          <w:rFonts w:cs="Arial"/>
        </w:rPr>
        <w:lastRenderedPageBreak/>
        <w:t>se upisuju i završavaju specijalne škole primetno manji, kao i da je povećan broj učenika koji završavaju razred. Ipak, u budućnosti treba obratiti pažnju na činjenicu da veliki broj učenika iz ove grupe i dalje odustaje od školovanja, a razlog tome ne mora neminovno da bude u obrazovnom sistemu</w:t>
      </w:r>
      <w:r w:rsidR="001C1F2A">
        <w:rPr>
          <w:rStyle w:val="FootnoteReference"/>
          <w:rFonts w:cs="Arial"/>
        </w:rPr>
        <w:footnoteReference w:id="153"/>
      </w:r>
      <w:r w:rsidRPr="00C41588">
        <w:rPr>
          <w:rFonts w:cs="Arial"/>
        </w:rPr>
        <w:t xml:space="preserve">. </w:t>
      </w:r>
      <w:bookmarkStart w:id="26" w:name="_Toc477248615"/>
      <w:bookmarkStart w:id="27" w:name="_Toc477251740"/>
    </w:p>
    <w:p w:rsidR="00542066" w:rsidRDefault="00542066" w:rsidP="00542066">
      <w:pPr>
        <w:spacing w:after="100" w:afterAutospacing="1" w:line="276" w:lineRule="auto"/>
        <w:rPr>
          <w:rFonts w:cs="Arial"/>
          <w:lang w:val="sr-Latn-RS"/>
        </w:rPr>
      </w:pPr>
      <w:r w:rsidRPr="00542066">
        <w:rPr>
          <w:rFonts w:cs="Arial"/>
        </w:rPr>
        <w:t>Evropski centar za prava Roma (ERRC) i NVO Praksis su u decembru 2016. podneli pisane komentare Komitetu za prava deteta, kako bi ih ovo telo razmotrilo kada bude donosilo zaključna zapažanja u februaru 2017. godine</w:t>
      </w:r>
      <w:r w:rsidR="00EC1BDA">
        <w:rPr>
          <w:rStyle w:val="FootnoteReference"/>
          <w:rFonts w:cs="Arial"/>
        </w:rPr>
        <w:footnoteReference w:id="154"/>
      </w:r>
      <w:r w:rsidRPr="00542066">
        <w:rPr>
          <w:rFonts w:cs="Arial"/>
        </w:rPr>
        <w:t>.  U ovom dokumentu se navodi, u kontekstu obaveze države da razvrstava statističke podatke o Romima, da i pored odredbi Zakona o osnovnom obrazovanju, koje nalažu školama da razdvajaju i prate podatke o učenicima, mnoge škole ne prikupljaju podatke o nacionalnoj pripadnosti / etničkom poreklu. S obzirom na manjkavosti odredaba pomenutog zakona, kako se navodi, prikupljanje podataka nije regulisano, niti se sprovodi na uniformisan i sistematičan način, što otvara mogućnost za potencijalne zloupotrebe i arbitrernost</w:t>
      </w:r>
      <w:r w:rsidR="00EC1BDA">
        <w:rPr>
          <w:rStyle w:val="FootnoteReference"/>
          <w:rFonts w:cs="Arial"/>
        </w:rPr>
        <w:footnoteReference w:id="155"/>
      </w:r>
      <w:r w:rsidRPr="00542066">
        <w:rPr>
          <w:rFonts w:cs="Arial"/>
        </w:rPr>
        <w:t>.  Ovo onemogućuje praćenje ostvarivanja prava na obrazovanje pripadnika nacionalnih manjina i otežava njihovo socijalno uključivanje u školski sistem</w:t>
      </w:r>
      <w:r w:rsidR="00EC1BDA">
        <w:rPr>
          <w:rStyle w:val="FootnoteReference"/>
          <w:rFonts w:cs="Arial"/>
        </w:rPr>
        <w:footnoteReference w:id="156"/>
      </w:r>
      <w:r w:rsidRPr="00542066">
        <w:rPr>
          <w:rFonts w:cs="Arial"/>
        </w:rPr>
        <w:t>.  Veliki broj romske dece i dalje ne pohađa školu i biva prebačeno iz redovnih u „specijalne škole“. Nalazi izveštaja ERRC pokazuju da je sistem geografske podele oblasti na osnovu kojih deca stiču mogućnost pohađanja škole zastareo i da ne prati demografske promene, što vodi segregaciji romske dece blizu neformalnih naselja. Pored toga, u odeljenjima u kojima su integrisani, romski učenici su uglavnom predodređeni da pohađaju nastavu po individualnom planu obrazovanja, što školama daje mogućnost da smanje veličine odeljenja</w:t>
      </w:r>
      <w:r w:rsidR="00EC1BDA">
        <w:rPr>
          <w:rStyle w:val="FootnoteReference"/>
          <w:rFonts w:cs="Arial"/>
        </w:rPr>
        <w:footnoteReference w:id="157"/>
      </w:r>
      <w:r w:rsidRPr="00542066">
        <w:rPr>
          <w:rFonts w:cs="Arial"/>
        </w:rPr>
        <w:t xml:space="preserve">. </w:t>
      </w:r>
    </w:p>
    <w:p w:rsidR="00542066" w:rsidRDefault="00542066" w:rsidP="00542066">
      <w:pPr>
        <w:spacing w:after="100" w:afterAutospacing="1" w:line="276" w:lineRule="auto"/>
        <w:rPr>
          <w:rFonts w:cs="Arial"/>
          <w:lang w:val="sr-Latn-RS"/>
        </w:rPr>
      </w:pPr>
      <w:r w:rsidRPr="00542066">
        <w:rPr>
          <w:rFonts w:cs="Arial"/>
        </w:rPr>
        <w:t>Takođe, u izveštaju je navedeno da raste trend prihvatanja romske dece u starateljskim porodicama, što pospešuje proces deinstitucionalizacije ove dece, ali da je proces vrlo spor. Na osnovu dostupnih podataka ocenjuje se da je između 30% i 50% procenata dece romskog porekla u institucijama</w:t>
      </w:r>
      <w:r w:rsidR="00EC1BDA">
        <w:rPr>
          <w:rStyle w:val="FootnoteReference"/>
          <w:rFonts w:cs="Arial"/>
        </w:rPr>
        <w:footnoteReference w:id="158"/>
      </w:r>
      <w:r w:rsidRPr="00542066">
        <w:rPr>
          <w:rFonts w:cs="Arial"/>
        </w:rPr>
        <w:t>.  U izveštaju je istaknuto da ne postoje tačni podaci, ali da ima indicija da pojedini matičari odbijaju da upišu činjenice rođenja romske dece u matične knjige, uglavnom zbog toga što nedostaju podaci o roditeljima. S tim u vezi, u februaru 2016. Praksis i ERRC podneli su inicijativu za ocenu ustavnosti odredaba Zakona o matičnim knjigama koje omogućavaju odlaganje upisa činjenice rođenja</w:t>
      </w:r>
      <w:r w:rsidR="00EC1BDA">
        <w:rPr>
          <w:rStyle w:val="FootnoteReference"/>
          <w:rFonts w:cs="Arial"/>
        </w:rPr>
        <w:footnoteReference w:id="159"/>
      </w:r>
      <w:r w:rsidRPr="00542066">
        <w:rPr>
          <w:rFonts w:cs="Arial"/>
        </w:rPr>
        <w:t xml:space="preserve">. </w:t>
      </w:r>
    </w:p>
    <w:p w:rsidR="00542066" w:rsidRDefault="00542066" w:rsidP="00542066">
      <w:pPr>
        <w:spacing w:after="100" w:afterAutospacing="1" w:line="276" w:lineRule="auto"/>
        <w:rPr>
          <w:rFonts w:cs="Arial"/>
          <w:lang w:val="sr-Latn-RS"/>
        </w:rPr>
      </w:pPr>
      <w:r w:rsidRPr="00542066">
        <w:rPr>
          <w:rFonts w:cs="Arial"/>
        </w:rPr>
        <w:t xml:space="preserve">U Republici Srbiji osobe sa invaliditetom čine 8% od ukupnog broja stanovnika. Posmatrano po polu, među osobama sa invaliditetom veće je učešće žena (58,2%) nego muškaraca (41,8%). Najveće učešće osoba sa invaliditetom zabeleženo je u Regionu južne i istočne </w:t>
      </w:r>
      <w:r w:rsidRPr="00542066">
        <w:rPr>
          <w:rFonts w:cs="Arial"/>
        </w:rPr>
        <w:lastRenderedPageBreak/>
        <w:t>Srbije (9,4%), dok je njihovo najmanje učešće zabeleženo u Beogradskom regionu (5,9%)</w:t>
      </w:r>
      <w:r w:rsidR="008B2538">
        <w:rPr>
          <w:rStyle w:val="FootnoteReference"/>
          <w:rFonts w:cs="Arial"/>
        </w:rPr>
        <w:footnoteReference w:id="160"/>
      </w:r>
      <w:r w:rsidRPr="00542066">
        <w:rPr>
          <w:rFonts w:cs="Arial"/>
        </w:rPr>
        <w:t>.  Istraživanje koje je sprovela organizacija IDEAS iz Beograda</w:t>
      </w:r>
      <w:r w:rsidR="008B2538">
        <w:rPr>
          <w:rStyle w:val="FootnoteReference"/>
          <w:rFonts w:cs="Arial"/>
        </w:rPr>
        <w:footnoteReference w:id="161"/>
      </w:r>
      <w:r w:rsidRPr="00542066">
        <w:rPr>
          <w:rFonts w:cs="Arial"/>
        </w:rPr>
        <w:t xml:space="preserve">  pokazalo je da je najvećem broju osoba sa invaliditetom potrebna pomoć u kući (78%) i podrška prilikom kretanja u zajednici i opštenja sa javnim službama (80%). U manjoj meri, ali još uvek, velikom broju osoba potrebne su usluge personalne asistencije (40%), pri čemu je za 19% osoba potrebna svakodnevna podrška u komunikaciji i socijalizaciji. Usluge nadzora i savetovanja su potrebne za oko ukupno 7% osoba sa invaliditetom, od toga u najvećoj meri deci sa invaliditetom</w:t>
      </w:r>
      <w:r w:rsidR="008B2538">
        <w:rPr>
          <w:rStyle w:val="FootnoteReference"/>
          <w:rFonts w:cs="Arial"/>
        </w:rPr>
        <w:footnoteReference w:id="162"/>
      </w:r>
      <w:r w:rsidRPr="00542066">
        <w:rPr>
          <w:rFonts w:cs="Arial"/>
        </w:rPr>
        <w:t xml:space="preserve">.  </w:t>
      </w:r>
    </w:p>
    <w:p w:rsidR="00542066" w:rsidRDefault="00542066" w:rsidP="00542066">
      <w:pPr>
        <w:spacing w:after="100" w:afterAutospacing="1" w:line="276" w:lineRule="auto"/>
        <w:rPr>
          <w:rFonts w:cs="Arial"/>
          <w:lang w:val="sr-Latn-RS"/>
        </w:rPr>
      </w:pPr>
      <w:r w:rsidRPr="00542066">
        <w:rPr>
          <w:rFonts w:cs="Arial"/>
        </w:rPr>
        <w:t>U istraživanju je ocenjeno da osobama sa invaliditetom, osim toga što nisu dostupne usluge u zajednici, nisu pristupačne ni institucije. Tako za dve trećine osoba sa invaliditetom (66%) većina institucija nije pristupačna (zdravstvo, kultura, obrazovanje, pravosuđe, zapošljavanje, centri za socijalni rad). Osobama sa invaliditetom podršku najčešće pruža porodica (85%), a za tek 5% osoba sa invaliditetom dominantan oblik podrške predstavljaju službe podrške; 5% osoba sa invaliditetom ima podršku komšija, dok 5% nemaju nikakvu podršku. Nalazi istraživanja pokazuju da kako bi se obezbedila podrška osobama sa invaliditetom koje žive u Beogradu i kojima je ona najpotrebnija, lokalna samouprava treba da obezbedi usluge za oko 70.000 osoba, pri čemu je za oko 59.000 osoba potrebna pomoć u kući, personalna asistencija, kao i prevoz, i dodatno za 11.000 osoba usluge koje podrazumevaju stalno prisustvo osobe sa korisnikom, ali u smislu nadzora, kao i savetodavno-terapijske usluge</w:t>
      </w:r>
      <w:r w:rsidR="008B2538">
        <w:rPr>
          <w:rStyle w:val="FootnoteReference"/>
          <w:rFonts w:cs="Arial"/>
        </w:rPr>
        <w:footnoteReference w:id="163"/>
      </w:r>
      <w:r w:rsidRPr="00542066">
        <w:rPr>
          <w:rFonts w:cs="Arial"/>
        </w:rPr>
        <w:t xml:space="preserve">. </w:t>
      </w:r>
    </w:p>
    <w:p w:rsidR="00542066" w:rsidRDefault="00542066" w:rsidP="00542066">
      <w:pPr>
        <w:spacing w:after="100" w:afterAutospacing="1" w:line="276" w:lineRule="auto"/>
        <w:rPr>
          <w:rFonts w:cs="Arial"/>
          <w:lang w:val="sr-Latn-RS"/>
        </w:rPr>
      </w:pPr>
      <w:r w:rsidRPr="00542066">
        <w:rPr>
          <w:rFonts w:cs="Arial"/>
        </w:rPr>
        <w:t xml:space="preserve">U decembru 2016. godine Centar za samostalni život osoba sa invaliditetom (CSŽ) objavio je </w:t>
      </w:r>
      <w:r w:rsidRPr="008B2538">
        <w:rPr>
          <w:rFonts w:cs="Arial"/>
          <w:i/>
        </w:rPr>
        <w:t>Predloge za unapređenje izbornih prava osoba sa invaliditetom</w:t>
      </w:r>
      <w:r w:rsidR="008B2538">
        <w:rPr>
          <w:rStyle w:val="FootnoteReference"/>
          <w:rFonts w:cs="Arial"/>
        </w:rPr>
        <w:footnoteReference w:id="164"/>
      </w:r>
      <w:r w:rsidRPr="00542066">
        <w:rPr>
          <w:rFonts w:cs="Arial"/>
        </w:rPr>
        <w:t xml:space="preserve"> , u kojima se, između ostalog, navodi da je neophodno pitanje obavezne pristupačnosti biračkih mesta regulisati zakonom, a ne Uputstvom za sprovođenje izbora, koje se menja uoči svakih novih izbora i služi za njihovo uspešno tehničko sprovođenje</w:t>
      </w:r>
      <w:r w:rsidR="008B2538">
        <w:rPr>
          <w:rStyle w:val="FootnoteReference"/>
          <w:rFonts w:cs="Arial"/>
        </w:rPr>
        <w:footnoteReference w:id="165"/>
      </w:r>
      <w:r w:rsidRPr="00542066">
        <w:rPr>
          <w:rFonts w:cs="Arial"/>
        </w:rPr>
        <w:t xml:space="preserve">.  Naime, trenutna formulacija (pristupačnost biračkog mesta „po mogućnosti“) ne odražava na zadovoljavajući način princip nediskriminacije i ravnopravnosti i otvara mogućnost dobrovoljnog ispunjenja ovih principa, ne i njihove obaveznosti. Pored toga, naglašeno je da glasanje prema mestu boravka, a ne boravišta, u smislu Zakona o prebivalištu i boravištu građana, treba da se uredi u skladu s načelom nediskriminacije. Potrebno je da Republička izborna komisija </w:t>
      </w:r>
      <w:r w:rsidRPr="00542066">
        <w:rPr>
          <w:rFonts w:cs="Arial"/>
        </w:rPr>
        <w:lastRenderedPageBreak/>
        <w:t>svojim uputstvom odredi biračka mesta unutar rezidencijalnih ustanova u kojima borave OSI</w:t>
      </w:r>
      <w:r w:rsidR="008B2538">
        <w:rPr>
          <w:rStyle w:val="FootnoteReference"/>
          <w:rFonts w:cs="Arial"/>
        </w:rPr>
        <w:footnoteReference w:id="166"/>
      </w:r>
      <w:r w:rsidRPr="00542066">
        <w:rPr>
          <w:rFonts w:cs="Arial"/>
        </w:rPr>
        <w:t xml:space="preserve">.  </w:t>
      </w:r>
    </w:p>
    <w:p w:rsidR="00542066" w:rsidRDefault="00542066" w:rsidP="00542066">
      <w:pPr>
        <w:spacing w:after="100" w:afterAutospacing="1" w:line="276" w:lineRule="auto"/>
        <w:rPr>
          <w:rFonts w:cs="Arial"/>
          <w:lang w:val="sr-Latn-RS"/>
        </w:rPr>
      </w:pPr>
      <w:r w:rsidRPr="00542066">
        <w:rPr>
          <w:rFonts w:cs="Arial"/>
        </w:rPr>
        <w:t xml:space="preserve">U </w:t>
      </w:r>
      <w:r w:rsidRPr="008B2538">
        <w:rPr>
          <w:rFonts w:cs="Arial"/>
          <w:i/>
        </w:rPr>
        <w:t>Vodiču za pristupačnu izbornu kampanju</w:t>
      </w:r>
      <w:r w:rsidR="008B2538">
        <w:rPr>
          <w:rStyle w:val="FootnoteReference"/>
          <w:rFonts w:cs="Arial"/>
          <w:i/>
        </w:rPr>
        <w:footnoteReference w:id="167"/>
      </w:r>
      <w:r w:rsidRPr="00542066">
        <w:rPr>
          <w:rFonts w:cs="Arial"/>
        </w:rPr>
        <w:t xml:space="preserve"> , koji je namenjen političkim partijama u Republici Srbiji, kao i marketinškim i reklamnim agencijama koje sarađuju s političkim partijama, navodi se da često nije moguće da građani sa invaliditetom učestvuju ravnopravno u izbornom procesu, jer su izborne kampanje, njihove poruke i aktivnosti nepristupačni za osobe sa invaliditetom, te da te prepreke moramo svi zajedno da uklanjamo. U Vodiču je ocenjeno da političke partije nemaju svest, niti ulažu napore da privuku glasove muškaraca i žena sa pravom glasa koji čine znatan udeo u ukupnom broju od oko 800.000 osoba sa invaliditetom, a kao najčešći razlozi zbog kojih osobe sa invaliditetom ne glasaju navode se nepristupačna biračka mesta i nedostatak informacija o mogućnostima glasanja van biračkog mesta. Osim toga, kao razlozi navedeni su i nedostatak pristupačnih informacija o političkim partijama, njihovim programima i glavnim porukama, nezastupljenost osoba sa invaliditetom u političkim partijama, poistovećivanje osoba sa invaliditetom sa isključivim korisnicima socijalne i zdravstvene pomoći, potom osećaj osoba sa invaliditetom da njihove potrebe nisu prepoznate, a njihovi glasovi nisu važni, kao i uverenje glasača sa invaliditetom da oni ništa ne mogu da promene. </w:t>
      </w:r>
    </w:p>
    <w:p w:rsidR="00542066" w:rsidRDefault="00542066" w:rsidP="00542066">
      <w:pPr>
        <w:spacing w:after="100" w:afterAutospacing="1" w:line="276" w:lineRule="auto"/>
        <w:rPr>
          <w:rFonts w:cs="Arial"/>
          <w:lang w:val="sr-Latn-RS"/>
        </w:rPr>
      </w:pPr>
      <w:r w:rsidRPr="00542066">
        <w:rPr>
          <w:rFonts w:cs="Arial"/>
        </w:rPr>
        <w:t xml:space="preserve">U </w:t>
      </w:r>
      <w:r w:rsidRPr="008B2538">
        <w:rPr>
          <w:rFonts w:cs="Arial"/>
          <w:i/>
        </w:rPr>
        <w:t>Priručniku za uspostavljanje i razvoj centara za zaštitu mentalnog zdravlja u zajednici</w:t>
      </w:r>
      <w:r w:rsidRPr="00542066">
        <w:rPr>
          <w:rFonts w:cs="Arial"/>
        </w:rPr>
        <w:t xml:space="preserve"> ocenjeno je da je postojeći psihijatrijski sistem u Srbiji neadekvatan i ne može da odgovori na potrebe obolelih i zajednice</w:t>
      </w:r>
      <w:r w:rsidR="008B2538">
        <w:rPr>
          <w:rStyle w:val="FootnoteReference"/>
          <w:rFonts w:cs="Arial"/>
        </w:rPr>
        <w:footnoteReference w:id="168"/>
      </w:r>
      <w:r w:rsidRPr="00542066">
        <w:rPr>
          <w:rFonts w:cs="Arial"/>
        </w:rPr>
        <w:t>.  Prevaziđen model lečenja i zbrinjavanja dovodi do velike patnje i ponavljanja kriza, što neminovno vodi ka osiromašenju kapaciteta ličnosti, porodice i čitavog društva. Ovaj sistem se zasniva na zastarelim pretpostavkama, koje se postepeno napuštaju i u zemljama u razvoju, dok su ekonomski i institucionalno razvijene države u velikom obimu već razvile službe za zaštitu mentalnog zdravlja u zajednici. Pristup okrenut potrebama pacijenta i psihosocijalna rehabilitacija jesu koncepti koje podržava Svetska zdravstvena organizacija, institucije Evropske unije i sve relevantne stručne organizacije, i zato ne postoje nikakvi naučni, stručni, ekonomski, pravni ili politički razlozi da se reforma psihijatrije u Srbiji ne sprovede odmah i sistematski</w:t>
      </w:r>
      <w:r w:rsidR="008B2538">
        <w:rPr>
          <w:rStyle w:val="FootnoteReference"/>
          <w:rFonts w:cs="Arial"/>
        </w:rPr>
        <w:footnoteReference w:id="169"/>
      </w:r>
      <w:r w:rsidRPr="00542066">
        <w:rPr>
          <w:rFonts w:cs="Arial"/>
        </w:rPr>
        <w:t xml:space="preserve">. </w:t>
      </w:r>
    </w:p>
    <w:p w:rsidR="00542066" w:rsidRPr="00542066" w:rsidRDefault="00542066" w:rsidP="00542066">
      <w:pPr>
        <w:spacing w:after="100" w:afterAutospacing="1" w:line="276" w:lineRule="auto"/>
        <w:rPr>
          <w:rFonts w:cs="Arial"/>
        </w:rPr>
      </w:pPr>
      <w:r w:rsidRPr="00542066">
        <w:rPr>
          <w:rFonts w:cs="Arial"/>
        </w:rPr>
        <w:t xml:space="preserve">I pored pogodujućih odredbi međunarodnog i nacionalnog zakonodavstva, osobe koje boluju od retkih bolesti često ne mogu da realizuju osnovna prava u oblasti zdravstva, kao što je pravo na dijagnozu, a samim tim i pravo na tretman određene bolesti, kao i na dobijanje odgovarajuće medikamentne terapije ili ortopedskih pomagala, navodi se u publikaciji </w:t>
      </w:r>
      <w:r w:rsidRPr="008B2538">
        <w:rPr>
          <w:rFonts w:cs="Arial"/>
          <w:i/>
        </w:rPr>
        <w:lastRenderedPageBreak/>
        <w:t>Društveni i pravni položaj osoba sa retkim bolestima i njihovih porodica u Srbiji</w:t>
      </w:r>
      <w:r w:rsidR="008B2538">
        <w:rPr>
          <w:rStyle w:val="FootnoteReference"/>
          <w:rFonts w:cs="Arial"/>
        </w:rPr>
        <w:footnoteReference w:id="170"/>
      </w:r>
      <w:r w:rsidRPr="00542066">
        <w:rPr>
          <w:rFonts w:cs="Arial"/>
        </w:rPr>
        <w:t xml:space="preserve"> . Pored zdravstvenih izazova koji proizlaze iz specifične kliničke slike svakog pojedinačnog pacijenta, oboleli i članovi njihovih porodica se suočavaju sa čitavim nizom društvenih i institucionalnih izazova unutar različitih društvenih i institucionalnih konteksta kroz koje pokušavaju da ostvare različita prava i zadovolje određene potrebe</w:t>
      </w:r>
      <w:r w:rsidR="008B2538">
        <w:rPr>
          <w:rStyle w:val="FootnoteReference"/>
          <w:rFonts w:cs="Arial"/>
        </w:rPr>
        <w:footnoteReference w:id="171"/>
      </w:r>
      <w:r w:rsidRPr="00542066">
        <w:rPr>
          <w:rFonts w:cs="Arial"/>
        </w:rPr>
        <w:t>.  Bez dijagnoze, ove osobe ne mogu da ostvare prava iz socijalne zaštite, kao ni prava u oblasti zapošljavanja, obrazovanja i u drugim sferama života. Kako veliki broj obolelih od retkih bolesti čine deca, ona su dvostruko osetljiva kategorija stanovništva. Nedostatak finansijskih preduslova, nedostatak dovoljne edukacije zaposlenih u zdravstvu i nedostatak informacija o mogućnosti korišćenja prava u zdravstvenoj i socijalnoj zaštiti osoba sa retkim bolestima i njihovih porodica, dovode do njihovog neadekvatnog zbrinjavanja, navodi se u publikaciji</w:t>
      </w:r>
      <w:r w:rsidR="008B2538">
        <w:rPr>
          <w:rStyle w:val="FootnoteReference"/>
          <w:rFonts w:cs="Arial"/>
        </w:rPr>
        <w:footnoteReference w:id="172"/>
      </w:r>
      <w:r w:rsidRPr="00542066">
        <w:rPr>
          <w:rFonts w:cs="Arial"/>
        </w:rPr>
        <w:t xml:space="preserve">.  </w:t>
      </w:r>
    </w:p>
    <w:p w:rsidR="00542066" w:rsidRDefault="00542066" w:rsidP="00542066">
      <w:pPr>
        <w:pStyle w:val="Heading2"/>
        <w:spacing w:after="100" w:afterAutospacing="1" w:line="276" w:lineRule="auto"/>
        <w:rPr>
          <w:rFonts w:ascii="Arial" w:eastAsia="Calibri" w:hAnsi="Arial" w:cs="Arial"/>
          <w:b w:val="0"/>
          <w:bCs w:val="0"/>
          <w:spacing w:val="0"/>
          <w:sz w:val="22"/>
          <w:szCs w:val="22"/>
          <w:lang w:val="sr-Latn-RS"/>
        </w:rPr>
      </w:pPr>
      <w:r w:rsidRPr="00542066">
        <w:rPr>
          <w:rFonts w:ascii="Arial" w:eastAsia="Calibri" w:hAnsi="Arial" w:cs="Arial"/>
          <w:b w:val="0"/>
          <w:bCs w:val="0"/>
          <w:spacing w:val="0"/>
          <w:sz w:val="22"/>
          <w:szCs w:val="22"/>
        </w:rPr>
        <w:t xml:space="preserve">Izveštaj Beogradskog centra za ljudska prava, </w:t>
      </w:r>
      <w:r w:rsidRPr="008B2538">
        <w:rPr>
          <w:rFonts w:ascii="Arial" w:eastAsia="Calibri" w:hAnsi="Arial" w:cs="Arial"/>
          <w:b w:val="0"/>
          <w:bCs w:val="0"/>
          <w:i/>
          <w:spacing w:val="0"/>
          <w:sz w:val="22"/>
          <w:szCs w:val="22"/>
        </w:rPr>
        <w:t>L</w:t>
      </w:r>
      <w:r w:rsidR="008B2538" w:rsidRPr="008B2538">
        <w:rPr>
          <w:rFonts w:ascii="Arial" w:eastAsia="Calibri" w:hAnsi="Arial" w:cs="Arial"/>
          <w:b w:val="0"/>
          <w:bCs w:val="0"/>
          <w:i/>
          <w:spacing w:val="0"/>
          <w:sz w:val="22"/>
          <w:szCs w:val="22"/>
          <w:lang w:val="sr-Latn-RS"/>
        </w:rPr>
        <w:t>j</w:t>
      </w:r>
      <w:r w:rsidRPr="008B2538">
        <w:rPr>
          <w:rFonts w:ascii="Arial" w:eastAsia="Calibri" w:hAnsi="Arial" w:cs="Arial"/>
          <w:b w:val="0"/>
          <w:bCs w:val="0"/>
          <w:i/>
          <w:spacing w:val="0"/>
          <w:sz w:val="22"/>
          <w:szCs w:val="22"/>
        </w:rPr>
        <w:t>udska prava u Srbiji 2016</w:t>
      </w:r>
      <w:r w:rsidRPr="00542066">
        <w:rPr>
          <w:rFonts w:ascii="Arial" w:eastAsia="Calibri" w:hAnsi="Arial" w:cs="Arial"/>
          <w:b w:val="0"/>
          <w:bCs w:val="0"/>
          <w:spacing w:val="0"/>
          <w:sz w:val="22"/>
          <w:szCs w:val="22"/>
        </w:rPr>
        <w:t>, sadrži analizu svih raspoloživih izvora koji ukazuju na stanje ljudskih prava u Srbiji. Osim sistematskog praćenja zakonodavne aktivnosti i usklađenosti domaćeg zakonodavstva s međunarodnim standardima, ovaj izveštaj prati informacije i izveštaje domaćih i međunarodnih nevladinih organizacija koje se bave zaštitom i unapređenjem ljudskih prva, kao i analizom društvenopolitičkog ambijenta za ostvarivanje ljudskih prava u Srbiji 2016. godine</w:t>
      </w:r>
      <w:r w:rsidR="008B2538">
        <w:rPr>
          <w:rStyle w:val="FootnoteReference"/>
          <w:rFonts w:ascii="Arial" w:eastAsia="Calibri" w:hAnsi="Arial" w:cs="Arial"/>
          <w:b w:val="0"/>
          <w:bCs w:val="0"/>
          <w:spacing w:val="0"/>
          <w:sz w:val="22"/>
          <w:szCs w:val="22"/>
        </w:rPr>
        <w:footnoteReference w:id="173"/>
      </w:r>
      <w:r w:rsidRPr="00542066">
        <w:rPr>
          <w:rFonts w:ascii="Arial" w:eastAsia="Calibri" w:hAnsi="Arial" w:cs="Arial"/>
          <w:b w:val="0"/>
          <w:bCs w:val="0"/>
          <w:spacing w:val="0"/>
          <w:sz w:val="22"/>
          <w:szCs w:val="22"/>
        </w:rPr>
        <w:t xml:space="preserve">. </w:t>
      </w:r>
    </w:p>
    <w:p w:rsidR="00BA28FC" w:rsidRDefault="00BA28FC" w:rsidP="00BA28FC">
      <w:pPr>
        <w:rPr>
          <w:lang w:val="sr-Latn-RS"/>
        </w:rPr>
      </w:pPr>
    </w:p>
    <w:p w:rsidR="00135D51" w:rsidRDefault="00BF3D2E" w:rsidP="00BF3D2E">
      <w:pPr>
        <w:pStyle w:val="Heading2"/>
        <w:rPr>
          <w:rStyle w:val="Heading2Char"/>
          <w:rFonts w:ascii="Arial" w:hAnsi="Arial"/>
          <w:b/>
          <w:bCs/>
          <w:spacing w:val="0"/>
          <w:lang w:val="sr-Latn-RS"/>
        </w:rPr>
      </w:pPr>
      <w:r>
        <w:rPr>
          <w:rStyle w:val="Heading2Char"/>
          <w:rFonts w:ascii="Arial" w:hAnsi="Arial"/>
          <w:b/>
          <w:bCs/>
          <w:spacing w:val="0"/>
          <w:lang w:val="sr-Latn-RS"/>
        </w:rPr>
        <w:t>3.4.</w:t>
      </w:r>
      <w:r>
        <w:rPr>
          <w:rStyle w:val="Heading2Char"/>
          <w:rFonts w:ascii="Arial" w:hAnsi="Arial"/>
          <w:b/>
          <w:bCs/>
          <w:spacing w:val="0"/>
          <w:lang w:val="sr-Latn-RS"/>
        </w:rPr>
        <w:tab/>
        <w:t>P</w:t>
      </w:r>
      <w:r w:rsidR="00B05B11">
        <w:rPr>
          <w:rStyle w:val="Heading2Char"/>
          <w:rFonts w:ascii="Arial" w:hAnsi="Arial"/>
          <w:b/>
          <w:bCs/>
          <w:spacing w:val="0"/>
          <w:lang w:val="sr-Latn-RS"/>
        </w:rPr>
        <w:t>raksa evropskog</w:t>
      </w:r>
      <w:bookmarkEnd w:id="26"/>
      <w:bookmarkEnd w:id="27"/>
      <w:r w:rsidR="00B05B11">
        <w:rPr>
          <w:rStyle w:val="Heading2Char"/>
          <w:rFonts w:ascii="Arial" w:hAnsi="Arial"/>
          <w:b/>
          <w:bCs/>
          <w:spacing w:val="0"/>
          <w:lang w:val="sr-Latn-RS"/>
        </w:rPr>
        <w:t xml:space="preserve"> suda za ljudska prava</w:t>
      </w:r>
    </w:p>
    <w:p w:rsidR="00D16B65" w:rsidRPr="00D16B65" w:rsidRDefault="00D16B65" w:rsidP="00D16B65">
      <w:pPr>
        <w:tabs>
          <w:tab w:val="left" w:pos="709"/>
          <w:tab w:val="center" w:pos="4986"/>
        </w:tabs>
        <w:spacing w:line="276" w:lineRule="auto"/>
        <w:rPr>
          <w:rFonts w:cs="Arial"/>
        </w:rPr>
      </w:pPr>
      <w:r w:rsidRPr="00D16B65">
        <w:rPr>
          <w:rFonts w:cs="Arial"/>
        </w:rPr>
        <w:t>U 2016. godini Evropski sud za ljudska prava razmatrao je postojanje diskriminacije u nekoliko zanimljivih slučajeva.</w:t>
      </w:r>
    </w:p>
    <w:p w:rsidR="00D16B65" w:rsidRPr="00D16B65" w:rsidRDefault="00D16B65" w:rsidP="00D16B65">
      <w:pPr>
        <w:tabs>
          <w:tab w:val="left" w:pos="709"/>
          <w:tab w:val="center" w:pos="4986"/>
        </w:tabs>
        <w:spacing w:line="276" w:lineRule="auto"/>
        <w:rPr>
          <w:rFonts w:cs="Arial"/>
        </w:rPr>
      </w:pPr>
      <w:r w:rsidRPr="00D16B65">
        <w:rPr>
          <w:rFonts w:cs="Arial"/>
        </w:rPr>
        <w:t xml:space="preserve">U predmetu Novruk i drugi protiv Rusije (Novruk and Others v. Russia, predstavka br. 31039/11, 48511/11, 76810/12, 14618/13 i 13817/14, presuda od 15. marta 2016. godine), Evropski sud je našao da ova zemlja ima „sistemski problem“ u pogledu načina na koji svojim zakonodavstvom reguliše ulazak na svoju teritoriju stranaca koji žive sa HIV-om i njihov boravak na njoj. U vreme podnošenja predstavke Evropskom sudu, važeće zakonodavstvo Ruske Federacije zabranjivalo je strancima koji boluju od HIV virusa da žive i rade u ovoj zemlji. Evropski sud je utvrdio da je pomenuti zakon, čiji je jedan od ciljeva sprečavanje prenošenja HIV-a, zasnovan na neopravdanoj pretpostavci da će lica kod kojih je utvrđeno prisustvo ovog virusa stupati u nebezbedne odnose, kao i da pritom ne vrši individualnu procenu u svakom pojedinačnom slučaju. U svetlu evropskih i međunarodnih sporazuma, čiji je cilj ukidanje značajnijih ograničenja na ulazak, boravak i prebivalište osoba koje žive sa HIV-om, Rusija nije pružila uverljive dokaze niti bilo koji razlog za različit tretman ovih lica s obzirom na njihovo zdravstveno stanje. Prema tome, podnosioci predstavke u </w:t>
      </w:r>
      <w:r w:rsidRPr="00D16B65">
        <w:rPr>
          <w:rFonts w:cs="Arial"/>
        </w:rPr>
        <w:lastRenderedPageBreak/>
        <w:t>ovom predmetu, pet stranih državljana kojima nije odobren privremeni boravak u Rusiji, bili su prema mišljenju Evropskog suda žrtve diskriminacije po osnovu zdravstvenog stanja. Konstatujući, međutim, da je zakonodavna reforma trenutno u toku u Rusiji, Evropski sud je odlučio da u ovoj fazi ne formuliše bilo kakve opšte mere s ciljem pravilnog sprovođenja ove presude.</w:t>
      </w:r>
    </w:p>
    <w:p w:rsidR="00D16B65" w:rsidRPr="00D16B65" w:rsidRDefault="00D16B65" w:rsidP="00D16B65">
      <w:pPr>
        <w:tabs>
          <w:tab w:val="left" w:pos="709"/>
          <w:tab w:val="center" w:pos="4986"/>
        </w:tabs>
        <w:spacing w:line="276" w:lineRule="auto"/>
        <w:rPr>
          <w:rFonts w:cs="Arial"/>
        </w:rPr>
      </w:pPr>
      <w:r w:rsidRPr="00D16B65">
        <w:rPr>
          <w:rFonts w:cs="Arial"/>
        </w:rPr>
        <w:t>Predmet Pilav protiv Bosne i Hercegovine (Pilav v. Bosnia and Herzegovina, predstavka br. 41939/07, presuda od 9. juna 2016. godine) predstavlja treći slučaj u dosadašnjoj praksi Evropskog suda za ljudska prava u kojem je ustanovljeno da su odredbe Ustava BiH koje predviđaju da se u Predsedništvo ove zemlje mogu kandidovati samo pripadnici konstitutivnih naroda (hrvatskog, bošnjačkog i srpskog) diskriminatorne</w:t>
      </w:r>
      <w:r w:rsidR="00960F7D">
        <w:rPr>
          <w:rStyle w:val="FootnoteReference"/>
          <w:rFonts w:cs="Arial"/>
        </w:rPr>
        <w:footnoteReference w:id="174"/>
      </w:r>
      <w:r w:rsidRPr="00D16B65">
        <w:rPr>
          <w:rFonts w:cs="Arial"/>
        </w:rPr>
        <w:t>.  Sporne odredbe određuju da se „Predsedništvo BiH sastoji od tri člana: jednog Bošnjaka i jednog Hrvata, koji se svaki biraju neposredno sa teritorije Federacije, i jednog Srbina, koji se bira neposredno sa teritorije Republike Srpske“</w:t>
      </w:r>
      <w:r w:rsidR="00960F7D">
        <w:rPr>
          <w:rStyle w:val="FootnoteReference"/>
          <w:rFonts w:cs="Arial"/>
        </w:rPr>
        <w:footnoteReference w:id="175"/>
      </w:r>
      <w:r w:rsidRPr="00D16B65">
        <w:rPr>
          <w:rFonts w:cs="Arial"/>
        </w:rPr>
        <w:t xml:space="preserve">.  Za razliku od prethodnih slučajeva, u kojima su podnosioci predstavke bili pripadnici nacionalnih manjina ili se pak nisu izjasnili kao pripadnici jednog od konstitutivnih naroda, i kao takvi bili u potpunosti onemogućeni u kandidaturi, podnosilac predstavke u ovom predmetu jeste pripadnik konstitutivnog naroda, te je u tom smislu imao ovo ustavno pravo. Međutim, u konkretnom slučaju podnosilac predstavke nije mogao da ostvari svoje pravo na kandidaturu jer nije zadovoljio Ustavom utvrđeni uslov prebivanja na određenoj teritoriji. Naime, podnosilac predstavke je pripadnik bošnjačkog naroda, dok Ustav BiH predviđa da kandidat koji se bira sa teritorije Republike Srpske bude pripadnik srpskog naroda. Evropski sud je zaključio da je onemogućavanje podnosiocu predstavke da učestvuje na izborima za Predsedništvo BiH zasnovano na kombinaciji etničkog porekla i mesta stanovanja, što ukazuje na diskriminatorno ponašanje i kršenje Opšte zabrane diskriminacije predviđene članom 1. Protokola 12. uz Konvenciju. </w:t>
      </w:r>
    </w:p>
    <w:p w:rsidR="00D16B65" w:rsidRPr="00D16B65" w:rsidRDefault="00D16B65" w:rsidP="00D16B65">
      <w:pPr>
        <w:tabs>
          <w:tab w:val="left" w:pos="709"/>
          <w:tab w:val="center" w:pos="4986"/>
        </w:tabs>
        <w:spacing w:line="276" w:lineRule="auto"/>
        <w:rPr>
          <w:rFonts w:cs="Arial"/>
        </w:rPr>
      </w:pPr>
      <w:r w:rsidRPr="00D16B65">
        <w:rPr>
          <w:rFonts w:cs="Arial"/>
        </w:rPr>
        <w:t xml:space="preserve">Diskriminacija zbog odbijanja zahteva za oslobođenje od plaćanja poreza utvrđena je u predmetu Guberina protiv Hrvatske (Guberina v. Croatia, predstavka br. 23682/13, presuda od 22. marta 2016. godine). Podnosilac predstavke je otac deteta sa invaliditetom, koji je radi obezbeđivanja boljeg i pogodnijeg smeštaja za svoje dete, prodao porodični stan koji se nalazio na trećem spratu zgrade bez lifta i kupio kuću. Zatražio je poreske olakšice za tu kupovinu, budući da ih domaći zakon predviđa u slučaju da je reč o kupovini prve nekretnine radi rešavanja svojih stambenih potreba. Poreske vlasti su, međutim, odbile njegov zahtev, ocenivši da je prethodni stan koji je podnosilac zahteva imao u svom vlasništvu bio dovoljne veličine, kao i da je imao svu potrebnu infrastrukturu, poput vode, struje i drugih komunalija. Evropski sud je u svom dosadašnjem radu već presudio da zdravstveni status osobe, uključujući i osobe sa invaliditetom, potpada pod izraz „drugi status“, koji nije izričito naveden u članu 14. Evropske konvencije (videti Glor v. Switzerland, predstavka br. 13444/04, presuda od 6. novembra 2009. godine). U ovom predmetu, nakon što je priznao mogućnost da podnosilac predstavke bude diskriminisan po osnovu invaliditeta svog deteta, Evropski sud je našao da je do diskriminacije zaista i došlo, budući da domaći nadležni organi nisu prepoznali specifičnost situacije podnosioca predstavke u vezi s pitanjem osnovne infrastrukture i tehničkih stambenih uslova koji zadovoljavaju stambene potrebe njegove porodice. Domaće vlasti su preduzele preterano restriktivan pristup u primeni poreskih </w:t>
      </w:r>
      <w:r w:rsidRPr="00D16B65">
        <w:rPr>
          <w:rFonts w:cs="Arial"/>
        </w:rPr>
        <w:lastRenderedPageBreak/>
        <w:t>propisa, prema kojima je podnosilac zahteva bio neosnovano izjednačen s bilo kojom drugom osobom koja je menjala stan ili kuću kupovinom druge nekretnine. Zbog svega navedenog, Evropski sud je utvrdio da je došlo do kršenja člana 14. Evropske konvencije u vezi sa članom 1. Protokola 1 (zaštita imovine) uz Konvenciju u ovom predmetu.</w:t>
      </w:r>
    </w:p>
    <w:p w:rsidR="00D16B65" w:rsidRPr="00D16B65" w:rsidRDefault="00D16B65" w:rsidP="00D16B65">
      <w:pPr>
        <w:tabs>
          <w:tab w:val="left" w:pos="709"/>
          <w:tab w:val="center" w:pos="4986"/>
        </w:tabs>
        <w:spacing w:line="276" w:lineRule="auto"/>
        <w:rPr>
          <w:rFonts w:cs="Arial"/>
        </w:rPr>
      </w:pPr>
      <w:r w:rsidRPr="00D16B65">
        <w:rPr>
          <w:rFonts w:cs="Arial"/>
        </w:rPr>
        <w:t>U predmetu protiv Nemačke (Partei Die Friesen v. Germany, predstavka br. 65480/10, presuda od 28. januara 2016. godine), politička stranka frizijske nacionalne manjine zahtevala je od Evropskog suda da utvrdi povredu prava na slobodne izbore. Ova politička stranka zastupa interese frizijske nacionalne manjine u Nemačkoj, ali svoje političke aktivnosti ograničava samo na teritoriju Donje Saksonije. Prema navodima iz predstavke, diskriminisana je primenom izbornog cenzusa od 5%, koji je predviđen izbornim sistemom Donje Saksonije. Na parlamentarnim izborima 2008. godine nije uspela da pređe cenzus, osvojivši svega 0,3% glasova. Međutim, prema tvrdnjama ove stranke, broj Frizijaca u Donjoj Saksoniji je toliko mali da nije ni bilo moguće preći minimalni izborni prag predviđen izbornim zakonodavstvom. Tokom postupka politička stranka je tvrdila da je njen položaj uporediv s položajem drugih manjinskih stranaka u Brandenburgu i Šlezvig-Holštajnu, za koje je utvrđena mogućnost oslobođenja od primene izbornog cenzusa u ovim saveznim državama. Međutim, Evropski sud je konstatovao da, iako federalni izborni zakon predviđa da sve manjinske političke stranke uživaju iste privilegije u saveznim izborima, stav Ustavnog suda Donje Saksonije jeste da ne postoji ustavna obaveza Donje Saksonije da oslobodi stranke nacionalnih manjina primene izbornog cenzusa na regionalnim izborima. Dakle, kako je Evropski sud primetio, u nemačkom federalnom sistemu savezne države imaju suverenitet da nezavisno uređuju određena pitanja. Analizirajući da li se položaj podnosioca predstavke značajno razlikovao od položaja drugih političkih stranaka u Donjoj Saksoniji, Evropski sud je konstatovao da je nesporno da razlike u tretmanu nije bilo. Prihvatio je da je položaj podnosioca predstavke u osnovi sličan položaju drugih političkih stranaka, koje zastupaju interese manjih interesnih grupa. Nepovoljnost s kojom se ova politička stranka suočila u izbornom procesu stoga je zasnovana na izabranom konceptu zastupanja interesa malog dela populacije, uprkos činjenici da broj Frizijaca u Donjoj Saksoniji nije dovoljan da bi se dostigao cenzus, čak ni u slučaju da su svi frizijski birači glasali za podnosioca predstavke. Prema stavu Evropskog suda, Nemačka se ne može smatrati odgovornom zbog takvog izbora.</w:t>
      </w:r>
    </w:p>
    <w:p w:rsidR="00D16B65" w:rsidRPr="00D16B65" w:rsidRDefault="00D16B65" w:rsidP="00D16B65">
      <w:pPr>
        <w:tabs>
          <w:tab w:val="left" w:pos="709"/>
          <w:tab w:val="center" w:pos="4986"/>
        </w:tabs>
        <w:spacing w:line="276" w:lineRule="auto"/>
        <w:rPr>
          <w:rFonts w:cs="Arial"/>
        </w:rPr>
      </w:pPr>
      <w:r w:rsidRPr="00D16B65">
        <w:rPr>
          <w:rFonts w:cs="Arial"/>
        </w:rPr>
        <w:t xml:space="preserve">Sloboda veroispovesti i diskriminacija verske manjine u Turskoj bila je u fokusu predmeta Izetin Dogan protiv Turske (İzzettin Doğan and Others v. Turkey, predstavka br. 2649/10, presuda Velikog veća od 26. aprila 2016. godine). Podnosioci predstavke žalili su se u postupku pred Evropskim sudom da turske vlasti odbijaju da priznaju javni status islamskoj alevitskoj verskoj zajednici (po broju sledbenika, aleviti su druga po veličini verska zajednica u Turskoj), te da se javni status priznaje isključivo sledbenicima sunitskog tumačenja islama. Odlukom da ne priznaju alevizam kao religijski identitet, turske vlasti su, prema stavu Evropskog suda, uskratile ovoj zajednici pravo na pravnu zaštitu, što je za sobom povuklo brojne posledice u pogledu organizacije i finansiranja njenih aktivnosti. Budući da se alevizam po svojim obeležjima znatno razlikuje od načina na koji tursko ministarstvo za verska pitanja tumači islam, Evropski sud je zaključio da je odluka turskih vlasti predstavljala mešanje u slobodu veroispovesti podnosilaca predstavke. Evropski sud je dalje primetio da postoji očigledna razlika u pogledu statusa na osnovu tumačenja islama od strane turskog ministarstva za verska pitanja i beneficija koje sleduju po osnovu javnog statusa i statusa podnosilaca predstavke, s obzirom na to da je alevitska zajednica bila skoro u potpunosti isključena iz javne sfere i za nju je važio režim sufijskih redova, koji su bili izloženi raznim </w:t>
      </w:r>
      <w:r w:rsidRPr="00D16B65">
        <w:rPr>
          <w:rFonts w:cs="Arial"/>
        </w:rPr>
        <w:lastRenderedPageBreak/>
        <w:t>zabranama. Stoga je zaključeno da su podnosioci predstavke, kao aleviti, bili tretirani drugačije, a za to nije postojalo objektivno i razumno opravdanje.</w:t>
      </w:r>
    </w:p>
    <w:p w:rsidR="00D16B65" w:rsidRPr="00D16B65" w:rsidRDefault="00D16B65" w:rsidP="00D16B65">
      <w:pPr>
        <w:tabs>
          <w:tab w:val="left" w:pos="709"/>
          <w:tab w:val="center" w:pos="4986"/>
        </w:tabs>
        <w:spacing w:line="276" w:lineRule="auto"/>
        <w:rPr>
          <w:rFonts w:cs="Arial"/>
        </w:rPr>
      </w:pPr>
      <w:r w:rsidRPr="00D16B65">
        <w:rPr>
          <w:rFonts w:cs="Arial"/>
        </w:rPr>
        <w:t>Diskriminacija u oblasti obrazovanja bila je tema predmeta Čam protiv Turske (Çam v. Turkey, predstavka br. 51500/08, presuda od 23. februara 2016. godine). Podnositeljka predstavke je slepa osoba koja, uprkos položenom prijemnom ispitu, nije uspela da upiše Muzičku akademiju u Istanbulu. NJen zahtev za upis odbila je Muzička akademija na osnovu pravilnika koji je predviđao lekarsko uverenje o zdravstvenoj sposobnosti kao uslov za pohađanje nastave. Lekarskim uverenjem koje je podnositeljka predstavke priložila tokom procesa upisa, konstatovana je njena sposobnost za praćenje nastave koja ne zahteva korišćenje vida. Muzička akademija nije prihvatila ovakvo uverenje, tvrdeći da se takva nastava ne održava, i odbila je zahtev za upis. Evropski sud je u ovom postupku utvrdio povredu prava na obrazovanje i u svom obrazloženju naveo da, iako pravilnik akademije nije isključivao slepe osobe i da su svi kandidati prilikom podnošenja zahteva za upis bili dužni da dostave lekarsko uverenje, učinak takvog uslova na osobe sa invaliditetom, poput podnositeljke predstavke, nije smeo biti zanemaren. Stav je Evropskog suda da domaća tela nisu obrazložila na koji način oštećenje vida podnositeljki predstavke onemogućava pohađanje nastave, niti je Muzička akademija preduzela bilo kakve napore kako bi nastavu prilagodila slepim studentima. Zbog svega toga, Evropski sud je utvrdio da je podnositeljki predstavke bez objektivnog i razumnog razloga uskraćeno pravo na muzičko obrazovanje.</w:t>
      </w:r>
    </w:p>
    <w:p w:rsidR="00D16B65" w:rsidRPr="00D16B65" w:rsidRDefault="00D16B65" w:rsidP="00D16B65">
      <w:pPr>
        <w:tabs>
          <w:tab w:val="left" w:pos="709"/>
          <w:tab w:val="center" w:pos="4986"/>
        </w:tabs>
        <w:spacing w:line="276" w:lineRule="auto"/>
        <w:rPr>
          <w:rFonts w:cs="Arial"/>
        </w:rPr>
      </w:pPr>
      <w:r w:rsidRPr="00D16B65">
        <w:rPr>
          <w:rFonts w:cs="Arial"/>
        </w:rPr>
        <w:t>Posredna diskriminacija građana po osnovu etničkog porekla bila je tema predmeta Biao protiv Danske (Biao v. Denmark, predstavka br. 38590/10, presuda Velikog veća od 24. maja 2016. godine). Prvi podnosilac predstavke je danski državljanin rođen u Togoleškoj Republici, a drugi je njegova supruga, državljanka Gane. Podnositeljka predstavke podnela je zahtev za izdavanje boravišne dozvole po osnovu spajanja porodice, koje su danski nadležni organi odbili na bazi odredbe domaćeg Zakona o strancima, koja za izdavanje dozvole predviđa ispunjenje uslova poznatog pod nazivom „zahtev povezanosti“. Ovaj uslov podrazumeva da bračni par ima jaču povezanost s Danskom nego s nekom drugom državom da bi izdavanje boravišne dozvole bilo odobreno. Zahtev povezanosti se ne primenjuje na sve danske državljane, pa tako nije primenljiv na osobe koje su najmanje 28 godina bile danski državljani (tzv. pravilo o 28 godina). Budući da je podnosilac predstavke u predmetnom periodu dansko državljanstvo imao tek nešto kraće od dve godine, danski nadležni organi su se upustili u ispitivanje ispunjenosti navedenog zahteva povezanosti, zaključili su da on nije ispunjen i odbili zahtev za izdavanje boravišne dozvole po osnovu spajanja porodice. Evropski sud je ustanovio da se „pravilom od 28 godina“ na posredan način vrši diskriminacija, budući da njegova primena stavlja u neravnopravan položaj, odnosno ima nesrazmerno štetan uticaj na lica koja su dansko državljanstvo stekla kasnije tokom života i koja nisu danskog porekla. Sud je smatrao da je razumno pretpostaviti da lica koja su dansko državljanstvo stekla kasnije verovatno nisu danskog porekla, i obrnuto, lica rođena u Danskoj najčešće pripadaju danskoj etničkoj grupi. Prema mišljenju Evropskog suda, danska vlada nije uspela da dokaže da je razlika u uticaju „pravila o 28“ godina imala legitiman cilj, niti je uspela da dokaže da su postojali dovoljno ubedljivi razlozi koji nisu povezani s etničkim poreklom kako bi se opravdao efekat posredne diskriminacije koji ovo pravilo proizvodi.</w:t>
      </w:r>
    </w:p>
    <w:p w:rsidR="00D16B65" w:rsidRPr="00D16B65" w:rsidRDefault="00D16B65" w:rsidP="00D16B65">
      <w:pPr>
        <w:tabs>
          <w:tab w:val="left" w:pos="709"/>
          <w:tab w:val="center" w:pos="4986"/>
        </w:tabs>
        <w:spacing w:line="276" w:lineRule="auto"/>
        <w:rPr>
          <w:rFonts w:cs="Arial"/>
        </w:rPr>
      </w:pPr>
      <w:r w:rsidRPr="00D16B65">
        <w:rPr>
          <w:rFonts w:cs="Arial"/>
        </w:rPr>
        <w:t xml:space="preserve">U predmetu M. C. i A. C. protiv Rumunije (M. C. and A. C. v. Romania, predstavka br. 12060/12, presuda od 12. aprila 2016. godine) Evropski sud je razmatrao propust rumunskih vlasti da uzmu u obzir moguće diskriminatorne motive u istrazi homofobičnog napada na učesnike LGBT skupa u Bukureštu. Naime, nadležni organi nisu preduzeli nikakve značajne </w:t>
      </w:r>
      <w:r w:rsidRPr="00D16B65">
        <w:rPr>
          <w:rFonts w:cs="Arial"/>
        </w:rPr>
        <w:lastRenderedPageBreak/>
        <w:t>korake u rešavanju ovog slučaja, identifikacija napadača nije izvršena ni pet godina nakon podnošenja krivične prijave, niti su uzeti u obzir mogući homofobični motivi ovih napada u postupku kvalifikacije krivičnog dela izvršenog prema podnosiocima predstavke. Prema stavu Evropskog suda, ovo je bilo neophodno imajući u vidu netrpeljivost koja u Rumuniji vlada prema LGBT zajednici, kao i u svetlu homofobičnog govora napadača tokom incidenta. Evropski sud je istakao da bi bez tako rigoroznog pristupa organa za sprovođenje zakona, zločini motivisani predrasudama neminovno bili tretirani ravnopravno sa slučajevima koje ne karakterišu ovakvi motivi, a nastala ravnodušnost bi mogla da predstavlja prećutno odobravanje zločina iz mržnje.</w:t>
      </w:r>
    </w:p>
    <w:p w:rsidR="00D16B65" w:rsidRPr="00D16B65" w:rsidRDefault="00D16B65" w:rsidP="00D16B65">
      <w:pPr>
        <w:tabs>
          <w:tab w:val="left" w:pos="709"/>
          <w:tab w:val="center" w:pos="4986"/>
        </w:tabs>
        <w:spacing w:line="276" w:lineRule="auto"/>
        <w:rPr>
          <w:rFonts w:cs="Arial"/>
        </w:rPr>
      </w:pPr>
      <w:r w:rsidRPr="00D16B65">
        <w:rPr>
          <w:rFonts w:cs="Arial"/>
        </w:rPr>
        <w:t>U predmetu Kilic protiv Turske (Halime Kılıç v. Turkey, predstavka br. 63034/11, presuda od 28. juna 2016. godine) Evropski sud je razmatrao postupak turskih nadležnih organa u pružanju zaštite ženi izloženoj porodičnom nasilju. Žrtva se radi zaštite svog i života svoje dece više puta obraćala lokalnim vlastima, zahtevajući da prema njenom mužu budu preduzete adekvatne mere. Iako je odredio više mera zaštite i zabranu prilaska, Porodični sud u Turskoj nije uspeo da obezbedi adekvatnu zaštitu žrtvi, što je na kraju rezultiralo njenom smrću. Kako je Evropski sud naveo, uprkos potrebi hitnog reagovanja u slučajevima porodičnog nasilja, mere zaštite u ovom slučaju nisu sprovođene na vreme, a učiniocu nasilja Krivični sud nije odredio pritvor iako su za to bili ispunjeni uslovi. Evropski sud je zaključio da pored kršenja člana 2. (pravo na život), postupci turskih nadležnih organa predstavljaju i kršenje člana 14. u vezi sa članom 2. Evropske konvencije, budući da su neuspeh u obezbeđivanju zaštite i kontekst nekažnjivosti muža žrtve stvorili klimu za nasilje u porodici, koje je, kako navodi sud, u ovoj zemlji u velikoj meri prisutno.</w:t>
      </w:r>
    </w:p>
    <w:p w:rsidR="00D16B65" w:rsidRPr="00D16B65" w:rsidRDefault="00D16B65" w:rsidP="00D16B65">
      <w:pPr>
        <w:tabs>
          <w:tab w:val="left" w:pos="709"/>
          <w:tab w:val="center" w:pos="4986"/>
        </w:tabs>
        <w:spacing w:line="276" w:lineRule="auto"/>
        <w:rPr>
          <w:rFonts w:cs="Arial"/>
        </w:rPr>
      </w:pPr>
      <w:r w:rsidRPr="00D16B65">
        <w:rPr>
          <w:rFonts w:cs="Arial"/>
        </w:rPr>
        <w:t xml:space="preserve">Pravo na poštovanje privatnog i porodičnog života iz ugla socijalnih davanja razmatrano je u predmetu Di Trizio protiv Švajcarske (Di Trizio v. Switzerland, predstavka br. 7186/09, presuda od 2. februara 2016. godine). Slučaj se odnosio na odbijanje švajcarske Kancelarije za invalidsko osiguranje da nastavi plaćanje 50% naknade po osnovu invalidnosti podnositeljki predstavke nakon rađanja blizanaca. Podnositeljka predstavke je izgubila pravo na ovu naknadu kada se nakon rođenja dece vratila na posao, na nepuno radno vreme. Poseban metod korišćen za procenu prava na naknadu po osnovu invalidnosti podnositeljke, koji se primenjuje samo u slučajevima rada na nepuno radno vreme, rezultirao je odlukom nadležnih organa da se podnositeljki predstavke odbije ovo pravo budući da stepen njenog invaliditeta ne dostiže 40%. Tokom postupka, Evropski sud je najpre utvrdio da se okolnosti ovog slučaja mogu podvesti pod pojam „privatni i porodični život“. S obzirom na to da ovakav metod obračuna stavlja lica koja žele da rade nepunim radnim vremenom u nepovoljan položaj, ne može se isključiti mogućnost da ih njegova primena ograničava u izboru načina na koji će uskladiti svoj privatni život s poslom, obavezama u domaćinstvu i odgajanjem dece. Evropski sud je takođe utvrdio da ovakav metod obračuna na posredan način diskriminiše žene, budući da je gotovo isključivo na njih primenjivan (u 97% slučajeva), a švajcarske vlasti nisu uspele da pruže bilo kakvo razumno opravdanje za ovu razliku u tretmanu. </w:t>
      </w:r>
    </w:p>
    <w:p w:rsidR="00D16B65" w:rsidRPr="00D16B65" w:rsidRDefault="00D16B65" w:rsidP="00D16B65">
      <w:pPr>
        <w:tabs>
          <w:tab w:val="left" w:pos="709"/>
          <w:tab w:val="center" w:pos="4986"/>
        </w:tabs>
        <w:spacing w:line="276" w:lineRule="auto"/>
        <w:rPr>
          <w:rFonts w:cs="Arial"/>
        </w:rPr>
      </w:pPr>
      <w:r w:rsidRPr="00D16B65">
        <w:rPr>
          <w:rFonts w:cs="Arial"/>
        </w:rPr>
        <w:t xml:space="preserve">Odbijanje krivičnog gonjenja zbog uvrede i klevete bio je razlog podnošenja predstavke Evropskom sudu u predmetu Sousa Gouča protiv Portugalije (Sousa Goucha v. Portugal, predstavka br. 70434/12, presuda od 22. marta 2016. godine). Portugalski televizijski voditelj, javno deklarisani pripadnik LGBT populacije, u šali je bio uključen u listu „najboljih televizijskih voditeljki“ tokom jedne televizijske satirične emisije. Smatrajući da vezivanje ženskog pola za njegovu ličnost usled seksualne orijentacije predstavlja klevetu i povredu ugleda, podneo je krivičnu prijavu protiv produkcijske TV kuće. Portugalski sudovi odbili su </w:t>
      </w:r>
      <w:r w:rsidRPr="00D16B65">
        <w:rPr>
          <w:rFonts w:cs="Arial"/>
        </w:rPr>
        <w:lastRenderedPageBreak/>
        <w:t>prijavu, sa zaključkom da, uzimajući u obzir satirični karakter emisije, autori nisu imali nameru da kritikuju seksualnu orijentaciju voditelja. U postupku pred Evropskim sudom, podnosilac predstavke je naveo da je bio diskriminisan zbog svog seksualnog opredeljenja. Uz napomenu da je satira oblik umetničkog izraza koji ima za cilj da uzdrma i isprovocira, Evropski sud je ukazao da se ista odnosila na ponašanje voditelja i njegov ženstveni način izraza ličnosti, a ne na njega lično. Takođe je konstatovao da seksualna orijentacija podnosioca predstavke nije bila uzročni faktor u odbijanju domaćih sudova da pokrenu krivični postupak, te da nije bilo ničega što bi ukazivalo na to da bi portugalske vlasti donele drugačiju odluku da podnosilac predstavke nije bio homoseksualne orijentacije.</w:t>
      </w:r>
    </w:p>
    <w:p w:rsidR="00D16B65" w:rsidRPr="00D16B65" w:rsidRDefault="00D16B65" w:rsidP="00D16B65">
      <w:pPr>
        <w:tabs>
          <w:tab w:val="left" w:pos="709"/>
          <w:tab w:val="center" w:pos="4986"/>
        </w:tabs>
        <w:spacing w:line="276" w:lineRule="auto"/>
        <w:rPr>
          <w:rFonts w:cs="Arial"/>
        </w:rPr>
      </w:pPr>
      <w:r w:rsidRPr="00D16B65">
        <w:rPr>
          <w:rFonts w:cs="Arial"/>
        </w:rPr>
        <w:t>Diskriminacija istopolnog para u ostvarivanju prava na poštovanje privatnog i porodičnog života razmatrana je u predmetu Tadeuci i Mekal protiv Italije (Taddeucci and McCall v. Italy, predstavka br. 51362/09, presuda od 30. juna 2016. godine). Slučaj se odnosio na istopolni par italijanske i novozelandske nacionalnosti, čiji su zahtev za dobijanje boravišne dozvole odbile italijanske vlasti. Partner novozelandske nacionalnosti zatražio je izdavanje boravišne dozvole iz porodičnih razloga, koja mu je uskraćena uz obrazloženje da su novozelandske vlasti ovom paru dale status „vanbračnih partnera“, a ne „članova iste porodice“. Razmatrajući slučaj, Evropski sud je utvrdio da status „člana porodice“ italijansko pravo dodeljuje samo „supružniku“, a ne i vanbračnom partneru. U tom smislu, pravo na dobijanje boravišne dozvole uskraćeno je svim vanbračnim partnerima, bez obzira na njihovu seksualnu orijentaciju. Međutim, kako je Evropski sud dalje naveo, treba imati u vidu da se homoseksualni par ne može upoređivati s vanbračnim heteroseksualnim parom, jer homoseksualne osobe ne mogu sklopiti brak, niti mogu dobiti neku drugu vrstu zakonskog priznanja svog statusa u Italiji. Restriktivno tumačenje koncepta pojma „člana porodice“ za istopolne parove predstavlja nepremostivu prepreku za dobijanje boravišne dozvole na porodičnim osnovama. Prema mišljenju Evropskog suda, bez ikakvog objektivnog ili razumnog opravdanja, italijanska država je propustila da tretira istopolne parove različito u odnosu na heteroseksualne, iako je njihov položaj po pitanju zakonskog priznanja statusa i zadovoljenja zahteva za izdavanje boravišnih dozvola očigledno neravnopravan. U skladu s navedenim, Evropski sud je našao da je u ovom predmetu došlo do kršenja člana 14, zajedno sa članom 8. Evropske konvencije.</w:t>
      </w:r>
    </w:p>
    <w:p w:rsidR="00D16B65" w:rsidRPr="00D16B65" w:rsidRDefault="00D16B65" w:rsidP="00D16B65">
      <w:pPr>
        <w:tabs>
          <w:tab w:val="left" w:pos="709"/>
          <w:tab w:val="center" w:pos="4986"/>
        </w:tabs>
        <w:spacing w:line="276" w:lineRule="auto"/>
        <w:rPr>
          <w:rFonts w:cs="Arial"/>
        </w:rPr>
      </w:pPr>
      <w:r w:rsidRPr="00D16B65">
        <w:rPr>
          <w:rFonts w:cs="Arial"/>
        </w:rPr>
        <w:t>Pitanje ostvarivanja prava na poštovanje privatnog i porodičnog života istopolnih parova razmatrano je i u predmetu Pajić protiv Hrvatske (Pajić v. Croatia, predstavka br. 68453/13, presuda od 23. februara 2016. godine). I u ovom slučaju, zahtev za odobrenje privremenog boravka po osnovu spajanja porodice državljanke BiH odbijen je uz obrazloženje da njena zajednica s državljankom Hrvatske ne predstavlja porodicu prema važećem hrvatskom zakonodavstvu. Budući da instituti braka i vanbračne zajednice imaju u vidu zajednicu muškarca i žene, zajednica dve osobe istog pola ne može se podvesti pod zakonske pojmove braka, odnosno vanbračne zajednice, a time ni predstavljati osnov za odobrenje boravka strancu u svrhu spajanja porodice. U situaciji kada je mogućnost podnošenja zahteva za odobrenje privremenog boravka po osnovu spajanja porodice rezervisana isključivo za heteroseksualne parove, hrvatski zakon vrši diskriminaciju istopolnih parova u ostvarivanju prava na poštovanje privatnog i porodičnog života, što je Evropski sud svojom presudom i utvrdio.</w:t>
      </w:r>
    </w:p>
    <w:p w:rsidR="00D16B65" w:rsidRPr="00D16B65" w:rsidRDefault="00D16B65" w:rsidP="00D16B65">
      <w:pPr>
        <w:tabs>
          <w:tab w:val="left" w:pos="709"/>
          <w:tab w:val="center" w:pos="4986"/>
        </w:tabs>
        <w:spacing w:line="276" w:lineRule="auto"/>
        <w:rPr>
          <w:rFonts w:cs="Arial"/>
        </w:rPr>
      </w:pPr>
      <w:r w:rsidRPr="00D16B65">
        <w:rPr>
          <w:rFonts w:cs="Arial"/>
        </w:rPr>
        <w:t xml:space="preserve">Presudom u predmetu Čapin i Čarpentijer protiv Francuske (Chapin and Charpentier v. France, predstavka br. 40183/07, presuda od 9. juna 2016. godine), Evropski sud je utvrdio da državna politika očuvanja braka kao zajednice muškarca i žene ne predstavlja diskriminaciju. Podnosioci predstavke, gospodin Čapin i gospodin Čarpentijer, sklopili su </w:t>
      </w:r>
      <w:r w:rsidRPr="00D16B65">
        <w:rPr>
          <w:rFonts w:cs="Arial"/>
        </w:rPr>
        <w:lastRenderedPageBreak/>
        <w:t>2004. godine brak u Francuskoj. Ceremoniju venčanja obavio je gradonačelnik Bordoa i o toj činjenici izvršio odgovarajući upis u matične knjige. Nakon što je javni tužilac pokrenuo postupak za poništaj ovog braka, Okružni sud u Bordou je isti poništio. U postupku pred Evropskim sudom, podnosioci predstavke tvrdili su da su diskriminisani u ostvarivanju prava na sklapanje braka garantovanog članom 12. Evropske konvencije, budući da je zaključenje braka u Francuskoj rezervisano isključivo za parove suprotnog pola</w:t>
      </w:r>
      <w:r w:rsidR="00960F7D">
        <w:rPr>
          <w:rStyle w:val="FootnoteReference"/>
          <w:rFonts w:cs="Arial"/>
        </w:rPr>
        <w:footnoteReference w:id="176"/>
      </w:r>
      <w:r w:rsidRPr="00D16B65">
        <w:rPr>
          <w:rFonts w:cs="Arial"/>
        </w:rPr>
        <w:t>.  Evropski sud je utvrdio da Evropska konvencija ne garantuje pravo na brak istopolnih parova, ni u okviru ostvarivanja prava na privatni i porodični život, niti u okviru ostvarivanja prava na sklapanje braka. Ova odluka Evropskog suda potvrdila je niz drugih presuda donetih u njegovom radu. Pozivajući se na presudu u predmetu Šalk i Kopf protiv Austrije, Evropski sud je napomenuo da je pitanje istopolnih brakova „predmet nacionalnih zakona država ugovornica“</w:t>
      </w:r>
      <w:r w:rsidR="00960F7D">
        <w:rPr>
          <w:rStyle w:val="FootnoteReference"/>
          <w:rFonts w:cs="Arial"/>
        </w:rPr>
        <w:footnoteReference w:id="177"/>
      </w:r>
      <w:r w:rsidRPr="00D16B65">
        <w:rPr>
          <w:rFonts w:cs="Arial"/>
        </w:rPr>
        <w:t>.  Kako je dalje naveo, član 12. Evropske konvencije potvrđuje tradicionalan koncept braka koji predstavlja zajednicu muškarca i žene, te „ne nameće obavezu vladama država ugovornica da istopolnim parovima obezbede pristup braku“</w:t>
      </w:r>
      <w:r w:rsidR="00960F7D">
        <w:rPr>
          <w:rStyle w:val="FootnoteReference"/>
          <w:rFonts w:cs="Arial"/>
        </w:rPr>
        <w:footnoteReference w:id="178"/>
      </w:r>
      <w:r w:rsidRPr="00D16B65">
        <w:rPr>
          <w:rFonts w:cs="Arial"/>
        </w:rPr>
        <w:t>.  Kada je u pitanju princip nediskriminacije i pravo na poštovanje privatnog života garantovano članom 8. Evropske konvencije, Evropski sud je ponovio da su „države još uvek slobodne da pristup sklapanju braka rezervišu za heteroseksualne parove“</w:t>
      </w:r>
      <w:r w:rsidR="00960F7D">
        <w:rPr>
          <w:rStyle w:val="FootnoteReference"/>
          <w:rFonts w:cs="Arial"/>
        </w:rPr>
        <w:footnoteReference w:id="179"/>
      </w:r>
      <w:r w:rsidRPr="00D16B65">
        <w:rPr>
          <w:rFonts w:cs="Arial"/>
        </w:rPr>
        <w:t xml:space="preserve">. </w:t>
      </w:r>
    </w:p>
    <w:p w:rsidR="00D16B65" w:rsidRPr="00D16B65" w:rsidRDefault="00D16B65" w:rsidP="00D16B65">
      <w:pPr>
        <w:tabs>
          <w:tab w:val="left" w:pos="709"/>
          <w:tab w:val="center" w:pos="4986"/>
        </w:tabs>
        <w:spacing w:line="276" w:lineRule="auto"/>
        <w:rPr>
          <w:rFonts w:cs="Arial"/>
        </w:rPr>
      </w:pPr>
      <w:r w:rsidRPr="00D16B65">
        <w:rPr>
          <w:rFonts w:cs="Arial"/>
        </w:rPr>
        <w:t xml:space="preserve">I predmet Aldeguer Tomas protiv Španije (Aldeguer Tomás v. Spain, predstavka br. 35214/09, presuda od 14. juna 2016. godine) odnosio se na pitanje diskriminacije po osnovu seksualne orijentacije u ostvarivanju prava na poštovanje privatnog i porodičnog života. Podnosiocu predstavke uskraćeno je pravo na porodičnu penziju nakon smrti njegovog partnera s kojim je živeo u de facto bračnoj vezi. Budući da je partner podnosioca predstavke preminuo tri godine pre stupanja na snagu španskog Zakona o istopolnim brakovima, za ova dva partnera nije postojala pravna mogućnost za sklapanje braka u Španiji. Kako nije bio u bračnoj vezi s preminulim partnerom, prema Zakonu o opštem socijalnom osiguranju nije se mogao smatrati supružnikom, te je Nacionalni zavod za socijalno osiguranje odbio njegov zahtev za ostvarivanje prava na porodičnu penziju. U postupku pred Evropskim sudom, podnosilac predstavke je tvrdio da je Evropska konvencija prekršena zbog činjenice da Španija nije dozvoljavala sklapanje istopolnih brakova sve do 2005. godine. Evropski sud je zauzeo stanovište da države uživaju široko polje procene u pogledu datuma primene novih zakona i u ovom predmetu ponovio da Evropska konvencija ne obavezuje države ugovornice da istopolnim parovima obezbede pristup braku (videti Schalk and Kopf v. Austria, predstavka br. 30141/04, presuda od 24. juna 2010. godine). </w:t>
      </w:r>
    </w:p>
    <w:p w:rsidR="00135D51" w:rsidRDefault="00D16B65" w:rsidP="00D16B65">
      <w:pPr>
        <w:tabs>
          <w:tab w:val="left" w:pos="709"/>
          <w:tab w:val="center" w:pos="4986"/>
        </w:tabs>
        <w:spacing w:line="276" w:lineRule="auto"/>
        <w:rPr>
          <w:rFonts w:cs="Arial"/>
          <w:lang w:val="sr-Latn-RS"/>
        </w:rPr>
      </w:pPr>
      <w:r w:rsidRPr="00D16B65">
        <w:rPr>
          <w:rFonts w:cs="Arial"/>
        </w:rPr>
        <w:t xml:space="preserve">Diskriminacija Gurki u oblasti penzionog sistema bila je tema predmeta protiv Velike Britanije (British Gurkha Welfare Society and Others v. the United Kingdom, predstavka br. 44818/11, presuda od 15. septembra 2016. godine). Prema propisima Velike Britanije, svim Gurkama koje su ostvarile pravo na vojnu penziju nakon 1. jula 1997. godine ponuđeno je da se pravo na penziju od tog datuma prenese iz penzijske šeme Gurki u penzijski sistem oružanih snaga koji važi za ostale vojnike britanske krune, po principu godina za godinu. Pozivajući se na član 14. Evropske konvencije u vezi sa članom 1. Protokola 1. uz Konvenciju, podnosioci </w:t>
      </w:r>
      <w:r w:rsidRPr="00D16B65">
        <w:rPr>
          <w:rFonts w:cs="Arial"/>
        </w:rPr>
        <w:lastRenderedPageBreak/>
        <w:t>predstavke su se žalili da su Gurke koji su se penzionisali ili su veći deo radnog veka proveli u službi britanske vojske pre 1. jula 1997. godine diskriminisani po osnovu nacionalne pripadnosti. Razmatrajući ovaj slučaj, Evropski sud je prihvatio da su uslovi službe za Gurke bili relativno slični uslovima koji su važili za ostale vojnike oružanih snaga Velike Britanije, te da su Gurke mogli smatrati da imaju nepovoljniji tretman u pogledu visine penzije na koju imaju pravo. Evropski sud je podsetio da je neophodno da postoje veoma jaki razlozi da bi razlika u tretmanu koja je zasnovana isključivo na nacionalnoj pripadnosti bila u skladu s odredbama Evropske konvencije (videti Gaygusuz v. Austria, predstavka br. 17371/90, presuda od 16. septembra 1996. godine). Ipak, Evropski sud primećuje da države uživaju široko polje slobodne procene prilikom formulisanja i primene opštih mera ekonomske i socijalne politike. Nije prihvatio tvrdnju da je 1. jul 1997. godine proizvoljno odabran kao tačka preseka, već je ocenio da je to datum kada je matična evidencija Gurki preneta u Veliku Britaniju, odnosno da su od tada Gurke počeli da ostvaruju vezu s tom zemljom. Kada su u pitanju lica koja su penzionisana pre tog datuma, veza sa Velikom Britanijom nije postojala, a penziona šema koja je važila za Gurke je i dalje bila adekvatna, jer je mogla da zadovolji njihove potrebe s obzirom na to da je visina isplata po ovoj šemi više nego dovoljna za život u penziji u Nepalu, u koji su se obično vraćali nakon prestanka vojne službe. Iz svih navedenih razloga, Evropski sud je zaključio da su sve razlike u tretmanu objektivno i razumno opravdane.</w:t>
      </w:r>
    </w:p>
    <w:p w:rsidR="00FB2F15" w:rsidRPr="00FB2F15" w:rsidRDefault="00FB2F15" w:rsidP="00D16B65">
      <w:pPr>
        <w:tabs>
          <w:tab w:val="left" w:pos="709"/>
          <w:tab w:val="center" w:pos="4986"/>
        </w:tabs>
        <w:spacing w:line="276" w:lineRule="auto"/>
        <w:rPr>
          <w:rFonts w:cs="Arial"/>
          <w:b/>
          <w:lang w:val="sr-Latn-RS"/>
        </w:rPr>
      </w:pPr>
    </w:p>
    <w:p w:rsidR="00135D51" w:rsidRPr="00135D51" w:rsidRDefault="00FB2F15" w:rsidP="00D93153">
      <w:pPr>
        <w:pStyle w:val="Heading2"/>
        <w:numPr>
          <w:ilvl w:val="0"/>
          <w:numId w:val="12"/>
        </w:numPr>
        <w:spacing w:after="100" w:afterAutospacing="1" w:line="276" w:lineRule="auto"/>
        <w:ind w:left="426"/>
        <w:rPr>
          <w:rFonts w:ascii="Arial" w:hAnsi="Arial" w:cs="Arial"/>
          <w:sz w:val="22"/>
          <w:szCs w:val="22"/>
        </w:rPr>
      </w:pPr>
      <w:bookmarkStart w:id="28" w:name="_Toc477248616"/>
      <w:bookmarkStart w:id="29" w:name="_Toc477251741"/>
      <w:r>
        <w:rPr>
          <w:rFonts w:ascii="Arial" w:eastAsia="Calibri" w:hAnsi="Arial" w:cs="Arial"/>
          <w:sz w:val="22"/>
          <w:szCs w:val="22"/>
          <w:lang w:val="sr-Latn-RS"/>
        </w:rPr>
        <w:t>Praksa Poverenika</w:t>
      </w:r>
      <w:bookmarkEnd w:id="28"/>
      <w:bookmarkEnd w:id="29"/>
      <w:r>
        <w:rPr>
          <w:rFonts w:ascii="Arial" w:eastAsia="Calibri" w:hAnsi="Arial" w:cs="Arial"/>
          <w:sz w:val="22"/>
          <w:szCs w:val="22"/>
          <w:lang w:val="sr-Latn-RS"/>
        </w:rPr>
        <w:t xml:space="preserve"> za zaštitu ravnopravnosti</w:t>
      </w:r>
    </w:p>
    <w:p w:rsidR="005D0CF5" w:rsidRPr="005D0CF5" w:rsidRDefault="005D0CF5" w:rsidP="005D0CF5">
      <w:pPr>
        <w:spacing w:line="276" w:lineRule="auto"/>
        <w:rPr>
          <w:rFonts w:cs="Arial"/>
        </w:rPr>
      </w:pPr>
      <w:r w:rsidRPr="005D0CF5">
        <w:rPr>
          <w:rFonts w:cs="Arial"/>
        </w:rPr>
        <w:t>U ovom delu izveštaja biće predstavljena praksa Poverenika za zaštitu ravnopravnosti u 2016. godini. U toku 2016. godine Poverenik je postupao u 1.346 predmeta. Primljeno je 626 pritužbi, a pored postupanja po pritužbama građana, Poverenik je, u skladu s ovlašćenjima i instrumentima za borbu protiv diskriminacije, doneo 665 preporuka mera za ostvarivanje ravnopravnosti. Broj pritužbi u 2016. približno je isti kao i u 2015. godini (imajući u vidu da je u toku prošle godine zbog diskriminatorne zakonske odredbe u svega nekoliko dana podneto 97 pritužbi Povereniku i da su organizacije civilnog društva organizovale situaciono testiranje koje je rezultiralo podnošenjem 52 pritužbe), dok je broj preporuka mera za ostvarivanje ravnopravnosti koje je Poverenik uputio organima javne vlasti i drugim licima znatno povećan. Tokom 2016. godine dato je i 40 mišljenja na nacrte zakona i drugih opštih akata, podnete su tri krivične prijave, jedan zahtev za pokretanje prekršajnog postupka, inicijativa za izmenu zakona, kao i predlog Ustavnom sudu za ocenu ustavnosti i zakonitosti. Takođe, izdato je devet upozorenja javnosti i 25 saopštenja za javnost. U postupku po 51 pritužbi doneta su mišljenja, od čega u postupku po pet pritužbi nije utvrđena diskriminacija i izdate odgovarajuće preporuke, dok je u preostalim slučajevima utvrđena diskriminacija. U 14 slučajeva doneto je mišljenje kojim je utvrđena diskriminacija grupe lica (LGBT, osobe sa invaliditetom, pripadnici romske nacionalne manjine, žene i sl.), dok se u ostalim slučajevima radilo o diskriminaciji pojedinaca. Po preporukama koje se odnose na konkretne slučajeve diskriminacije postupljeno je u 76,7% slučajeva. Najveći broj preporuka po kojima nije postupljeno odnosi se na preporuke date u postupku po pritužbama zbog diskriminacije na osnovu seksualne orijentacije. Što se tiče preporuka mera za ostvarivanje ravnopravnosti koje su upućene organima javne vlasti i drugim licima, postupljeno je u 93,9% slučajeva, što ukupno s postupanjem po preporukama datim u pojedinačnim slučajevima u proseku iznosi 85,3%.</w:t>
      </w:r>
    </w:p>
    <w:p w:rsidR="005D0CF5" w:rsidRPr="005D0CF5" w:rsidRDefault="005D0CF5" w:rsidP="005D0CF5">
      <w:pPr>
        <w:spacing w:line="276" w:lineRule="auto"/>
        <w:rPr>
          <w:rFonts w:cs="Arial"/>
        </w:rPr>
      </w:pPr>
      <w:r w:rsidRPr="005D0CF5">
        <w:rPr>
          <w:rFonts w:cs="Arial"/>
        </w:rPr>
        <w:lastRenderedPageBreak/>
        <w:t>Najveći broj pritužbi zbog diskriminacije Povereniku za zaštitu ravnopravnosti podnela su fizička lica. Kao i prethodnih godina, muškarci se obraćaju češće nego žene, pa od svih pritužbi koje su podnela fizička lica, muškarci su podneli 58%, a žene oko 42%. Tokom 2016. godine, pravna lica podnela su 34 pritužbe, a organizacije civilnog društva 83. To je nešto manji broj pritužbi koje su podnele organizacije civilnog društva u odnosu na 2015. godinu.</w:t>
      </w:r>
    </w:p>
    <w:p w:rsidR="005D0CF5" w:rsidRPr="005D0CF5" w:rsidRDefault="005D0CF5" w:rsidP="005D0CF5">
      <w:pPr>
        <w:spacing w:line="276" w:lineRule="auto"/>
        <w:rPr>
          <w:rFonts w:cs="Arial"/>
        </w:rPr>
      </w:pPr>
      <w:r w:rsidRPr="005D0CF5">
        <w:rPr>
          <w:rFonts w:cs="Arial"/>
        </w:rPr>
        <w:t>Najviše pritužbi ove godine podneto je zbog diskriminacije na osnovu invaliditeta i pola, po 82 pritužbe, što zajedno predstavlja oko 25,8% od ukupnog broja pritužbi, odnosno 12,9% po svakom od ova dva osnova diskriminacije. Beleži se blagi porast broja pritužbi na osnovu invaliditeta u odnosu na prethodnu godinu, ali on i dalje ne pruža uvid u realan položaj osoba sa invaliditetom u društvu.</w:t>
      </w:r>
    </w:p>
    <w:p w:rsidR="005D0CF5" w:rsidRPr="005D0CF5" w:rsidRDefault="005D0CF5" w:rsidP="005D0CF5">
      <w:pPr>
        <w:spacing w:line="276" w:lineRule="auto"/>
        <w:rPr>
          <w:rFonts w:cs="Arial"/>
        </w:rPr>
      </w:pPr>
      <w:r w:rsidRPr="005D0CF5">
        <w:rPr>
          <w:rFonts w:cs="Arial"/>
        </w:rPr>
        <w:t xml:space="preserve">Učešće podnetih pritužbi po ovom osnovu diskriminacije približno je isto kao i prethodnih godina. U toku 2015. godine podnete su 73 pritužbe po ovom osnovu (11,3%). U prethodnim godinama ovaj osnov diskriminacije je bio među prva četiri osnova po broju podnetih pritužbi. Istraživanja međunarodnih organizacija i domaćih organizacija civilnog društva i institucija i praksa Poverenika pokazuju da su osobe sa invaliditetom najčešće diskriminisane u oblastima ostvarivanja prava na obrazovanje, rad i pristupačnost javnih objekata i površina, kao i usluga. U istraživanju Poverenika „Odnos građana i građanki prema diskriminaciji u Srbiji“, osobe s telesnim i senzornim invaliditetom su prepoznate kao najčešće diskriminisana grupa, u okviru koje su osobe s intelektualnim poteškoćama i mentalnim smetnjama navedene kao najdiskriminisanije. Skoro svi ispitanici (96%) izrazili su stav da javne ustanove moraju da budu pristupačne za sve osobe sa invaliditetom. Takođe, 66% građana smatra da društvo u predstojećem periodu mnogo pažnje treba da posveti ravnopravnosti osoba sa invaliditetom. </w:t>
      </w:r>
    </w:p>
    <w:p w:rsidR="005D0CF5" w:rsidRPr="005D0CF5" w:rsidRDefault="005D0CF5" w:rsidP="005D0CF5">
      <w:pPr>
        <w:spacing w:line="276" w:lineRule="auto"/>
        <w:rPr>
          <w:rFonts w:cs="Arial"/>
        </w:rPr>
      </w:pPr>
      <w:r w:rsidRPr="005D0CF5">
        <w:rPr>
          <w:rFonts w:cs="Arial"/>
        </w:rPr>
        <w:t>Pol kao osnov diskriminacije i ove godine zauzima prvo mesto po broju pritužbi, iako su pritužbe po ovom osnovu podnete u nešto manjem procentu nego što je to bio slučaj prethodne godine. Tokom 2015. godine, razlog za povećanje broja pritužbi u kojima je kao osnov diskriminacije naveden pol, nalazio se u činjenici da je Zakon o načinu određivanja maksimalnog broja zaposlenih u javnom sektoru  sadržao diskriminatorne odredbe (član 20) koje su se odnosile na penzionisanje zaposlenih u javnom sektoru</w:t>
      </w:r>
      <w:r w:rsidR="004E68B8">
        <w:rPr>
          <w:rStyle w:val="FootnoteReference"/>
          <w:rFonts w:cs="Arial"/>
        </w:rPr>
        <w:footnoteReference w:id="180"/>
      </w:r>
      <w:r w:rsidRPr="005D0CF5">
        <w:rPr>
          <w:rFonts w:cs="Arial"/>
        </w:rPr>
        <w:t>. Podsećanja radi, Poverenik za zaštitu ravnopravnosti je zajedno sa Zaštitnikom građana u 2015. godini podneo predlog za ocenu ustavnosti ove odredbe. Tim povodom Ustavni sud Srbije je doneo Odluku IUz 255/2015, od 30. juna 2016. godine, kojom je utvrdio da odredbe člana 20. Zakona o načinu određivanja maksimalnog broja zaposlenih u javnom sektoru nisu u saglasnosti sa Ustavom Republike Srbije.</w:t>
      </w:r>
    </w:p>
    <w:p w:rsidR="005D0CF5" w:rsidRPr="005D0CF5" w:rsidRDefault="005D0CF5" w:rsidP="005D0CF5">
      <w:pPr>
        <w:spacing w:line="276" w:lineRule="auto"/>
        <w:rPr>
          <w:rFonts w:cs="Arial"/>
        </w:rPr>
      </w:pPr>
      <w:r w:rsidRPr="005D0CF5">
        <w:rPr>
          <w:rFonts w:cs="Arial"/>
        </w:rPr>
        <w:t xml:space="preserve">U pogledu ovog osnova diskriminacije, uočljivo je da neuporedivo veći broj pritužbi podnose žene u odnosu na muškarce, i to naročito u oblasti rada i zapošljavanja. Žene su uglavnom podnosile pritužbe jer im zbog pola, ali i porodičnog statusa, nije bilo omogućeno da napreduju na poslu, ili zbog toga što su tokom odsustva s rada zbog nege deteta dobijale otkaz ugovora o radu ili su raspoređivane na druga radna mesta, koja su, po pravilu, nižeg ranga i s manjom zaradom. Takođe, u istraživanju javnog mnjenja „Odnos građana i građanki prema diskriminaciji u Srbiji“, 16% ispitanika kao prvu asocijaciju o tome koje su grupe najviše izložene diskriminaciji navelo je upravo žene. Kao jednu od prvih asocijacija na pojam diskriminacije građani su navodili diskriminaciju prilikom zapošljavanja na osnovu pola </w:t>
      </w:r>
      <w:r w:rsidRPr="005D0CF5">
        <w:rPr>
          <w:rFonts w:cs="Arial"/>
        </w:rPr>
        <w:lastRenderedPageBreak/>
        <w:t xml:space="preserve">i niže zarade žena za isti posao iste vrednosti. Iz navedenog se može zaključiti da se žene i dalje suočavaju s brojnim teškoćama i preprekama u ostvarivanju prava na ravnopravnost. </w:t>
      </w:r>
    </w:p>
    <w:p w:rsidR="005D0CF5" w:rsidRPr="005D0CF5" w:rsidRDefault="005D0CF5" w:rsidP="005D0CF5">
      <w:pPr>
        <w:spacing w:line="276" w:lineRule="auto"/>
        <w:rPr>
          <w:rFonts w:cs="Arial"/>
        </w:rPr>
      </w:pPr>
      <w:r w:rsidRPr="005D0CF5">
        <w:rPr>
          <w:rFonts w:cs="Arial"/>
        </w:rPr>
        <w:t>Na drugom mestu po brojnosti pritužbi je starosno doba, sa udelom od 11,8% od ukupnog broja pritužbi. Analiza pokazuje da se najveći broj pritužbi po ovom osnovu odnosi na decu i lica koja su starosnog doba od 50 do 65 godina. Kada se ta činjenica ima u vidu, onda ne iznenađuje podatak da je po ovom osnovu najviše pritužbi podneto u oblasti rada i zapošljavanja. Što se tiče dece, uočeno je da su posebno ranjive kategorije deca sa invaliditetom, i to naročito deca sa intelektualnim smetnjama i romska deca, a da je oblast u kojoj su najviše diskriminisani oblast obrazovanja i stručnog usavršavanja i oblast pružanja usluga.</w:t>
      </w:r>
    </w:p>
    <w:p w:rsidR="005D0CF5" w:rsidRPr="005D0CF5" w:rsidRDefault="005D0CF5" w:rsidP="005D0CF5">
      <w:pPr>
        <w:spacing w:line="276" w:lineRule="auto"/>
        <w:rPr>
          <w:rFonts w:cs="Arial"/>
        </w:rPr>
      </w:pPr>
      <w:r w:rsidRPr="005D0CF5">
        <w:rPr>
          <w:rFonts w:cs="Arial"/>
        </w:rPr>
        <w:t xml:space="preserve">Diskriminacija na osnovu nacionalne pripadnosti nalazi se na trećem mestu po broju pritužbi, i četvrti je osnov diskriminacije, iza pola, invaliditeta i starosnog doba. Primetan je pad broja pritužbi koje su podnete zbog diskriminacije na osnovu nacionalne pripadnosti i etničkog porekla u odnosu na prethodne godine. Tokom 2015. godine, ovaj osnov diskriminacije zauzimao je drugo mesto po broju podnetih pritužbi, sa učešćem od 18,4% od ukupnog broja pritužbi, dok je u 2016. godini učešće pritužbi po ovom osnovu 9,4%. U 2014. godini, ovaj osnov diskriminacije bio je na prvom mestu. I ove godine, najveći broj pritužbi po ovom osnovu podneto je zbog diskriminacije Roma (38,3%), s tim što je primetan pad u broju pritužbi koje su podneli pripadnici romske nacionalne manjine. U 2016. lica koja su pripadnici hrvatske nacionalne manjine nalaze se po broju pritužbi iza lica koja su pripadnici romske nacionalne manjine. Kao i prošle godine, najmanji broj pritužbi podneli su pripadnici slovačke nacionalne manjine. Takođe, u odnosu na prošlu godinu primetan je pad broja pritužbi koje su podneli pripadnici bošnjačke nacionalne manjine. Ove godine najveći broj pritužbi po osnovu nacionalne pripadnosti podneto je u oblasti rada i zapošljavanja, za razliku od 2015, kada je to bilo u oblasti postupanja organa javne vlasti. </w:t>
      </w:r>
    </w:p>
    <w:p w:rsidR="005D0CF5" w:rsidRPr="005D0CF5" w:rsidRDefault="005D0CF5" w:rsidP="005D0CF5">
      <w:pPr>
        <w:spacing w:line="276" w:lineRule="auto"/>
        <w:rPr>
          <w:rFonts w:cs="Arial"/>
        </w:rPr>
      </w:pPr>
      <w:r w:rsidRPr="005D0CF5">
        <w:rPr>
          <w:rFonts w:cs="Arial"/>
        </w:rPr>
        <w:t>Dalji redosled osnova diskriminacije prema broju pritužbi sličan je kao i prethodnih godina. Zbog zdravstvenog stanja podneto je 8,6% pritužbi, zbog porodičnog i bračnog statusa 8,2%, zatim zbog članstva u političkim, sindikalnim i drugim organizacijama 7,7% pritužbi, i imovnog stanja 5,7%.</w:t>
      </w:r>
    </w:p>
    <w:p w:rsidR="005D0CF5" w:rsidRPr="005D0CF5" w:rsidRDefault="005D0CF5" w:rsidP="005D0CF5">
      <w:pPr>
        <w:spacing w:line="276" w:lineRule="auto"/>
        <w:rPr>
          <w:rFonts w:cs="Arial"/>
        </w:rPr>
      </w:pPr>
      <w:r w:rsidRPr="005D0CF5">
        <w:rPr>
          <w:rFonts w:cs="Arial"/>
        </w:rPr>
        <w:t>Od ostalih osnova diskriminacije, verska i politička ubeđenja naznačena su kao osnov diskriminacije u 4,6% pritužbi, seksualna orijentacija u 4,1% pritužbi, osuđivanost u 2,8%, a državljanstvo u 1,6%. Broj pritužbi pojedinačno po drugim osnovama bio je manji od 3% tokom 2016. godine. Nešto je smanjen broj pritužbi na osnovu nekog od ličnih svojstava koja nisu eksplicitno navedena u Zakonu o zabrani diskriminacije (4,9% u odnosu na 8,8% u 2015. godini).</w:t>
      </w:r>
    </w:p>
    <w:p w:rsidR="005D0CF5" w:rsidRPr="005D0CF5" w:rsidRDefault="005D0CF5" w:rsidP="005D0CF5">
      <w:pPr>
        <w:spacing w:line="276" w:lineRule="auto"/>
        <w:rPr>
          <w:rFonts w:cs="Arial"/>
        </w:rPr>
      </w:pPr>
      <w:r w:rsidRPr="005D0CF5">
        <w:rPr>
          <w:rFonts w:cs="Arial"/>
        </w:rPr>
        <w:t xml:space="preserve">U pogledu oblasti društvenih odnosa u kojima se najčešće podnose pritužbe, trend se nastavlja, i oblast rada i zapošljavanja je opet ubedljivo na prvom mestu, s udelom od 33,9%. </w:t>
      </w:r>
    </w:p>
    <w:p w:rsidR="005D0CF5" w:rsidRPr="005D0CF5" w:rsidRDefault="005D0CF5" w:rsidP="005D0CF5">
      <w:pPr>
        <w:spacing w:line="276" w:lineRule="auto"/>
        <w:rPr>
          <w:rFonts w:cs="Arial"/>
        </w:rPr>
      </w:pPr>
      <w:r w:rsidRPr="005D0CF5">
        <w:rPr>
          <w:rFonts w:cs="Arial"/>
        </w:rPr>
        <w:t xml:space="preserve">Kao i prethodnih godina, postupak pred organima javne vlasti jeste oblast diskriminacije koja se nalazi u samom vrhu prema broju pritužbi, i sa 23,3% na istom je nivou kao i prethodne godine (23,2%). Sledeća oblast u kojoj građani najčešće podnose pritužbe zbog diskriminacije jeste pružanje javnih usluga i korišćenje objekata i površina. Imajući u vidu položaj osoba sa invaliditetom u našem društvu i nepristupačnost javnih i drugih objekata koji služe najrazličitijim namenama i zadovoljavanju raznovrsnih potreba, očekivano bi bilo da procenat pritužbi u ovoj oblasti bude i veći od 9,4%, koliko sada iznosi. S tim u vezi potrebno </w:t>
      </w:r>
      <w:r w:rsidRPr="005D0CF5">
        <w:rPr>
          <w:rFonts w:cs="Arial"/>
        </w:rPr>
        <w:lastRenderedPageBreak/>
        <w:t>je u narednom periodu dodatno raditi na podizanju svesti o pravu na slobodan pristup objektima i uslugama, bez diskriminacije.</w:t>
      </w:r>
    </w:p>
    <w:p w:rsidR="005D0CF5" w:rsidRPr="005D0CF5" w:rsidRDefault="005D0CF5" w:rsidP="005D0CF5">
      <w:pPr>
        <w:spacing w:line="276" w:lineRule="auto"/>
        <w:rPr>
          <w:rFonts w:cs="Arial"/>
        </w:rPr>
      </w:pPr>
      <w:r w:rsidRPr="005D0CF5">
        <w:rPr>
          <w:rFonts w:cs="Arial"/>
        </w:rPr>
        <w:t>Oblast obrazovanja i stručnog osposobljavanja nalazi se na četvrtom mestu, s obzirom na to da se 7,5% pritužbi odnosi na ovu sferu društvenih odnosa, a zatim slede zdravstvena zaštita (5%), javno informisanje i mediji (4,6%), dok je broj pritužbi pojedinačno u ostalim oblastima društvenih odnosa zastupljen u nešto manjem procentu, uglavnom ispod 3%.</w:t>
      </w:r>
    </w:p>
    <w:p w:rsidR="005D0CF5" w:rsidRPr="005D0CF5" w:rsidRDefault="005D0CF5" w:rsidP="005D0CF5">
      <w:pPr>
        <w:spacing w:line="276" w:lineRule="auto"/>
        <w:rPr>
          <w:rFonts w:cs="Arial"/>
        </w:rPr>
      </w:pPr>
      <w:r w:rsidRPr="005D0CF5">
        <w:rPr>
          <w:rFonts w:cs="Arial"/>
        </w:rPr>
        <w:t>Kao i prethodnih godina, najveći broj pritužbi podnet je protiv državnih organa, odnosno organa javne vlasti – 38,9%, što je nešto manje u odnosu na prethodnu godinu, kada je polovina ukupnog broja pritužbi bila podneta protiv državnih organa. Nakon toga slede pravna lica (30,5%) i fizička lica (20,3%). Ostalo čine grupe lica, organizacije i institucije, u značajno manjem procentu.</w:t>
      </w:r>
    </w:p>
    <w:p w:rsidR="005D0CF5" w:rsidRPr="005D0CF5" w:rsidRDefault="005D0CF5" w:rsidP="005D0CF5">
      <w:pPr>
        <w:spacing w:line="276" w:lineRule="auto"/>
        <w:rPr>
          <w:rFonts w:cs="Arial"/>
        </w:rPr>
      </w:pPr>
      <w:r w:rsidRPr="005D0CF5">
        <w:rPr>
          <w:rFonts w:cs="Arial"/>
        </w:rPr>
        <w:t>Najveći broj pritužbi, kao i u prethodnoj godini, primljen je iz Beogradskog regiona (29,7%), zatim sledi region Vojvodine (12,8%), iz kojeg je podneto nešto više pritužbi u odnosu na 2015. godinu, region Šumadije i zapadne Srbije (12,3%), region južne i istočne Srbije (11,7%) i region Kosova i Metohije (3,0%), u kojem je zabeležen porast.</w:t>
      </w:r>
    </w:p>
    <w:p w:rsidR="00135D51" w:rsidRDefault="005D0CF5" w:rsidP="005D0CF5">
      <w:pPr>
        <w:spacing w:line="276" w:lineRule="auto"/>
        <w:rPr>
          <w:rFonts w:cs="Arial"/>
          <w:lang w:val="sr-Latn-RS"/>
        </w:rPr>
      </w:pPr>
      <w:r w:rsidRPr="005D0CF5">
        <w:rPr>
          <w:rFonts w:cs="Arial"/>
        </w:rPr>
        <w:t>Raznovrsne aktivnosti Poverenika na približavanju ove institucije građanima daju dobre rezultate. Ipak, i dalje ima slučajeva obraćanja građana povodom događaja, ponašanja i akata koji ne predstavljaju diskriminaciju. U ovakvim slučajevima, podnosilac pritužbe se obaveštava o razlozima zbog kojih se dalje ne postupa po pritužbi, ali mu se istovremeno pružaju informacije o tome kome se može obratiti i na koji način može zaštititi svoja prava.</w:t>
      </w:r>
    </w:p>
    <w:p w:rsidR="005D0CF5" w:rsidRDefault="005D0CF5" w:rsidP="005D0CF5">
      <w:pPr>
        <w:spacing w:line="276" w:lineRule="auto"/>
        <w:rPr>
          <w:rFonts w:cs="Arial"/>
          <w:lang w:val="sr-Latn-RS"/>
        </w:rPr>
      </w:pPr>
    </w:p>
    <w:p w:rsidR="00135D51" w:rsidRPr="00135D51" w:rsidRDefault="004E68B8" w:rsidP="00D93153">
      <w:pPr>
        <w:pStyle w:val="Heading2"/>
        <w:numPr>
          <w:ilvl w:val="0"/>
          <w:numId w:val="12"/>
        </w:numPr>
        <w:spacing w:after="100" w:afterAutospacing="1" w:line="276" w:lineRule="auto"/>
        <w:ind w:left="426"/>
        <w:rPr>
          <w:rFonts w:ascii="Arial" w:eastAsia="Calibri" w:hAnsi="Arial" w:cs="Arial"/>
          <w:sz w:val="22"/>
          <w:szCs w:val="22"/>
        </w:rPr>
      </w:pPr>
      <w:bookmarkStart w:id="30" w:name="_Toc477248617"/>
      <w:bookmarkStart w:id="31" w:name="_Toc477251742"/>
      <w:r>
        <w:rPr>
          <w:rFonts w:ascii="Arial" w:eastAsia="Calibri" w:hAnsi="Arial" w:cs="Arial"/>
          <w:sz w:val="22"/>
          <w:szCs w:val="22"/>
          <w:lang w:val="sr-Latn-RS"/>
        </w:rPr>
        <w:t>Ključni problemi u ostvarivanju i zaštiti od diskriminacije</w:t>
      </w:r>
      <w:bookmarkEnd w:id="30"/>
      <w:bookmarkEnd w:id="31"/>
    </w:p>
    <w:p w:rsidR="00313106" w:rsidRPr="00313106" w:rsidRDefault="00313106" w:rsidP="00313106">
      <w:pPr>
        <w:spacing w:after="100" w:afterAutospacing="1" w:line="276" w:lineRule="auto"/>
        <w:rPr>
          <w:rFonts w:cs="Arial"/>
        </w:rPr>
      </w:pPr>
      <w:r w:rsidRPr="00313106">
        <w:rPr>
          <w:rFonts w:cs="Arial"/>
        </w:rPr>
        <w:t>Za uspešno suzbijanje diskriminacije i ostvarivanje ravnopravnosti neophodno je efikasno funkcionisanje svih mehanizama za zaštitu od diskriminacije, pre svega institucije Poverenika za zaštitu ravnopravnosti i sudova, ali i puna primena antidiskriminatornog pravnog okvira od svih organa javne vlasti, vođenje kvalitetne i jedinstvene evidencije o slučajevima diskriminacije u svim oblastima društvenog života, uvid u sva relevantna istraživanja, informacije o rasprostranjenosti ove pojave, kao i praćenje međunarodne i domaće antidiskriminacione prakse i politika. Od izuzetnog značaja je i visok nivo informisanosti i svesti građana o zabrani diskriminacije, ali i o značaju ostvarivanja principa ravnopravnosti za društveni i ekonomski razvoj i poboljšanje kvaliteta života svih građana.</w:t>
      </w:r>
    </w:p>
    <w:p w:rsidR="00313106" w:rsidRPr="00313106" w:rsidRDefault="00313106" w:rsidP="00313106">
      <w:pPr>
        <w:spacing w:after="100" w:afterAutospacing="1" w:line="276" w:lineRule="auto"/>
        <w:rPr>
          <w:rFonts w:cs="Arial"/>
        </w:rPr>
      </w:pPr>
      <w:r w:rsidRPr="00313106">
        <w:rPr>
          <w:rFonts w:cs="Arial"/>
        </w:rPr>
        <w:t>Iako se još uvek ne može govoriti o sistematskom i standardizovanom sistemu praćenja, odnosno prikupljanja i analizi podataka o rasprostranjenosti diskriminacije, obeležjima i oblicima ispoljavanja, najčešćim žrtvama diskriminacije,  oblastima u kojima se najčešće dešava, ko najčešće vrši diskriminaciju, u kojoj meri se koriste i kakva je efikasnost instrumenata pravne zaštite od diskriminacije, saznanja i zaključivanja o ovom fenomenu ipak su podignuta na viši nivo, a na osnovu više izvora podataka koji pružaju saznanja o stanju u ostvarivanju i zaštiti od diskriminacije u Srbiji. Radi daljeg poboljšanja stanja u ovoj oblasti Poverenik je, između ostalog, u ovom ali i prethodnom godišnjem izveštaju dao preporuku da je neophodno uspostaviti i operacionalizovati jedinstven, centralizovan i standardizovan sistem za prikupljanje, beleženje i analizu relevantnih podataka za praćenje pojave diskriminacije i načine funkcionisanja sistema pravne zaštite od diskriminacije.</w:t>
      </w:r>
    </w:p>
    <w:p w:rsidR="00313106" w:rsidRPr="00313106" w:rsidRDefault="00313106" w:rsidP="00313106">
      <w:pPr>
        <w:spacing w:after="100" w:afterAutospacing="1" w:line="276" w:lineRule="auto"/>
        <w:rPr>
          <w:rFonts w:cs="Arial"/>
        </w:rPr>
      </w:pPr>
      <w:r w:rsidRPr="00313106">
        <w:rPr>
          <w:rFonts w:cs="Arial"/>
        </w:rPr>
        <w:lastRenderedPageBreak/>
        <w:t>Iako su prisutne pozitivne tendencije, država se i dalje suočava sa značajnim izazovima u zaštiti građana od diskriminacije. Rezultati pomenutog istraživanja javnog mnjenja sprovedenog u toku 2016. godine pokazuju da najveći broj građana i dalje nema dovoljno znanja da prepozna diskriminaciju, trećina ne zna da je diskriminacija zabranjena zakonom ili smatra da nije, a većina ispitanih veruje da ih državne institucije i mediji ne informišu u dovoljnoj meri o problemu diskriminacije. Najznačajniji pozitivni pokazatelj jeste da je znatno povećan broj građana koji bi se obratili institucijama države, pre svega policiji i Povereniku, u slučaju da dožive diskriminaciju.</w:t>
      </w:r>
    </w:p>
    <w:p w:rsidR="00313106" w:rsidRPr="00313106" w:rsidRDefault="00313106" w:rsidP="00313106">
      <w:pPr>
        <w:spacing w:after="100" w:afterAutospacing="1" w:line="276" w:lineRule="auto"/>
        <w:rPr>
          <w:rFonts w:cs="Arial"/>
        </w:rPr>
      </w:pPr>
      <w:r w:rsidRPr="00313106">
        <w:rPr>
          <w:rFonts w:cs="Arial"/>
        </w:rPr>
        <w:t xml:space="preserve">Postojećim antidiskriminacionim zakonodavstvom u Srbiji postavljen je čvrst temelj za unapređenje ravnopravnosti i suzbijanje diskriminacije, ali je taj pravni okvir potrebno unapređivati i usklađivati s pravnim tekovinama Evropske unije i međunarodnim standardima. S tim u vezi treba naglasiti da je Republika Srbija u pregovaračkom procesu pristupanja Evropskoj uniji otvorila i određena pregovaračka poglavlja. S obzirom na to da je poslednjih godina napravljen pomak u reformisanju određenih delova pravnog sistema i usvojen čitav niz strateških dokumenata, uključujući i u oblasti antidiskriminacije, Akcionim planom za Poglavlje 23 detaljnije su razrađeni strateški ciljevi i aktivnosti koje je neophodno sprovesti. U tom smislu u 2016. godini Poverenik je u skladu s Akcionim planom za Poglavlje 23 izradio i analizu dosadašnje primene Zakona o zabrani diskriminacije i njegove usaglašenosti s antidiskriminacionim zakonodavstvom Evropske unije.  </w:t>
      </w:r>
    </w:p>
    <w:p w:rsidR="00313106" w:rsidRPr="00313106" w:rsidRDefault="00313106" w:rsidP="00313106">
      <w:pPr>
        <w:spacing w:after="100" w:afterAutospacing="1" w:line="276" w:lineRule="auto"/>
        <w:rPr>
          <w:rFonts w:cs="Arial"/>
        </w:rPr>
      </w:pPr>
      <w:r w:rsidRPr="00313106">
        <w:rPr>
          <w:rFonts w:cs="Arial"/>
        </w:rPr>
        <w:t xml:space="preserve">Takođe, kako bi se unapredio pravni okvir za povećanje efikasnosti zaštite od diskriminacije i usaglasio s propisima Evropske unije, potrebno je doneti ili unaprediti i druge propise koji mogu biti od uticaja na ostvarivanje ravnopravnosti i unapređenje položaja pojedinih marginalizovanih grupa (primera radi, Zakon o besplatnoj pravnoj pomoći, izmena Zakona o finansijskoj podršci porodici s decom, Zakona o vanparničnom postupku i dr.). </w:t>
      </w:r>
    </w:p>
    <w:p w:rsidR="00313106" w:rsidRPr="00313106" w:rsidRDefault="00313106" w:rsidP="00313106">
      <w:pPr>
        <w:spacing w:after="100" w:afterAutospacing="1" w:line="276" w:lineRule="auto"/>
        <w:rPr>
          <w:rFonts w:cs="Arial"/>
        </w:rPr>
      </w:pPr>
      <w:r w:rsidRPr="00313106">
        <w:rPr>
          <w:rFonts w:cs="Arial"/>
        </w:rPr>
        <w:t xml:space="preserve">Na osnovu pritužbi koje su podnete Povereniku u 2016. godini može se konstatovati da su Srbiji diskriminaciji najviše izložene žene i osobe sa invaliditetom, dok je diskriminacija na osnovu starosnog doba takođe prisutna u velikoj meri. Oblast obrazovanja, stručnog osposobljavanja i pružanja usluga predstavljaju sfere u kojima se osobe sa invaliditetom najčešće susreću s diskriminacijom. Žene su izložene diskriminaciji posebno na tržištu rada, a veliki problem i dalje predstavlja rodno zasnovano nasilje. Položaj romske nacionalne manjine je i dalje loš, bez obzira na manji broj pritužbi koji je ove godine podnet, a diskriminaciji su izloženi u gotovo svim oblastima društvenog života, a pre svega u oblasti obrazovanja, rada i zapošljavanja i prilikom ostvarivanja prava pred organima javne vlasti. </w:t>
      </w:r>
    </w:p>
    <w:p w:rsidR="00313106" w:rsidRPr="00313106" w:rsidRDefault="00313106" w:rsidP="00313106">
      <w:pPr>
        <w:spacing w:after="100" w:afterAutospacing="1" w:line="276" w:lineRule="auto"/>
        <w:rPr>
          <w:rFonts w:cs="Arial"/>
        </w:rPr>
      </w:pPr>
      <w:r w:rsidRPr="00313106">
        <w:rPr>
          <w:rFonts w:cs="Arial"/>
        </w:rPr>
        <w:t xml:space="preserve">Praksa Poverenika za zaštitu ravnopravnosti takođe pokazuje da je prisutna i diskriminacija na osnovu zdravstvenog stanja, bračnog ili porodičnog statusa, članstva u političkim, sindikalnim i drugim organizacijama, imovnog stanja, verskih ili političkih ubeđenja i seksualne orijentacije. </w:t>
      </w:r>
    </w:p>
    <w:p w:rsidR="00313106" w:rsidRPr="00313106" w:rsidRDefault="00313106" w:rsidP="00313106">
      <w:pPr>
        <w:spacing w:after="100" w:afterAutospacing="1" w:line="276" w:lineRule="auto"/>
        <w:rPr>
          <w:rFonts w:cs="Arial"/>
        </w:rPr>
      </w:pPr>
      <w:r w:rsidRPr="00313106">
        <w:rPr>
          <w:rFonts w:cs="Arial"/>
        </w:rPr>
        <w:t xml:space="preserve">Prema sprovedenim istraživanjima, osobe sa invaliditetom su jedna od najugroženijih i najdiskriminisanijih društvenih grupa u svim oblastima javnog i privatnog života. Smetnje za ravnopravno uključivanje osoba sa invaliditetom, kao i otežan pristup objektima i uslugama, značajno pogoršavaju njihov položaj u društvu. Iako i istraživanja javnog mnjenja pokazuju da ispitanici gotovo jednoglasno (96%) smatraju da javne ustanove moraju da budu </w:t>
      </w:r>
      <w:r w:rsidRPr="00313106">
        <w:rPr>
          <w:rFonts w:cs="Arial"/>
        </w:rPr>
        <w:lastRenderedPageBreak/>
        <w:t xml:space="preserve">pristupačne za sve osobe sa invaliditetom, relativno mali broj pritužbi podnet je Povereniku zbog fizičkih barijera i nepristupačnosti objekata. </w:t>
      </w:r>
    </w:p>
    <w:p w:rsidR="00313106" w:rsidRPr="00313106" w:rsidRDefault="00313106" w:rsidP="00313106">
      <w:pPr>
        <w:spacing w:after="100" w:afterAutospacing="1" w:line="276" w:lineRule="auto"/>
        <w:rPr>
          <w:rFonts w:cs="Arial"/>
        </w:rPr>
      </w:pPr>
      <w:r w:rsidRPr="00313106">
        <w:rPr>
          <w:rFonts w:cs="Arial"/>
        </w:rPr>
        <w:t>Što se tiče pola kao osnova diskriminacije, uočljivo je da su uglavnom žene podnosile pritužbe, jer im zbog pola, ali i porodičnog statusa, nije bilo omogućeno da napreduju na poslu, ili zbog toga što su tokom odsustva s rada zbog nege deteta dobijale otkaz ugovora o radu ili su raspoređivane na druga radna mesta, koja su, po pravilu, nižeg ranga i s manjom zaradom.</w:t>
      </w:r>
    </w:p>
    <w:p w:rsidR="00313106" w:rsidRPr="00313106" w:rsidRDefault="00313106" w:rsidP="00313106">
      <w:pPr>
        <w:spacing w:after="100" w:afterAutospacing="1" w:line="276" w:lineRule="auto"/>
        <w:rPr>
          <w:rFonts w:cs="Arial"/>
        </w:rPr>
      </w:pPr>
      <w:r w:rsidRPr="00313106">
        <w:rPr>
          <w:rFonts w:cs="Arial"/>
        </w:rPr>
        <w:t xml:space="preserve">Važno je uočiti da je veći broj pritužbi podnet zbog diskriminacije na osnovu starosnog doba, koja pogađa decu, najviše u oblasti obrazovanja, stručnog usavršavanja i pružanja usluga, kao i, u oblasti zapošljavanja i rada, građane starosnog doba od 50 do 65 godina, koji predstavljaju i teže zaposlivu grupu lica. </w:t>
      </w:r>
    </w:p>
    <w:p w:rsidR="00313106" w:rsidRPr="00313106" w:rsidRDefault="00313106" w:rsidP="00313106">
      <w:pPr>
        <w:spacing w:after="100" w:afterAutospacing="1" w:line="276" w:lineRule="auto"/>
        <w:rPr>
          <w:rFonts w:cs="Arial"/>
        </w:rPr>
      </w:pPr>
      <w:r w:rsidRPr="00313106">
        <w:rPr>
          <w:rFonts w:cs="Arial"/>
        </w:rPr>
        <w:t>Prema pomenutom istraživanju, građani vide Rome, pripadnike LGBT populacije i siromašne kao grupe koje su u najvećoj meri diskriminisane u Republici Srbiji. Pored toga,  LGBT populacija je u nepovoljnijem položaju, jer su percipirani i kao grupa prema kojoj je izražena i najveća socijalna distanca. Međutim, broj podnetih pritužbi zbog diskriminacije ove manjinske grupe nije veliki. Karakteristično je da je najviše pritužbi podneto zbog diskriminacije LGBT osoba u oblasti javnog informisanja i medija, a u najvećem broju slučajeva podnosioci pritužbi bile su organizacije civilnog društva. Pritužbe romske nacionalne manjine zauzimaju najveće učešće u broju podnetih pritužbi na osnovu nacionalne pripadnosti ili etničkog porekla, a nalaze se upravo i u istraživanju na prvom mestu, kao najdiskriminisanija društvena grupa. Podnosioci ovih pritužbi su pretežno organizacije civilnog društva. Siromašni građani su takođe percipirani kao jedna od tri najviše diskriminisane društvene grupe, međutim, broj pritužbi po osnovu imovnog stanja je zanemarljivo mali, i podnose ih uglavnom fizička lica.</w:t>
      </w:r>
    </w:p>
    <w:p w:rsidR="00313106" w:rsidRPr="00313106" w:rsidRDefault="00313106" w:rsidP="00313106">
      <w:pPr>
        <w:spacing w:after="100" w:afterAutospacing="1" w:line="276" w:lineRule="auto"/>
        <w:rPr>
          <w:rFonts w:cs="Arial"/>
        </w:rPr>
      </w:pPr>
      <w:r w:rsidRPr="00313106">
        <w:rPr>
          <w:rFonts w:cs="Arial"/>
        </w:rPr>
        <w:t xml:space="preserve">Prema broju podnetih pritužbi, u toku 2016. godine najviše pritužbi je podneto u oblasti rada i zapošljavanja i u postupku pred organima javne vlasti. Imajući u vidu sprovedena istraživanja, izveštaje međunarodnih i domaćih organizacija, kao i praksu Poverenika, potrebno je u narednoj godini dodatno raditi na unapređenju ravnopravnosti i zaštiti od diskriminacije, naročito u navedenim oblastima društvenog života, pre svega povećanjem informisanosti građana o diskriminaciji kao negativnoj društvenoj pojavi, mogućnostima zaštite od diskriminacije i podizanjem svesti različitih profesionalnih grupa o pojmu i oblicima  diskriminacije.  Dosadašnja praksa Poverenika je pokazala da su preporuke mera jedan od najefikasnijih preventivnih mehanizama u suzbijanju diskriminacije. </w:t>
      </w:r>
    </w:p>
    <w:p w:rsidR="00313106" w:rsidRPr="00313106" w:rsidRDefault="00313106" w:rsidP="00313106">
      <w:pPr>
        <w:spacing w:after="100" w:afterAutospacing="1" w:line="276" w:lineRule="auto"/>
        <w:rPr>
          <w:rFonts w:cs="Arial"/>
        </w:rPr>
      </w:pPr>
      <w:r w:rsidRPr="00313106">
        <w:rPr>
          <w:rFonts w:cs="Arial"/>
        </w:rPr>
        <w:t>Važno je naglasiti da obrazovni sistem utiče na formiranje stavova dece i ima važnu ulogu u izgradnji, ali i razgradnji stereotipa koji su čest uzrok diskriminacije. Ohrabruje činjenica da je u toku 2016. godine postupljeno po preporuci Poverenika iz Redovnog godišnjeg izveštaja usvajanjem Pravilnika o bližim kriterijumima za prepoznavanje oblika diskriminacije od strane zaposlenog, deteta, učenika ili trećeg lica u ustanovi obrazovanja i vaspitanja. Neophodno je dalje kontinuirano raditi na otklanjanju prepreka za ostvarivanje jednakog prava na obrazovanje, a naročito po pitanju dostupnosti za svu decu bez diskriminacije.</w:t>
      </w:r>
    </w:p>
    <w:p w:rsidR="00313106" w:rsidRPr="00313106" w:rsidRDefault="00313106" w:rsidP="00313106">
      <w:pPr>
        <w:spacing w:after="100" w:afterAutospacing="1" w:line="276" w:lineRule="auto"/>
        <w:rPr>
          <w:rFonts w:cs="Arial"/>
        </w:rPr>
      </w:pPr>
      <w:r w:rsidRPr="00313106">
        <w:rPr>
          <w:rFonts w:cs="Arial"/>
        </w:rPr>
        <w:t xml:space="preserve">Uloga medija u savremenom društvu u formiranju stavova i vrednosti je velika, tako da mediji neminovno utiču i na formiranje odnosa pojedinca prema ravnopravnosti i diskriminaciji. </w:t>
      </w:r>
      <w:r w:rsidRPr="00313106">
        <w:rPr>
          <w:rFonts w:cs="Arial"/>
        </w:rPr>
        <w:lastRenderedPageBreak/>
        <w:t xml:space="preserve">Prema istraživanju, građani prepoznaju medije kao jednog od aktera koji ima najveći uticaj na stepen diskriminacije u društvu. Dok, s jedne strane, građani vide medije kao aktera koji trenutno u velikoj meri dovodi do diskriminacije, isto tako smatraju da mediji mogu da imaju veoma značajnu ulogu u suzbijanju diskriminacije. </w:t>
      </w:r>
    </w:p>
    <w:p w:rsidR="00313106" w:rsidRPr="00313106" w:rsidRDefault="00313106" w:rsidP="00313106">
      <w:pPr>
        <w:spacing w:after="100" w:afterAutospacing="1" w:line="276" w:lineRule="auto"/>
        <w:rPr>
          <w:rFonts w:cs="Arial"/>
        </w:rPr>
      </w:pPr>
      <w:r w:rsidRPr="00313106">
        <w:rPr>
          <w:rFonts w:cs="Arial"/>
        </w:rPr>
        <w:t xml:space="preserve">U okviru pregleda po osnovima diskriminacije biće prikazan opis stanja kroz istraživanja, izveštaje relevantnih organizacija i institucija i praksu i postupanje Poverenika u suzbijanju diskriminacije i unapređenju ravnopravnosti. Pored toga, radi približavanja problema diskriminacije građanima, dati su primeri pojedinih mišljenja, preporuka mera, izdatih upozorenja i saopštenja datih u 2016. godini. </w:t>
      </w:r>
    </w:p>
    <w:p w:rsidR="00313106" w:rsidRPr="00313106" w:rsidRDefault="00313106" w:rsidP="00313106">
      <w:pPr>
        <w:spacing w:after="100" w:afterAutospacing="1" w:line="276" w:lineRule="auto"/>
        <w:rPr>
          <w:rFonts w:cs="Arial"/>
        </w:rPr>
      </w:pPr>
      <w:r w:rsidRPr="00313106">
        <w:rPr>
          <w:rFonts w:cs="Arial"/>
        </w:rPr>
        <w:t xml:space="preserve">Nakon toga, u izveštaju će posebno biti reči o aktivnostima Poverenika koje su se odnosile na podnošenje predloga za ocenu ustavnosti; inicijative za izmenu zakona; mišljenja na nacrte zakona i drugih opštih akata; o sudskim postupcima (parnični, prekršajni, krivični), kao i o ishodima postupaka koje je Poverenik vodio.  </w:t>
      </w:r>
    </w:p>
    <w:p w:rsidR="00135D51" w:rsidRPr="00135D51" w:rsidRDefault="00313106" w:rsidP="00313106">
      <w:pPr>
        <w:spacing w:after="100" w:afterAutospacing="1" w:line="276" w:lineRule="auto"/>
        <w:rPr>
          <w:rFonts w:cs="Arial"/>
        </w:rPr>
      </w:pPr>
      <w:r w:rsidRPr="00313106">
        <w:rPr>
          <w:rFonts w:cs="Arial"/>
        </w:rPr>
        <w:t xml:space="preserve">Detaljniji statistički podaci o radu Poverenika za zaštitu ravnopravnosti dati su na kraju ovog izveštaja, pod naslovom „Statistički prikaz rada Poverenika u 2016. Godini“. Osim u ovom delu izveštaja, u kojem su predstavljeni slučajevi u kojima je Poverenik postupao, sva mišljenja i preporuke, kao i svi drugi akti koje je Poverenik doneo, objavljeni su na internet prezentaciji Poverenika za zaštitu ravnopravnosti. </w:t>
      </w:r>
      <w:r w:rsidR="00135D51" w:rsidRPr="00135D51">
        <w:rPr>
          <w:rFonts w:cs="Arial"/>
        </w:rPr>
        <w:t xml:space="preserve"> </w:t>
      </w:r>
    </w:p>
    <w:p w:rsidR="00135D51" w:rsidRPr="00135D51" w:rsidRDefault="004F610A" w:rsidP="00D93153">
      <w:pPr>
        <w:pStyle w:val="Heading3"/>
        <w:numPr>
          <w:ilvl w:val="0"/>
          <w:numId w:val="41"/>
        </w:numPr>
      </w:pPr>
      <w:bookmarkStart w:id="32" w:name="_Toc477248618"/>
      <w:bookmarkStart w:id="33" w:name="_Toc477251743"/>
      <w:r>
        <w:rPr>
          <w:lang w:val="sr-Latn-RS"/>
        </w:rPr>
        <w:t>Diskriminacija na osnovu invaliditeta</w:t>
      </w:r>
      <w:bookmarkEnd w:id="32"/>
      <w:bookmarkEnd w:id="33"/>
      <w:r w:rsidR="00135D51" w:rsidRPr="00135D51">
        <w:t xml:space="preserve"> </w:t>
      </w:r>
    </w:p>
    <w:p w:rsidR="004F610A" w:rsidRPr="004F610A" w:rsidRDefault="004F610A" w:rsidP="004F610A">
      <w:pPr>
        <w:spacing w:line="276" w:lineRule="auto"/>
        <w:rPr>
          <w:rFonts w:cs="Arial"/>
        </w:rPr>
      </w:pPr>
      <w:r w:rsidRPr="004F610A">
        <w:rPr>
          <w:rFonts w:cs="Arial"/>
        </w:rPr>
        <w:t>U Republici Srbiji se već dugi niz godina sprovodi proces opsežnih reformi u svim oblastima društvenog života, uz istovremeno usklađivanje nacionalnog zakonodavstva sa standardima Evropske unije. Tako su i u oblasti unapređenja položaja osoba sa invaliditetom, u najširem smislu, do sada izvršeni pomaci, ali imajući u vidu da brojni rizici socijalne isključenosti osoba sa invaliditetom imaju tendenciju umnožavanja, potrebno je, primenom multidisciplinarnog i multisektorskog pristupa, konstantno delovati i preduzimati različite aktivnosti kako bi se ovi rizici sveli na najmanju meru</w:t>
      </w:r>
      <w:r w:rsidR="00266D7B">
        <w:rPr>
          <w:rStyle w:val="FootnoteReference"/>
          <w:rFonts w:cs="Arial"/>
        </w:rPr>
        <w:footnoteReference w:id="181"/>
      </w:r>
      <w:r w:rsidRPr="004F610A">
        <w:rPr>
          <w:rFonts w:cs="Arial"/>
        </w:rPr>
        <w:t xml:space="preserve">. </w:t>
      </w:r>
    </w:p>
    <w:p w:rsidR="004F610A" w:rsidRPr="004F610A" w:rsidRDefault="004F610A" w:rsidP="004F610A">
      <w:pPr>
        <w:spacing w:line="276" w:lineRule="auto"/>
        <w:rPr>
          <w:rFonts w:cs="Arial"/>
        </w:rPr>
      </w:pPr>
      <w:r w:rsidRPr="004F610A">
        <w:rPr>
          <w:rFonts w:cs="Arial"/>
        </w:rPr>
        <w:t>Kao što je već pomenuto, prema istraživanju koje je sproveo IDEAS, osobe sa invaliditetom čine 8% od ukupnog broja stanovnika u Republici Srbiji. Prosečna starost osoba s invaliditetom je oko 67 godina, tako da je čak 71% ovih lica u starosnom kontingentu 65 i više godina</w:t>
      </w:r>
      <w:r w:rsidR="00266D7B">
        <w:rPr>
          <w:rStyle w:val="FootnoteReference"/>
          <w:rFonts w:cs="Arial"/>
        </w:rPr>
        <w:footnoteReference w:id="182"/>
      </w:r>
      <w:r w:rsidRPr="004F610A">
        <w:rPr>
          <w:rFonts w:cs="Arial"/>
        </w:rPr>
        <w:t>.  Ekonomski i socijalni status osoba sa invaliditetom, položaj na tržištu rada i u obrazovnom sistemu, ograničen pristup ostvarivanju prava iz oblasti zdravstva, kao i društvena sredina bogata barijerama i predrasudama, bez adekvatne podrške, čine okruženje koje ovoj grupi ne pruža jednake mogućnosti za ostvarivanje prava.</w:t>
      </w:r>
    </w:p>
    <w:p w:rsidR="004F610A" w:rsidRPr="004F610A" w:rsidRDefault="004F610A" w:rsidP="004F610A">
      <w:pPr>
        <w:spacing w:line="276" w:lineRule="auto"/>
        <w:rPr>
          <w:rFonts w:cs="Arial"/>
        </w:rPr>
      </w:pPr>
      <w:r w:rsidRPr="004F610A">
        <w:rPr>
          <w:rFonts w:cs="Arial"/>
        </w:rPr>
        <w:t xml:space="preserve">U istraživanju Poverenika za zaštitu ravnopravnosti „Odnos građana i građanki prema diskriminaciji u Srbiji“, osobe s telesnim i senzornim invaliditetom su prepoznate kao najčešće diskriminisana grupa, u okviru koje su osobe sa intelektualnim poteškoćama i mentalnim smetnjama navedene kao najdiskriminisanije. Skoro svi ispitanici (96%) izrazili su </w:t>
      </w:r>
      <w:r w:rsidRPr="004F610A">
        <w:rPr>
          <w:rFonts w:cs="Arial"/>
        </w:rPr>
        <w:lastRenderedPageBreak/>
        <w:t>stav da javne ustanove moraju da budu pristupačne za sve osobe sa invaliditetom. Takođe, 66% građana smatra da društvo u predstojećem periodu mnogo pažnje treba da posveti ravnopravnosti osoba sa invaliditetom.</w:t>
      </w:r>
    </w:p>
    <w:p w:rsidR="004F610A" w:rsidRPr="004F610A" w:rsidRDefault="004F610A" w:rsidP="004F610A">
      <w:pPr>
        <w:spacing w:line="276" w:lineRule="auto"/>
        <w:rPr>
          <w:rFonts w:cs="Arial"/>
        </w:rPr>
      </w:pPr>
      <w:r w:rsidRPr="004F610A">
        <w:rPr>
          <w:rFonts w:cs="Arial"/>
        </w:rPr>
        <w:t>Prema sprovedenom istraživanju, najvećem broju osoba sa invaliditetom potrebna je pomoć u kući (78%) i podrška prilikom kretanja u zajednici i opštenja sa javnim službama (80%), usluge personalne asistencije (40%), pri čemu je najvećem broju potrebna svakodnevna podrška u komunikaciji i socijalizaciji. Oko 7% osoba sa invaliditetom ima potrebu za uslugama nadzora i savetovanja, koja je u najvećoj meri potrebna deci sa smetnjama u razvoju</w:t>
      </w:r>
      <w:r w:rsidR="00266D7B">
        <w:rPr>
          <w:rStyle w:val="FootnoteReference"/>
          <w:rFonts w:cs="Arial"/>
        </w:rPr>
        <w:footnoteReference w:id="183"/>
      </w:r>
      <w:r w:rsidRPr="004F610A">
        <w:rPr>
          <w:rFonts w:cs="Arial"/>
        </w:rPr>
        <w:t>.  U istom istraživanju organizacije IDEAS ocenjeno je da osobama sa invaliditetom, osim toga što nisu dostupne usluge u zajednici, nisu pristupačne ni institucije. Tako za dve trećine osoba sa invaliditetom (66%) većina institucija nije pristupačna (zdravstvo, kultura, obrazovanje, pravosuđe, zapošljavanje, centri za socijalni rad). Bez obzira na postojanje niza propisa kojima je stvoren pravni okvir za otklanjanje fizičkih barijera, osobe sa invaliditetom su svakodnevno suočene sa preprekama prilikom kretanja, korišćenja prevoza, ulaska i kretanja kroz razne javne objekte i površine, kao i sa nepristupačnošću objekata za stanovanje. Veoma je izražen i otežan pristup informacijama i komunikacijama, dok mediji uglavnom nisu pristupačni osobama sa senzornim invaliditetom.</w:t>
      </w:r>
    </w:p>
    <w:p w:rsidR="004F610A" w:rsidRPr="004F610A" w:rsidRDefault="004F610A" w:rsidP="004F610A">
      <w:pPr>
        <w:spacing w:line="276" w:lineRule="auto"/>
        <w:rPr>
          <w:rFonts w:cs="Arial"/>
        </w:rPr>
      </w:pPr>
      <w:r w:rsidRPr="004F610A">
        <w:rPr>
          <w:rFonts w:cs="Arial"/>
        </w:rPr>
        <w:t>I prema analizama Tima za socijalno uključivanje i smanjenje siromaštva, usluge socijalne zaštite u nadležnosti jedinica lokalne samouprave nisu razvijene u dovoljnom obimu i neravnomerno su zastupljene. Pojedine usluge, kao predah, svratište i porodični saradnik, uspostavljane su uglavnom u većim gradovima, dok su usluge podrške za samostalan život osoba sa invaliditetom izrazito nerazvijene</w:t>
      </w:r>
      <w:r w:rsidR="00266D7B">
        <w:rPr>
          <w:rStyle w:val="FootnoteReference"/>
          <w:rFonts w:cs="Arial"/>
        </w:rPr>
        <w:footnoteReference w:id="184"/>
      </w:r>
      <w:r w:rsidRPr="004F610A">
        <w:rPr>
          <w:rFonts w:cs="Arial"/>
        </w:rPr>
        <w:t xml:space="preserve">. </w:t>
      </w:r>
    </w:p>
    <w:p w:rsidR="004F610A" w:rsidRPr="004F610A" w:rsidRDefault="004F610A" w:rsidP="004F610A">
      <w:pPr>
        <w:spacing w:line="276" w:lineRule="auto"/>
        <w:rPr>
          <w:rFonts w:cs="Arial"/>
        </w:rPr>
      </w:pPr>
      <w:r w:rsidRPr="004F610A">
        <w:rPr>
          <w:rFonts w:cs="Arial"/>
        </w:rPr>
        <w:t>Istraživanje „Obrazovanje i život u zajednici kao preduslov ravnopravnosti dece sa smetnjama u razvoju“</w:t>
      </w:r>
      <w:r w:rsidR="00266D7B">
        <w:rPr>
          <w:rStyle w:val="FootnoteReference"/>
          <w:rFonts w:cs="Arial"/>
        </w:rPr>
        <w:footnoteReference w:id="185"/>
      </w:r>
      <w:r w:rsidRPr="004F610A">
        <w:rPr>
          <w:rFonts w:cs="Arial"/>
        </w:rPr>
        <w:t xml:space="preserve">,  koje je sprovela Inicijativa za prava osoba sa mentalnim invaliditetom (MDRI-S), pokazalo je da deca sa smetnjama u razvoju na institucionalnom smeštaju ne ostvaruju pravo na obrazovanje na jednakoj osnovi sa drugima. Istraživanje je pokazalo da je više od polovine dece sa smetnjama u razvoju na rezidencijalnom smeštaju isključeno iz obrazovnog sistema, da postoji ograničen broj škola sa kojima domovi sarađuju, ograničen broj mesta u školi za decu iz domova, arhitektonska neprilagođenost, nedostatak dodatne podrške, kao i da sva deca koja su obuhvaćena istraživanjem pohađaju škole za obrazovanje dece sa smetnjama u razvoju, tačnije, nijedno dete nije u redovnoj školi. Istraživanje je pokazalo da vrlo ozbiljnu barijeru predstavljaju i negativni stavovi zaposlenih u domovima i školama prema obrazovanju dece sa smetnjama u razvoju, kao i preovlađujući medicinski model u sagledavanju potreba deteta. </w:t>
      </w:r>
    </w:p>
    <w:p w:rsidR="004F610A" w:rsidRPr="004F610A" w:rsidRDefault="004F610A" w:rsidP="004F610A">
      <w:pPr>
        <w:spacing w:line="276" w:lineRule="auto"/>
        <w:rPr>
          <w:rFonts w:cs="Arial"/>
        </w:rPr>
      </w:pPr>
      <w:r w:rsidRPr="004F610A">
        <w:rPr>
          <w:rFonts w:cs="Arial"/>
        </w:rPr>
        <w:t xml:space="preserve">Otpor rukovodstva obrazovnih ustanova i nastavnog osoblja inkluzivnom obrazovanju i dalje postoji, a određene podrške neophodne za adekvatno uključivanje dece sa smetnjama u </w:t>
      </w:r>
      <w:r w:rsidRPr="004F610A">
        <w:rPr>
          <w:rFonts w:cs="Arial"/>
        </w:rPr>
        <w:lastRenderedPageBreak/>
        <w:t>razvoju i sa invaliditetom (npr. prevoz dece do škole, angažovanje ličnih pratilaca) finansiraju se iz sredstava lokalnih samouprava, što dovodi do velike regionalne neujednačenosti u pristupu ovim pravima i obrazovanju. Pedagoški asistenti se ne obezbeđuju za decu sa smetnjama i invaliditetom. U Izveštaju Evropske komisije o napretku Srbije u procesu evropskih integracija za 2016. godinu</w:t>
      </w:r>
      <w:r w:rsidR="00EA4986">
        <w:rPr>
          <w:rStyle w:val="FootnoteReference"/>
          <w:rFonts w:cs="Arial"/>
        </w:rPr>
        <w:footnoteReference w:id="186"/>
      </w:r>
      <w:r w:rsidRPr="004F610A">
        <w:rPr>
          <w:rFonts w:cs="Arial"/>
        </w:rPr>
        <w:t xml:space="preserve"> , ukazano je da je potrebno uložiti napor da se poveća učešće osoba s invaliditetom u obrazovanju i da se sprovede sveobuhvatan plan o pristupu objektima za osobe s invaliditetom, starije osobe i socijalno ugrožena lica.</w:t>
      </w:r>
    </w:p>
    <w:p w:rsidR="004F610A" w:rsidRPr="004F610A" w:rsidRDefault="004F610A" w:rsidP="004F610A">
      <w:pPr>
        <w:spacing w:line="276" w:lineRule="auto"/>
        <w:rPr>
          <w:rFonts w:cs="Arial"/>
        </w:rPr>
      </w:pPr>
      <w:r w:rsidRPr="004F610A">
        <w:rPr>
          <w:rFonts w:cs="Arial"/>
        </w:rPr>
        <w:t>Kao što je već pomenuto, Komitet UN za prava osoba sa invaliditetom usvojio je Zaključna zapažanja sa preporukama Republici Srbiji za zaštitu i unapređenje položaja osoba sa invaliditetom (CRPD/C/SRB/CO/1)</w:t>
      </w:r>
      <w:r w:rsidR="00EA4986">
        <w:rPr>
          <w:rStyle w:val="FootnoteReference"/>
          <w:rFonts w:cs="Arial"/>
        </w:rPr>
        <w:footnoteReference w:id="187"/>
      </w:r>
      <w:r w:rsidRPr="004F610A">
        <w:rPr>
          <w:rFonts w:cs="Arial"/>
        </w:rPr>
        <w:t>.  Komitet je pohvalio Srbiju za niz dostignuća i aktivnosti u pogledu unapređenja ravnopravnosti. Međutim, izrazio je zabrinutost da su pojedini propisi u suprotnosti s Konvencijom o pravima osoba sa invaliditetom, kao i da postoji nedostatak posebnih aktivnosti države u cilju sprečavanja i borbe protiv višestruke i unakrsne diskriminacije žena i devojčica sa invaliditetom. Komitet je upozorio da žene sa invaliditetom nisu zaštićene od seksualnog nasilja na jednakoj osnovi kao i drugi i preporučio da Srbija preduzme hitne korake kako bi obezbedila da sve osobe sa invaliditetom imaju pristup kvalitetnom obrazovanju na svim nivoima i da se razumna prilagođavanja obezbede u redovnom obrazovanju. Devojčice i žene sa invaliditetom susreću se sa višestrukom i ukrštenom diskriminacijom. One su žrtve diskriminacije i na osnovu pola, kao žene, kao i na osnovu invaliditeta, ali i veoma često i kao žene sa invaliditetom. To su situacije tzv. ukrštene diskriminacije, kada se žene sa invaliditetom stavljaju u nejednak položaj u odnosu na žene bez invaliditeta i muškarce sa invaliditetom. Ovi oblici diskriminacije su najčešći u obrazovanju, zdravstvenoj zaštiti i zapošljavanju. U Opštem komentaru broj 3, Komitet za prava osoba sa invaliditetom</w:t>
      </w:r>
      <w:r w:rsidR="00EA4986">
        <w:rPr>
          <w:rStyle w:val="FootnoteReference"/>
          <w:rFonts w:cs="Arial"/>
        </w:rPr>
        <w:footnoteReference w:id="188"/>
      </w:r>
      <w:r w:rsidRPr="004F610A">
        <w:rPr>
          <w:rFonts w:cs="Arial"/>
        </w:rPr>
        <w:t xml:space="preserve">  konstatuje da postoje tri ključna problema sa kojim se susreću devojčice i žene sa invaliditetom – nasilje, zaštita seksualnog i reproduktivnog zdravlja i diskriminacija. Učestale su predrasude da žene sa invaliditetom ne mogu biti majke, dobre domaćice, neko ko brine o porodici, da ne mogu biti seksualno poželjne, kao i da nemaju pravo na ljubav i rađanje. U većem riziku od nasilja se nalaze devojčice i žene sa invaliditetom u rezidencijalnim ustanovama. One su višestruko diskriminisane – zbog pola, invaliditeta i činjenice da žive u instituciji. </w:t>
      </w:r>
    </w:p>
    <w:p w:rsidR="004F610A" w:rsidRPr="004F610A" w:rsidRDefault="004F610A" w:rsidP="004F610A">
      <w:pPr>
        <w:spacing w:line="276" w:lineRule="auto"/>
        <w:rPr>
          <w:rFonts w:cs="Arial"/>
        </w:rPr>
      </w:pPr>
      <w:r w:rsidRPr="004F610A">
        <w:rPr>
          <w:rFonts w:cs="Arial"/>
        </w:rPr>
        <w:t xml:space="preserve">Osobe sa invaliditetom u Srbiji nailaze na značajne barijere i prilikom ostvarivanja biračkog prava. Za unapređenje fizičke pristupačnosti biračkih mesta potrebno je da ovo pitanje bude regulisano propisima tako da podržava principe nediskriminacije i ravnopravnosti. Slepim osobama uglavnom nije omogućeno ostvarivanje biračkog prava po principu tajnosti glasanja. Često nije moguće da građani sa invaliditetom učestvuju ravnopravno u izbornom procesu, jer su izborne kampanje, njihove poruke i aktivnosti, nepristupačni za osobe sa invaliditetom, biračka mesta su nepristupačna, nedostaju informacije o mogućnostima </w:t>
      </w:r>
      <w:r w:rsidRPr="004F610A">
        <w:rPr>
          <w:rFonts w:cs="Arial"/>
        </w:rPr>
        <w:lastRenderedPageBreak/>
        <w:t>glasanja van biračkog mesta, kao i pristupačne informacije o političkim partijama, njihovim programima i kandidatima</w:t>
      </w:r>
      <w:r w:rsidR="00BB7954">
        <w:rPr>
          <w:rStyle w:val="FootnoteReference"/>
          <w:rFonts w:cs="Arial"/>
        </w:rPr>
        <w:footnoteReference w:id="189"/>
      </w:r>
      <w:r w:rsidRPr="004F610A">
        <w:rPr>
          <w:rFonts w:cs="Arial"/>
        </w:rPr>
        <w:t xml:space="preserve"> .</w:t>
      </w:r>
    </w:p>
    <w:p w:rsidR="004F610A" w:rsidRPr="004F610A" w:rsidRDefault="004F610A" w:rsidP="004F610A">
      <w:pPr>
        <w:spacing w:line="276" w:lineRule="auto"/>
        <w:rPr>
          <w:rFonts w:cs="Arial"/>
        </w:rPr>
      </w:pPr>
      <w:r w:rsidRPr="004F610A">
        <w:rPr>
          <w:rFonts w:cs="Arial"/>
        </w:rPr>
        <w:t>Osobe sa invaliditetom, posebno sa intelektualnim i psihosocijalnim teškoćama, i dalje su izložene riziku da budu lišene poslovne sposobnosti. Kao što je Poverenik i ranije ukazivao, potrebno je u što kraćem roku reformisati zastarele propise kojima je ova oblast regulisana i izvršiti njihovo usaglašavanje s međunarodnim standardima po pitanju lišavanja poslovne sposobnosti.</w:t>
      </w:r>
    </w:p>
    <w:p w:rsidR="004F610A" w:rsidRPr="004F610A" w:rsidRDefault="004F610A" w:rsidP="004F610A">
      <w:pPr>
        <w:spacing w:line="276" w:lineRule="auto"/>
        <w:rPr>
          <w:rFonts w:cs="Arial"/>
        </w:rPr>
      </w:pPr>
      <w:r w:rsidRPr="004F610A">
        <w:rPr>
          <w:rFonts w:cs="Arial"/>
        </w:rPr>
        <w:t xml:space="preserve">Radi unapređenja položaja osoba sa invaliditetom u Srbiji potrebno je ubrzati proces deinstitucionalizacije, posebno dece sa intelektualnim smetnjama, kao i pojačati aktivnosti koje bi omogućile punu inkluziju osoba sa invaliditetom. Osim toga, potrebno je obezbediti veći broj usluga podrške u zajednici osobama sa invaliditetom, njihovu ravnomernu zastupljenost na celoj teritoriji zemlje, obezbediti stabilnost finansiranja ovih usluga, njihovo povezivanje sa ostvarivanjem drugih prava (npr. prava na dodatak za pomoć i negu drugog lica, uvećani dodatak za pomoć i negu drugog lica i druga prava iz socijalne zaštite), kao i uložiti dodatni napor da se uklone fizičke, komunikacione i druge barijere. </w:t>
      </w:r>
    </w:p>
    <w:p w:rsidR="004F610A" w:rsidRPr="004F610A" w:rsidRDefault="004F610A" w:rsidP="004F610A">
      <w:pPr>
        <w:spacing w:line="276" w:lineRule="auto"/>
        <w:rPr>
          <w:rFonts w:cs="Arial"/>
        </w:rPr>
      </w:pPr>
      <w:r w:rsidRPr="004F610A">
        <w:rPr>
          <w:rFonts w:cs="Arial"/>
        </w:rPr>
        <w:t xml:space="preserve">Tokom 2016. godine podnete su 82 pritužbe zbog diskriminacije na osnovu invaliditeta, što čini 12,9% ukupnog broja podnetih pritužbi. Isti broj pritužbi u 2016. godini podnet je i zbog diskriminacije na osnovu pola, tako da su ova dva osnova najčešći osnovi diskriminacije po broju podnetih pritužbi u 2016. godini.  </w:t>
      </w:r>
    </w:p>
    <w:p w:rsidR="004F610A" w:rsidRPr="004F610A" w:rsidRDefault="004F610A" w:rsidP="004F610A">
      <w:pPr>
        <w:spacing w:line="276" w:lineRule="auto"/>
        <w:rPr>
          <w:rFonts w:cs="Arial"/>
        </w:rPr>
      </w:pPr>
      <w:r w:rsidRPr="004F610A">
        <w:rPr>
          <w:rFonts w:cs="Arial"/>
        </w:rPr>
        <w:t xml:space="preserve">Učešće podnetih pritužbi po ovom osnovu diskriminacije približno je isto kao i prethodnih godina. U toku 2015. godine podnete su 73 pritužbe po ovom osnovu (11,3%), dok je u 2014. godini po ovom osnovu podneto 10,1% pritužbi. U prethodnim godinama ovaj osnov diskriminacije je uvek bio među prva četiri osnova po broju podnetih pritužbi u toku godine. </w:t>
      </w:r>
    </w:p>
    <w:p w:rsidR="004F610A" w:rsidRPr="004F610A" w:rsidRDefault="004F610A" w:rsidP="004F610A">
      <w:pPr>
        <w:spacing w:line="276" w:lineRule="auto"/>
        <w:rPr>
          <w:rFonts w:cs="Arial"/>
        </w:rPr>
      </w:pPr>
      <w:r w:rsidRPr="004F610A">
        <w:rPr>
          <w:rFonts w:cs="Arial"/>
        </w:rPr>
        <w:t>Od ukupnog broja podnetih pritužbi u 2016. godini po ovom osnovu fizička lica su podnela 61 pritužbu (36 muškarci, 25 žene), dok su različite organizacije podnele 14 pritužbi. Ostale pritužbe su podneli državni organi, grupe lica i pravna lica.</w:t>
      </w:r>
    </w:p>
    <w:p w:rsidR="004F610A" w:rsidRPr="004F610A" w:rsidRDefault="004F610A" w:rsidP="004F610A">
      <w:pPr>
        <w:spacing w:line="276" w:lineRule="auto"/>
        <w:rPr>
          <w:rFonts w:cs="Arial"/>
        </w:rPr>
      </w:pPr>
      <w:r w:rsidRPr="004F610A">
        <w:rPr>
          <w:rFonts w:cs="Arial"/>
        </w:rPr>
        <w:t xml:space="preserve">Oblast obrazovanja i stručnog osposobljavanja jeste sfera u kojoj se osobe sa invaliditetom najčešće susreću s diskriminacijom – primljene su 24 pritužbe. Sledeća oblast po broju pristiglih pritužbi po ovom osnovu jeste pružanje javnih usluga ili korišćenje objekata i površina (18 pritužbi), i u postupku zapošljavanja ili na poslu (14 pritužbi), a devet pritužbi je podneto zbog diskriminacije u postupku pred organima javne vlasti, dok je u drugim oblastima društvenog života podnet manji broj pritužbi. </w:t>
      </w:r>
    </w:p>
    <w:p w:rsidR="00135D51" w:rsidRDefault="004F610A" w:rsidP="004F610A">
      <w:pPr>
        <w:spacing w:line="276" w:lineRule="auto"/>
        <w:rPr>
          <w:rFonts w:cs="Arial"/>
          <w:lang w:val="sr-Latn-RS"/>
        </w:rPr>
      </w:pPr>
      <w:r w:rsidRPr="004F610A">
        <w:rPr>
          <w:rFonts w:cs="Arial"/>
        </w:rPr>
        <w:t>Kao i praksa Poverenika, i istraživanja međunarodnih organizacija i domaćih organizacija civilnog društva i institucija pokazuju da su osobe sa invaliditetom najčešće diskriminisane u oblastima ostvarivanja prava na obrazovanje, rad i zapošljavanje, pristupačnost javnih objekata i površina, kao i usluga.</w:t>
      </w:r>
    </w:p>
    <w:p w:rsidR="004F610A" w:rsidRDefault="004F610A" w:rsidP="004F610A">
      <w:pPr>
        <w:spacing w:line="276" w:lineRule="auto"/>
        <w:rPr>
          <w:rFonts w:cs="Arial"/>
          <w:lang w:val="sr-Latn-RS"/>
        </w:rPr>
      </w:pPr>
    </w:p>
    <w:p w:rsidR="00BF3D2E" w:rsidRPr="004F610A" w:rsidRDefault="00BF3D2E" w:rsidP="004F610A">
      <w:pPr>
        <w:spacing w:line="276" w:lineRule="auto"/>
        <w:rPr>
          <w:rFonts w:cs="Arial"/>
          <w:lang w:val="sr-Latn-RS"/>
        </w:rPr>
      </w:pPr>
    </w:p>
    <w:p w:rsidR="00135D51" w:rsidRPr="00135D51" w:rsidRDefault="00E95FD6" w:rsidP="00D93153">
      <w:pPr>
        <w:pStyle w:val="Heading4"/>
        <w:numPr>
          <w:ilvl w:val="0"/>
          <w:numId w:val="15"/>
        </w:numPr>
        <w:ind w:left="851"/>
        <w:rPr>
          <w:b/>
        </w:rPr>
      </w:pPr>
      <w:bookmarkStart w:id="34" w:name="_Toc477248619"/>
      <w:bookmarkStart w:id="35" w:name="_Toc477251744"/>
      <w:r>
        <w:rPr>
          <w:lang w:val="sr-Latn-RS"/>
        </w:rPr>
        <w:lastRenderedPageBreak/>
        <w:t>Mišljenja i preporuke</w:t>
      </w:r>
      <w:bookmarkEnd w:id="34"/>
      <w:bookmarkEnd w:id="35"/>
    </w:p>
    <w:p w:rsidR="00135D51" w:rsidRPr="00135D51" w:rsidRDefault="00E95FD6" w:rsidP="00135D51">
      <w:pPr>
        <w:shd w:val="clear" w:color="auto" w:fill="75E5FB"/>
        <w:spacing w:after="100" w:afterAutospacing="1" w:line="276" w:lineRule="auto"/>
        <w:rPr>
          <w:rFonts w:cs="Arial"/>
          <w:i/>
          <w:kern w:val="3"/>
          <w:lang w:eastAsia="zh-CN" w:bidi="hi-IN"/>
        </w:rPr>
      </w:pPr>
      <w:r>
        <w:rPr>
          <w:rFonts w:cs="Arial"/>
          <w:i/>
          <w:kern w:val="3"/>
          <w:lang w:val="sr-Latn-RS" w:eastAsia="zh-CN" w:bidi="hi-IN"/>
        </w:rPr>
        <w:t>Propust opštine da obezbedi podršku ličnog pratioca učeniku sa smetnjama u razvoju</w:t>
      </w:r>
    </w:p>
    <w:p w:rsidR="00E95FD6" w:rsidRPr="00E95FD6" w:rsidRDefault="00E95FD6" w:rsidP="00E95FD6">
      <w:pPr>
        <w:spacing w:after="100" w:afterAutospacing="1" w:line="276" w:lineRule="auto"/>
        <w:rPr>
          <w:rFonts w:cs="Arial"/>
          <w:kern w:val="3"/>
          <w:lang w:eastAsia="zh-CN" w:bidi="hi-IN"/>
        </w:rPr>
      </w:pPr>
      <w:r w:rsidRPr="00E95FD6">
        <w:rPr>
          <w:rFonts w:cs="Arial"/>
          <w:kern w:val="3"/>
          <w:lang w:eastAsia="zh-CN" w:bidi="hi-IN"/>
        </w:rPr>
        <w:t xml:space="preserve">Mišljenje je doneto u postupku povodom pritužbe koju je u ime maloletnog učenika sa smetnjama u razvoju podnela njegova majka protiv jedne lokalne samouprave. U pritužbi je navedeno da učeniku nije obezbeđena podrška ličnog pratioca, iako je Komisija za procenu potrebe za pružanjem dodatne obrazovne, zdravstvene i socijalne podrške detetu/učeniku donela mišljenje u kojem je navela da je ovom učeniku podrška ličnog pratioca potrebna za vreme boravka u školi, jer ne može u dovoljnoj meri da samostalno vodi brigu o sebi. </w:t>
      </w:r>
    </w:p>
    <w:p w:rsidR="00E95FD6" w:rsidRPr="00E95FD6" w:rsidRDefault="00E95FD6" w:rsidP="00E95FD6">
      <w:pPr>
        <w:spacing w:after="100" w:afterAutospacing="1" w:line="276" w:lineRule="auto"/>
        <w:rPr>
          <w:rFonts w:cs="Arial"/>
          <w:kern w:val="3"/>
          <w:lang w:eastAsia="zh-CN" w:bidi="hi-IN"/>
        </w:rPr>
      </w:pPr>
      <w:r w:rsidRPr="00E95FD6">
        <w:rPr>
          <w:rFonts w:cs="Arial"/>
          <w:kern w:val="3"/>
          <w:lang w:eastAsia="zh-CN" w:bidi="hi-IN"/>
        </w:rPr>
        <w:t xml:space="preserve">U izjašnjenju opštine navedeno je da je budžetom za 2016. godinu opština planirala finansijska sredstva za finansiranje ličnih pratilaca za ličnu pomoć detetu i učeniku u sistemu osnovnog obrazovanja, ali da se čeka mišljenje i uputstvo Ministarstva prosvete, nauke i tehnološkog razvoja u vezi s angažovanjem i finansiranjem ličnih pratilaca. </w:t>
      </w:r>
    </w:p>
    <w:p w:rsidR="00E95FD6" w:rsidRPr="00E95FD6" w:rsidRDefault="00E95FD6" w:rsidP="00E95FD6">
      <w:pPr>
        <w:spacing w:after="100" w:afterAutospacing="1" w:line="276" w:lineRule="auto"/>
        <w:rPr>
          <w:rFonts w:cs="Arial"/>
          <w:kern w:val="3"/>
          <w:lang w:eastAsia="zh-CN" w:bidi="hi-IN"/>
        </w:rPr>
      </w:pPr>
      <w:r w:rsidRPr="00E95FD6">
        <w:rPr>
          <w:rFonts w:cs="Arial"/>
          <w:kern w:val="3"/>
          <w:lang w:eastAsia="zh-CN" w:bidi="hi-IN"/>
        </w:rPr>
        <w:t xml:space="preserve">U toku postupka je utvrđeno da opština u ovom slučaju nije obezbedila angažovanje ličnog pratioca, iako je obezbeđivanje ovog vida dodatne podrške detetu i učeniku u nadležnosti lokalne samouprave. Poverenica za zaštitu ravnopravnosti ukazala je da nejasnoće u vezi s angažovanjem i finansiranjem ličnih pratilaca ne umanjuju odgovornost opštine zbog propusta da obezbedi ovaj vid dodatne podrške deci kojoj je podrška ličnog pratioca potrebna. </w:t>
      </w:r>
    </w:p>
    <w:p w:rsidR="00E95FD6" w:rsidRDefault="00E95FD6" w:rsidP="00E95FD6">
      <w:pPr>
        <w:spacing w:after="100" w:afterAutospacing="1" w:line="276" w:lineRule="auto"/>
        <w:rPr>
          <w:rFonts w:cs="Arial"/>
          <w:kern w:val="3"/>
          <w:lang w:val="sr-Latn-RS" w:eastAsia="zh-CN" w:bidi="hi-IN"/>
        </w:rPr>
      </w:pPr>
      <w:r w:rsidRPr="00E95FD6">
        <w:rPr>
          <w:rFonts w:cs="Arial"/>
          <w:kern w:val="3"/>
          <w:lang w:eastAsia="zh-CN" w:bidi="hi-IN"/>
        </w:rPr>
        <w:t>Poverenica je dala mišljenje da je propuštanjem da obezbedi dodatnu podršku ličnih pratilaca, opština onemogućila da učenik sa smetnjama u razvoju dobije potrebnu dodatnu podršku za obrazovanje, čime je prekršila odredbe Zakona o zabrani diskriminacije. Zbog toga je ovoj opštini preporučeno da preduzme sve neophodne radnje i mere kojima će obezbediti angažovanje ličnog pratioca za ovog učenika, kao i da ubuduće, u okviru obavljanja poslova iz svoje nadležnosti, ne krši antidiskriminacione propise. Po preporuci je postupljeno.</w:t>
      </w:r>
    </w:p>
    <w:p w:rsidR="00135D51" w:rsidRPr="00E95FD6" w:rsidRDefault="00E95FD6" w:rsidP="00DE1D8E">
      <w:pPr>
        <w:shd w:val="clear" w:color="auto" w:fill="75E5FB"/>
        <w:spacing w:before="240" w:after="100" w:afterAutospacing="1" w:line="276" w:lineRule="auto"/>
        <w:rPr>
          <w:rFonts w:cs="Arial"/>
          <w:i/>
          <w:lang w:val="sr-Latn-RS"/>
        </w:rPr>
      </w:pPr>
      <w:r>
        <w:rPr>
          <w:rFonts w:cs="Arial"/>
          <w:i/>
          <w:lang w:val="sr-Latn-RS"/>
        </w:rPr>
        <w:t>Ministarstvo prosvete, nauke i tehnološkog razvoja onemogućilo potrebnu dodatnu podršku za obrazovanje deci sa smetnjama u razvoju</w:t>
      </w:r>
    </w:p>
    <w:p w:rsidR="00BA5285" w:rsidRPr="00BA5285" w:rsidRDefault="00BA5285" w:rsidP="00BA5285">
      <w:pPr>
        <w:spacing w:after="100" w:afterAutospacing="1" w:line="276" w:lineRule="auto"/>
        <w:rPr>
          <w:rFonts w:cs="Arial"/>
        </w:rPr>
      </w:pPr>
      <w:r w:rsidRPr="00BA5285">
        <w:rPr>
          <w:rFonts w:cs="Arial"/>
        </w:rPr>
        <w:t xml:space="preserve">Mišljenje je doneto u postupku povodom pritužbe udruženja roditelja podnete u ime zakonskih zastupnika šestoro dece sa smetnjama u razvoju, koja pohađaju predškolsku ustanovu i osnovnu školu u jednom gradu protiv Ministarstva prosvete, nauke i tehnološkog razvoja. Pritužba je podneta zbog diskriminacije na osnovu invaliditeta, s obzirom na to da je Komisija za procenu potreba za pružanjem dodatne obrazovne, zdravstvene ili socijalne podrške detetu/učeniku u mišljenjima predložila da im se obezbedi pedagoški asistent. Međutim, nijednom od šestoro dece nije obezbeđen ovakav vid podrške. </w:t>
      </w:r>
    </w:p>
    <w:p w:rsidR="00BA5285" w:rsidRPr="00BA5285" w:rsidRDefault="00BA5285" w:rsidP="00BA5285">
      <w:pPr>
        <w:spacing w:after="100" w:afterAutospacing="1" w:line="276" w:lineRule="auto"/>
        <w:rPr>
          <w:rFonts w:cs="Arial"/>
        </w:rPr>
      </w:pPr>
      <w:r w:rsidRPr="00BA5285">
        <w:rPr>
          <w:rFonts w:cs="Arial"/>
        </w:rPr>
        <w:t xml:space="preserve">Ministarstvo prosvete, nauke i tehnološkog razvoja je u izjašnjenju navelo da su u proteklom periodu pedagoški asistenti angažovani za pružanje podrške deci romske nacionalnosti, da je do sada u obrazovnim ustanovama u Republici Srbiji angažovano 175 pedagoških asistenata, kao i da je u planu izrada novog pravilnika o pedagoškoj asistenciji, kojim će preciznije biti regulisani uslovi i kriterijumi za njihovo angažovanje. </w:t>
      </w:r>
    </w:p>
    <w:p w:rsidR="00BA5285" w:rsidRPr="00BA5285" w:rsidRDefault="00BA5285" w:rsidP="00BA5285">
      <w:pPr>
        <w:spacing w:after="100" w:afterAutospacing="1" w:line="276" w:lineRule="auto"/>
        <w:rPr>
          <w:rFonts w:cs="Arial"/>
        </w:rPr>
      </w:pPr>
      <w:r w:rsidRPr="00BA5285">
        <w:rPr>
          <w:rFonts w:cs="Arial"/>
        </w:rPr>
        <w:lastRenderedPageBreak/>
        <w:t xml:space="preserve">U toku postupka je utvrđeno da je interresorna komisija u individualnom planu podrške procenila da je deci u čijem interesu je pritužba podneta potrebno obezbeđivanje pedagoškog asistenta, dok obrazovne ustanove na teritoriji grada, koje oni pohađaju, nemaju angažovanog pedagoškog asistenta. </w:t>
      </w:r>
    </w:p>
    <w:p w:rsidR="00BA5285" w:rsidRDefault="00BA5285" w:rsidP="00BA5285">
      <w:pPr>
        <w:spacing w:after="100" w:afterAutospacing="1" w:line="276" w:lineRule="auto"/>
        <w:rPr>
          <w:rFonts w:cs="Arial"/>
          <w:lang w:val="sr-Latn-RS"/>
        </w:rPr>
      </w:pPr>
      <w:r w:rsidRPr="00BA5285">
        <w:rPr>
          <w:rFonts w:cs="Arial"/>
        </w:rPr>
        <w:t>Poverenica za zaštitu ravnopravnosti dala je mišljenje da je propuštanjem da obezbedi uslove za angažovanje pedagoških asistenata za decu sa smetnjama u razvoju, Ministarstvo prosvete, nauke i tehnološkog razvoja onemogućilo da deca u čijem je interesu pritužba podneta dobiju potrebnu dodatnu podršku za obrazovanje, čime je prekršilo odredbe Zakona o zabrani diskriminacije. Zbog toga je Ministarstvu prosvete, nauke i tehnološkog razvoja preporučeno da preduzme sve neophodne radnje i mere iz svoje nadležnosti kojima će obezbediti da dve osnovne škole i predškolska ustanova u Novom Sadu angažuju pedagoškog asistenta, da preduzme, bez odlaganja, sve neophodne mere kojima će obezbediti angažovanje pedagoških asistenata za decu i učenike kojima je potrebna dodatna podrška u obrazovanju i vaspitanju, te da ubuduće vodi računa o tome da u okviru svojih redovnih poslova i aktivnosti ne krši propise o zabrani diskriminacije. Ministarstvo je obavestilo Poverenika da su preduzete aktivnosti na izradi pravilnika. Pravilnik još uvek nije donet i nisu angažovani pedagoški asistenti.</w:t>
      </w:r>
    </w:p>
    <w:p w:rsidR="00135D51" w:rsidRPr="00135D51" w:rsidRDefault="00BA5285" w:rsidP="00135D51">
      <w:pPr>
        <w:shd w:val="clear" w:color="auto" w:fill="75E5FB"/>
        <w:spacing w:before="240" w:after="100" w:afterAutospacing="1" w:line="276" w:lineRule="auto"/>
        <w:rPr>
          <w:rFonts w:cs="Arial"/>
          <w:i/>
        </w:rPr>
      </w:pPr>
      <w:r>
        <w:rPr>
          <w:rFonts w:cs="Arial"/>
          <w:i/>
          <w:lang w:val="sr-Latn-RS"/>
        </w:rPr>
        <w:t>Učenici koji se obrazuju po  individualnom obrazovnom planu ne mogu se upisivati u ogledne obrazovne profile</w:t>
      </w:r>
    </w:p>
    <w:p w:rsidR="00804DEF" w:rsidRPr="00804DEF" w:rsidRDefault="00804DEF" w:rsidP="00804DEF">
      <w:pPr>
        <w:spacing w:after="100" w:afterAutospacing="1" w:line="276" w:lineRule="auto"/>
        <w:rPr>
          <w:rFonts w:cs="Arial"/>
        </w:rPr>
      </w:pPr>
      <w:r w:rsidRPr="00804DEF">
        <w:rPr>
          <w:rFonts w:cs="Arial"/>
        </w:rPr>
        <w:t xml:space="preserve">Diskriminacija učenika sa smetnjama u razvoju razlog je podnošenja pritužbe protiv Ministarstva prosvete, nauke i tehnološkog razvoja Republike Srbije. U pritužbi je navedeno da je Ministarstvo prosvete, nauke i tehnološkog razvoja u svom dopisu diskriminisalo decu sa smetnjama u razvoju svojim stavom: „Učenici koji se obrazuju po individualnom obrazovnom planu (IOP) ne mogu se upisivati u obrazovne profile koji su u procesu ogleda jer se ogledom isprobava nastavni plan i program koji je nov i za nastavnike i za učenike. Za učenike sa IOP-om je potrebna individualizacija. Ogled se prati i vrednuju se njegovi efekti kako bi se uveo u sistem, a tek po uvođenju u sistem učenici sa smetnjama u razvoju bi se mogli upisivati u te obrazovne profile jer se tek tada za njih može izvršiti individualizacija, što podrazumeva prilagođavanje nastavnog plana i programa.“ </w:t>
      </w:r>
    </w:p>
    <w:p w:rsidR="00804DEF" w:rsidRPr="00804DEF" w:rsidRDefault="00804DEF" w:rsidP="00804DEF">
      <w:pPr>
        <w:spacing w:after="100" w:afterAutospacing="1" w:line="276" w:lineRule="auto"/>
        <w:rPr>
          <w:rFonts w:cs="Arial"/>
        </w:rPr>
      </w:pPr>
      <w:r w:rsidRPr="00804DEF">
        <w:rPr>
          <w:rFonts w:cs="Arial"/>
        </w:rPr>
        <w:t xml:space="preserve">U toku postupka je utvrđeno da ne postoje opravdani razlozi koji sprečavaju da se nastavni plan i program obrazovnog profila koji je u procesu ogleda prilagodi učeniku kojem je potrebna dodatna podrška. </w:t>
      </w:r>
    </w:p>
    <w:p w:rsidR="00804DEF" w:rsidRDefault="00804DEF" w:rsidP="00804DEF">
      <w:pPr>
        <w:spacing w:after="100" w:afterAutospacing="1" w:line="276" w:lineRule="auto"/>
        <w:rPr>
          <w:rFonts w:cs="Arial"/>
          <w:lang w:val="sr-Latn-RS"/>
        </w:rPr>
      </w:pPr>
      <w:r w:rsidRPr="00804DEF">
        <w:rPr>
          <w:rFonts w:cs="Arial"/>
        </w:rPr>
        <w:t>Poverenica za zaštitu ravnopravnosti dala je mišljenje da je Ministarstvo prosvete, nauke i tehnološkog razvoja stavom iznetim u pomenutom dopisu izvršilo diskriminaciju učenika sa smetnjama u razvoju i invaliditetom i preporučila da se Ministarstvo prosvete, nauke i tehnološkog razvoja ubuduće suzdrži od neopravdanog pravljenja razlike ili nejednakog postupanja, odnosno propuštanja (isključivanja, ograničavanja ili davanja prvenstva) u odnosu na učenike sa smetnjama u razvoju i invaliditetom, odnosno da vodi računa da u okviru obavljanja poslova iz svoje nadležnosti poštuje principe socijalnog modela invaliditeta i inkluzivnog obrazovanja i ne krši antidiskriminacione propise. Po ovoj preporuci je postupljeno.</w:t>
      </w:r>
    </w:p>
    <w:p w:rsidR="00804DEF" w:rsidRDefault="00804DEF" w:rsidP="00804DEF">
      <w:pPr>
        <w:spacing w:after="100" w:afterAutospacing="1" w:line="276" w:lineRule="auto"/>
        <w:rPr>
          <w:rFonts w:cs="Arial"/>
          <w:lang w:val="sr-Latn-RS"/>
        </w:rPr>
      </w:pPr>
    </w:p>
    <w:p w:rsidR="00804DEF" w:rsidRPr="00804DEF" w:rsidRDefault="00804DEF" w:rsidP="00804DEF">
      <w:pPr>
        <w:spacing w:after="100" w:afterAutospacing="1" w:line="276" w:lineRule="auto"/>
        <w:rPr>
          <w:rFonts w:cs="Arial"/>
          <w:lang w:val="sr-Latn-RS"/>
        </w:rPr>
      </w:pPr>
    </w:p>
    <w:p w:rsidR="00135D51" w:rsidRPr="00D9429E" w:rsidRDefault="00D9429E" w:rsidP="00135D51">
      <w:pPr>
        <w:shd w:val="clear" w:color="auto" w:fill="75E5FB"/>
        <w:spacing w:before="240" w:after="100" w:afterAutospacing="1"/>
        <w:rPr>
          <w:rFonts w:cs="Arial"/>
          <w:i/>
          <w:kern w:val="3"/>
          <w:lang w:val="sr-Latn-RS" w:eastAsia="zh-CN" w:bidi="hi-IN"/>
        </w:rPr>
      </w:pPr>
      <w:r>
        <w:rPr>
          <w:rFonts w:cs="Arial"/>
          <w:i/>
          <w:kern w:val="3"/>
          <w:lang w:val="sr-Latn-RS" w:eastAsia="zh-CN" w:bidi="hi-IN"/>
        </w:rPr>
        <w:t>Opština nije obezbedila besplatan prevoz do škole učeniku sa invaliditetom</w:t>
      </w:r>
    </w:p>
    <w:p w:rsidR="00D9429E" w:rsidRPr="00D9429E" w:rsidRDefault="00D9429E" w:rsidP="00D9429E">
      <w:pPr>
        <w:spacing w:after="100" w:afterAutospacing="1" w:line="276" w:lineRule="auto"/>
        <w:rPr>
          <w:rFonts w:cs="Arial"/>
          <w:kern w:val="3"/>
          <w:lang w:eastAsia="zh-CN" w:bidi="hi-IN"/>
        </w:rPr>
      </w:pPr>
      <w:r w:rsidRPr="00D9429E">
        <w:rPr>
          <w:rFonts w:cs="Arial"/>
          <w:kern w:val="3"/>
          <w:lang w:eastAsia="zh-CN" w:bidi="hi-IN"/>
        </w:rPr>
        <w:t xml:space="preserve">Pritužbu je podneo otac čijem detetu opština Raška nije omogućila besplatan prevoz do škole. U pritužbi je navedeno da se radi o učeniku srednje škole sa invaliditetom, koji je u više navrata podneo zahtev za ostvarivanje prava na besplatan prevoz. </w:t>
      </w:r>
    </w:p>
    <w:p w:rsidR="00D9429E" w:rsidRDefault="00D9429E" w:rsidP="00D9429E">
      <w:pPr>
        <w:spacing w:after="100" w:afterAutospacing="1" w:line="276" w:lineRule="auto"/>
        <w:rPr>
          <w:rFonts w:cs="Arial"/>
          <w:kern w:val="3"/>
          <w:lang w:val="sr-Latn-RS" w:eastAsia="zh-CN" w:bidi="hi-IN"/>
        </w:rPr>
      </w:pPr>
      <w:r w:rsidRPr="00D9429E">
        <w:rPr>
          <w:rFonts w:cs="Arial"/>
          <w:kern w:val="3"/>
          <w:lang w:eastAsia="zh-CN" w:bidi="hi-IN"/>
        </w:rPr>
        <w:t>Analizom navoda iz izjašnjenja predstavnika opštine utvrđeno je da učenik nije dobio besplatnu kartu za prevoz jer nije ispunio uslove propisane Pravilnikom o dodeli besplatnih mesečnih karata na teret sredstava budžeta opštine, odnosno da Pravilnikom nisu propisane posebne mere za učenike iz osetljivih društvenih grupa. Budući da je učenicima i učenicama sa smetnjama u razvoju i invaliditetom pravo na besplatan prevoz do škole zakonom zagarantovan bez obzira na uslove koje postavlja jedinica lokalne samouprave za ostale učenike, poverenica za zaštitu ravnopravnosti je dala mišljenje da je opština neopravdano uskratila pravo na besplatan prevoz do škole i na taj način izvršila diskriminaciju ovog učenika na osnovu invaliditeta. Propuštajući da obezbedi prevoz do škole učeniku sa invaliditetom, opština je otežala ostvarivanje njegovog prava na obrazovanje i puno uključivanje u obrazovni sistem, čime je prekršila odredbe Zakona o zabrani diskriminacije. Opštini je preporučeno da preduzme sve neophodne radnje i mere iz svoje nadležnosti kako bi omogućila ovom i svim drugim učenicima i učenicama sa smetnjama u razvoju nesmetano ostvarivanje prava na besplatan prevoz do škole, zatim sve neophodne radnje iz svoje nadležnosti radi otklanjanja posledica diskriminacije u ovom slučaju, da uputi pisano izvinjenje ovom učeniku, kao i da ubuduće vodi računa o tome da u okviru obavljanja poslova iz svoje nadležnosti ne krši propise o zabrani diskriminacije. Po ovoj preporuci je postupljeno.</w:t>
      </w:r>
    </w:p>
    <w:p w:rsidR="00135D51" w:rsidRPr="00225270" w:rsidRDefault="00225270" w:rsidP="00135D51">
      <w:pPr>
        <w:shd w:val="clear" w:color="auto" w:fill="75E5FB"/>
        <w:spacing w:before="240" w:after="100" w:afterAutospacing="1" w:line="276" w:lineRule="auto"/>
        <w:rPr>
          <w:rFonts w:cs="Arial"/>
          <w:i/>
          <w:lang w:val="sr-Latn-RS"/>
        </w:rPr>
      </w:pPr>
      <w:r>
        <w:rPr>
          <w:rFonts w:cs="Arial"/>
          <w:i/>
          <w:lang w:val="sr-Latn-RS"/>
        </w:rPr>
        <w:t xml:space="preserve">Srednja stručna škola nije omogućila individualizovan način rada učeniku sa invaliditetom </w:t>
      </w:r>
    </w:p>
    <w:p w:rsidR="00135D51" w:rsidRPr="00135D51" w:rsidRDefault="00651522" w:rsidP="00135D51">
      <w:pPr>
        <w:spacing w:after="100" w:afterAutospacing="1" w:line="276" w:lineRule="auto"/>
        <w:rPr>
          <w:rFonts w:cs="Arial"/>
        </w:rPr>
      </w:pPr>
      <w:r w:rsidRPr="00651522">
        <w:rPr>
          <w:rFonts w:cs="Arial"/>
        </w:rPr>
        <w:t>Pritužbu je podneo otac deteta sa invaliditetom koje je učenik jedne škole u Beogradu. U pritužbi je navedeno da učeniku u toku školske 2015/2016. godine u školi nije pružena pedagoško-psihološka podrška, da je u više navrata vređan tako što mu je pred celim odeljenjem govoreno da nije za tu školu i da se ispiše. Dalje je navedeno da je učenik isključen iz škole odlukom Nastavničkog veća u aprilu 2016. godine i da nije sproveden individualni obrazovni plan. U toku postupka je utvrđeno da škola nije ponudila dokaze koji pokazuju da je učeniku pružila ili planirala da pruži potrebnu podršku kroz individualizovan način rada. Poverenica za zaštitu ravnopravnosti dala je mišljenje da je škola propuštanjem da pruži potrebnu podršku u učenju kroz individualizovan načina rada izvršila diskriminaciju učenika na osnovu invaliditeta, odnosno da su prekršene odredbe Zakona o zabrani diskriminacije, i preporučila da škola organizuje obuke i edukacije za zaposlene u školi na temu diskriminacije u obrazovanju, posebno u odnosu na učenike kojima je usled socijalne uskraćenosti, smetnji u razvoju, invaliditeta, teškoća u učenju i drugih razloga potrebna dodatna podrška u obrazovanju, kao i da ubuduće vodi računa o tome da u okviru svojih redovnih poslova i aktivnosti ne krši zakonske propise o zabrani diskriminacije. Postupanje po ovoj preporuci je u toku.</w:t>
      </w:r>
    </w:p>
    <w:p w:rsidR="00135D51" w:rsidRPr="00135D51" w:rsidRDefault="0044335E" w:rsidP="00D93153">
      <w:pPr>
        <w:pStyle w:val="Heading4"/>
        <w:numPr>
          <w:ilvl w:val="0"/>
          <w:numId w:val="15"/>
        </w:numPr>
        <w:ind w:left="851"/>
      </w:pPr>
      <w:bookmarkStart w:id="36" w:name="_Toc477248620"/>
      <w:bookmarkStart w:id="37" w:name="_Toc477251745"/>
      <w:r>
        <w:rPr>
          <w:lang w:val="sr-Latn-RS"/>
        </w:rPr>
        <w:lastRenderedPageBreak/>
        <w:t xml:space="preserve">Preporuke mera za ostvarivanje ravnopravnosti </w:t>
      </w:r>
      <w:bookmarkEnd w:id="36"/>
      <w:bookmarkEnd w:id="37"/>
    </w:p>
    <w:p w:rsidR="00135D51" w:rsidRPr="00135D51" w:rsidRDefault="0044335E" w:rsidP="00135D51">
      <w:pPr>
        <w:shd w:val="clear" w:color="auto" w:fill="75E5FB"/>
        <w:spacing w:after="100" w:afterAutospacing="1" w:line="276" w:lineRule="auto"/>
        <w:rPr>
          <w:rFonts w:cs="Arial"/>
          <w:i/>
        </w:rPr>
      </w:pPr>
      <w:r>
        <w:rPr>
          <w:rFonts w:cs="Arial"/>
          <w:i/>
          <w:lang w:val="sr-Latn-RS"/>
        </w:rPr>
        <w:t xml:space="preserve">Preporuka mera u vezi sa primenom čl. </w:t>
      </w:r>
      <w:r w:rsidR="00135D51" w:rsidRPr="00135D51">
        <w:rPr>
          <w:rFonts w:cs="Arial"/>
          <w:i/>
        </w:rPr>
        <w:t>34.</w:t>
      </w:r>
      <w:r>
        <w:rPr>
          <w:rFonts w:cs="Arial"/>
          <w:i/>
          <w:lang w:val="sr-Latn-RS"/>
        </w:rPr>
        <w:t xml:space="preserve"> i</w:t>
      </w:r>
      <w:r w:rsidR="00135D51" w:rsidRPr="00135D51">
        <w:rPr>
          <w:rFonts w:cs="Arial"/>
          <w:i/>
        </w:rPr>
        <w:t xml:space="preserve"> 34а </w:t>
      </w:r>
      <w:r>
        <w:rPr>
          <w:rFonts w:cs="Arial"/>
          <w:i/>
          <w:lang w:val="sr-Latn-RS"/>
        </w:rPr>
        <w:t>Zakona o sprečavanju diskriminacije osoba sa invaliditetom</w:t>
      </w:r>
    </w:p>
    <w:p w:rsidR="0044335E" w:rsidRPr="0044335E" w:rsidRDefault="0044335E" w:rsidP="0044335E">
      <w:pPr>
        <w:tabs>
          <w:tab w:val="left" w:pos="6349"/>
        </w:tabs>
        <w:spacing w:after="100" w:afterAutospacing="1" w:line="276" w:lineRule="auto"/>
        <w:rPr>
          <w:rFonts w:cs="Arial"/>
        </w:rPr>
      </w:pPr>
      <w:r w:rsidRPr="0044335E">
        <w:rPr>
          <w:rFonts w:cs="Arial"/>
        </w:rPr>
        <w:t>Poverenici za zaštitu ravnopravnosti obratili su se Udruženju banaka Srbije i Banci Poštanska štedionica a. d. Beograd, ističući da su Zakonom o sprečavanju diskriminacije osoba sa invaliditetom, tačnije njegovim dopunama, uvedena određena rešenja koja su nedorečena i koja izazivaju nedoumice u pogledu pravilnosti svakodnevnog rada banaka sa osobama sa invaliditetom kao njeihovim klijentima. Nedoumicu u postupanju izaziva primena čl. 34. i 34a Zakona o sprečavanju diskriminacije osoba sa invaliditetom, a u vezi sa članom 103. Zakona o menici i čl. 164–210. Zakona o vanparničnom postupku, kojih su banke dužne da se pridržavaju. Naime, članom 103. Zakona o menici propisano je da potpis slepih lica na menici, kao i na punomoćju izdatom radi meničnog zaduženja, vredi samo onda kada ga sud overi na način propisan članom 102. Zakona o menici. Navodi se, takođe, da slepa lica, kao i druga lica koja zbog stepena i vrste invaliditeta ne mogu lično potpisati menicu ili punomoćje radi meničnog zaduženja, odnosno kakvo drugo pismeno kojim preuzimaju obaveze na teret svoje imovine, preduzimaju ovu radnju prema odredbama čl. 164–210. Zakona o vanparničnom postupku.</w:t>
      </w:r>
    </w:p>
    <w:p w:rsidR="0044335E" w:rsidRPr="0044335E" w:rsidRDefault="0044335E" w:rsidP="0044335E">
      <w:pPr>
        <w:tabs>
          <w:tab w:val="left" w:pos="6349"/>
        </w:tabs>
        <w:spacing w:after="100" w:afterAutospacing="1" w:line="276" w:lineRule="auto"/>
        <w:rPr>
          <w:rFonts w:cs="Arial"/>
        </w:rPr>
      </w:pPr>
      <w:r w:rsidRPr="0044335E">
        <w:rPr>
          <w:rFonts w:cs="Arial"/>
        </w:rPr>
        <w:t xml:space="preserve">Poverenik za zaštitu ravnopravnosti smatra da je izmenama Zakona o sprečavanju diskriminacije osoba sa invaliditetom kojima je omogućena upotreba pečata koji sadrži podatke o ličnom identitetu ili pečata s ugraviranim potpisom, ostvaren pomak u ostvarivanju prava osoba sa invaliditetom koje zbog trajnih posledica telesnog ili senzornog oštećenja ili bolesti nisu u mogućnosti da se svojeručno potpišu. Međutim, Poverenik je takođe mišljenja da odredbe koje se odnose na upotrebu pečata osoba sa invaliditetom koje imaju trajne posledice telesnog ili senzornog oštećenja ili bolesti, prilikom korišćenja usluga koje pružaju pravna i fizička lica nisu dovoljno jasne, kao i da postoji neusaglašenost ovih odredaba sa drugim propisima (Zakon o menici, Zakon o vanparničnom postupku), što dovodi do problema u primeni. </w:t>
      </w:r>
    </w:p>
    <w:p w:rsidR="0044335E" w:rsidRPr="0044335E" w:rsidRDefault="0044335E" w:rsidP="0044335E">
      <w:pPr>
        <w:tabs>
          <w:tab w:val="left" w:pos="6349"/>
        </w:tabs>
        <w:spacing w:after="100" w:afterAutospacing="1" w:line="276" w:lineRule="auto"/>
        <w:rPr>
          <w:rFonts w:cs="Arial"/>
        </w:rPr>
      </w:pPr>
      <w:r w:rsidRPr="0044335E">
        <w:rPr>
          <w:rFonts w:cs="Arial"/>
        </w:rPr>
        <w:t>Međutim, odredbama člana 34. Zakona o sprečavanju diskriminacije osoba sa invaliditetom propisano je da su organi javne vlasti (državni organi, organi teritorijalne autonomije, organi lokalne samouprave, organizacija kojoj je povereno vršenje javnih ovlašćenja, kao i pravno lice koje osnivaju ili finansiraju u celini ili pretežnom delu Republika Srbija, teritorijalna autonomija ili lokalna samouprava) dužni da u postupcima pred tim organima omoguće potpisivanje isprava pomoću pečata koji sadrži podatke o ličnom identitetu ili pomoću pečata s ugraviranim potpisom (stav 2) osobama sa invaliditetom. Stavom 3. istog člana propisano je da se isprave koje predstavljaju formu ugovora ili nekog drugog pravnog posla ne mogu potpisivati u skladu sa stavom 2. ovog člana, već u skladu sa propisima koji uređuju overu potpisa i potvrđivanje isprava. Odredbom člana 34a propisana je obaveza za sva pravna i fizička lica iz člana 13. Zakona o sprečavanju diskriminacije osoba sa invaliditetom da osobi koja ima trajne posledice telesnog ili senzornog oštećenja ili bolesti omogući korišćenje usluga potpisivanjem, kada je to potrebno, pomoću pečata koji sadrži podatke o ličnom identitetu ili pomoću pečata s ugraviranim potpisom, bez propisivanja izuzetka koji je propisan članom 34. stav 3. Zakona.</w:t>
      </w:r>
    </w:p>
    <w:p w:rsidR="00135D51" w:rsidRDefault="0044335E" w:rsidP="0044335E">
      <w:pPr>
        <w:tabs>
          <w:tab w:val="left" w:pos="6349"/>
        </w:tabs>
        <w:spacing w:after="100" w:afterAutospacing="1" w:line="276" w:lineRule="auto"/>
        <w:rPr>
          <w:rFonts w:cs="Arial"/>
          <w:lang w:val="sr-Latn-RS"/>
        </w:rPr>
      </w:pPr>
      <w:r w:rsidRPr="0044335E">
        <w:rPr>
          <w:rFonts w:cs="Arial"/>
        </w:rPr>
        <w:lastRenderedPageBreak/>
        <w:t>Imajući u vidu navedeno, poverenica za zaštitu ravnopravnosti preporučila je Ministarstvu za rad, zapošljavanje, boračka i socijalna pitanja da preduzme sve potrebne mere i radnje kako bi se prevazišle nedoumice u primeni Zakona o sprečavanju diskriminacije osoba sa invaliditetom i problemi koje imaju osobe sa invaliditetom u ostvarivanju pune ravnopravnosti, a naročito u domenu pristupačnosti pružanja usluga, kao i da pokrene inicijativu u pogledu usaglašavanja svih propisa s ovim antidiskriminacionim propisom.</w:t>
      </w:r>
    </w:p>
    <w:p w:rsidR="0044335E" w:rsidRPr="0044335E" w:rsidRDefault="0044335E" w:rsidP="0044335E">
      <w:pPr>
        <w:tabs>
          <w:tab w:val="left" w:pos="6349"/>
        </w:tabs>
        <w:spacing w:after="100" w:afterAutospacing="1" w:line="276" w:lineRule="auto"/>
        <w:rPr>
          <w:rFonts w:cs="Arial"/>
          <w:lang w:val="sr-Latn-RS"/>
        </w:rPr>
      </w:pPr>
    </w:p>
    <w:p w:rsidR="00135D51" w:rsidRPr="00135D51" w:rsidRDefault="002C0E0A" w:rsidP="00D93153">
      <w:pPr>
        <w:pStyle w:val="Heading4"/>
        <w:numPr>
          <w:ilvl w:val="0"/>
          <w:numId w:val="15"/>
        </w:numPr>
        <w:tabs>
          <w:tab w:val="left" w:pos="851"/>
        </w:tabs>
        <w:ind w:left="851" w:hanging="567"/>
        <w:rPr>
          <w:i w:val="0"/>
        </w:rPr>
      </w:pPr>
      <w:bookmarkStart w:id="38" w:name="_Toc477248621"/>
      <w:bookmarkStart w:id="39" w:name="_Toc477251746"/>
      <w:r>
        <w:rPr>
          <w:i w:val="0"/>
          <w:lang w:val="sr-Latn-RS"/>
        </w:rPr>
        <w:t>Upozorenja i saopštenja</w:t>
      </w:r>
      <w:bookmarkEnd w:id="38"/>
      <w:bookmarkEnd w:id="39"/>
    </w:p>
    <w:p w:rsidR="00135D51" w:rsidRPr="00135D51" w:rsidRDefault="002C0E0A" w:rsidP="00135D51">
      <w:pPr>
        <w:shd w:val="clear" w:color="auto" w:fill="75E5FB"/>
        <w:spacing w:after="100" w:afterAutospacing="1" w:line="276" w:lineRule="auto"/>
        <w:rPr>
          <w:rFonts w:cs="Arial"/>
          <w:i/>
        </w:rPr>
      </w:pPr>
      <w:r>
        <w:rPr>
          <w:rFonts w:cs="Arial"/>
          <w:i/>
          <w:lang w:val="sr-Latn-RS"/>
        </w:rPr>
        <w:t xml:space="preserve">Saopštenje povodom Međunarodnog dana osoba sa invaliditetom, 3. decembar </w:t>
      </w:r>
      <w:r w:rsidR="00135D51" w:rsidRPr="00135D51">
        <w:rPr>
          <w:rFonts w:cs="Arial"/>
          <w:i/>
        </w:rPr>
        <w:t>2016.</w:t>
      </w:r>
    </w:p>
    <w:p w:rsidR="002C0E0A" w:rsidRPr="002C0E0A" w:rsidRDefault="002C0E0A" w:rsidP="00135D51">
      <w:pPr>
        <w:spacing w:after="100" w:afterAutospacing="1" w:line="276" w:lineRule="auto"/>
        <w:rPr>
          <w:rFonts w:cs="Arial"/>
          <w:strike/>
          <w:lang w:val="sr-Latn-RS"/>
        </w:rPr>
      </w:pPr>
      <w:r w:rsidRPr="002C0E0A">
        <w:rPr>
          <w:rFonts w:cs="Arial"/>
        </w:rPr>
        <w:t>Povodom 3. decembra, Međunarodnog dana osoba sa invaliditetom, poverenica za zaštitu ravnopravnosti ukazala je na položaj osoba sa invaliditetom. Žene sa invaliditetom izložene su diskriminaciji u svim oblastima javnog i privatnog života, nailaze na prepreke u obrazovanju, zdravstvenoj i socijalnoj zaštiti, siromašnije su i manji broj žena ima zaposlenje u odnosu na broj muškaraca sa invaliditetom. S obzirom na to da je kroz pritužbe, relevantna istraživanja i razgovore sa organizacijama civilnog društva uočeno da se o ovoj temi ne govori dovoljno, u saradnji sa Agencijom UN za rodnu ravnopravnost i osnaživanje žena (UN WOMEN) i Visokim komesarijatom UN za ljudska prava u Srbiji, Poverenik za zaštitu ravnopravnosti je organizovao skup posvećen upravo suzbijanju diskriminacije žena i devojčica sa invaliditetom i unapređenju njihovog položaja u svim oblastima društvenog života. U saopštenju je istaknuto da je diskriminacija na osnovu invaliditeta treći najčešći osnov po kojem se podnose pritužbe Povereniku za zaštitu ravnopravnosti. Uočeno je da se muškarci sa invaliditetom znatno češće obraćaju Povereniku, zbog čega je neophodno ohrabriti žene sa invaliditetom da traže zaštitu od diskriminacije. Poverenica je takođe naglasila da je zakonski okvir zadovoljavajući, ali da je potrebno dodatno osnažiti i unaprediti položaj žena i devojčica sa invaliditetom.</w:t>
      </w:r>
    </w:p>
    <w:p w:rsidR="00135D51" w:rsidRPr="00135D51" w:rsidRDefault="002C0E0A" w:rsidP="00135D51">
      <w:pPr>
        <w:shd w:val="clear" w:color="auto" w:fill="75E5FB"/>
        <w:spacing w:after="100" w:afterAutospacing="1" w:line="276" w:lineRule="auto"/>
        <w:rPr>
          <w:rFonts w:cs="Arial"/>
          <w:i/>
        </w:rPr>
      </w:pPr>
      <w:r>
        <w:rPr>
          <w:rFonts w:cs="Arial"/>
          <w:i/>
          <w:lang w:val="sr-Latn-RS"/>
        </w:rPr>
        <w:t xml:space="preserve">Upozorenje za javnost povodom napada na paratekvondistu, </w:t>
      </w:r>
      <w:r w:rsidR="00135D51" w:rsidRPr="00135D51">
        <w:rPr>
          <w:rFonts w:cs="Arial"/>
          <w:i/>
        </w:rPr>
        <w:t xml:space="preserve">14. </w:t>
      </w:r>
      <w:r>
        <w:rPr>
          <w:rFonts w:cs="Arial"/>
          <w:i/>
          <w:lang w:val="sr-Latn-RS"/>
        </w:rPr>
        <w:t>septembar</w:t>
      </w:r>
      <w:r w:rsidR="00135D51" w:rsidRPr="00135D51">
        <w:rPr>
          <w:rFonts w:cs="Arial"/>
          <w:i/>
        </w:rPr>
        <w:t xml:space="preserve"> 2016.</w:t>
      </w:r>
    </w:p>
    <w:p w:rsidR="00135D51" w:rsidRDefault="002C0E0A" w:rsidP="00135D51">
      <w:pPr>
        <w:tabs>
          <w:tab w:val="left" w:pos="709"/>
          <w:tab w:val="center" w:pos="4986"/>
        </w:tabs>
        <w:spacing w:line="276" w:lineRule="auto"/>
        <w:rPr>
          <w:rFonts w:cs="Arial"/>
          <w:lang w:val="sr-Latn-RS"/>
        </w:rPr>
      </w:pPr>
      <w:r w:rsidRPr="002C0E0A">
        <w:rPr>
          <w:rFonts w:cs="Arial"/>
        </w:rPr>
        <w:t>Povodom fizičkog napada na paratekvondistu Dušana Marisavljevića, poverenica za zaštitu ravnopravnosti uputila je upozorenje javnosti u kojem je najoštrije osudila divljačko ponašanje i povređivanje sportiste samo zato što je nosio obeležja jednog sportskog kluba. Poverenica je upozorila i na činjenicu da se nasilničko ponašanje prema simpatizerima različitih sportskih klubova učestalo događa i da predstavlja veliki društveni problem, koji je ovog puta dobio težak oblik, s obzirom na to da je meta napada bila osoba sa invaliditetom. Apel je upućen i nadležnim organima da učine sve na pronalaženju počinilaca ovog napada, kao i da svi odgovorni akteri nastave rad na prevenciji i suzbijanju nasilničkog ponašanja.</w:t>
      </w:r>
    </w:p>
    <w:p w:rsidR="002C0E0A" w:rsidRPr="002C0E0A" w:rsidRDefault="002C0E0A" w:rsidP="00135D51">
      <w:pPr>
        <w:tabs>
          <w:tab w:val="left" w:pos="709"/>
          <w:tab w:val="center" w:pos="4986"/>
        </w:tabs>
        <w:spacing w:line="276" w:lineRule="auto"/>
        <w:rPr>
          <w:rFonts w:cs="Arial"/>
          <w:b/>
          <w:lang w:val="sr-Latn-RS"/>
        </w:rPr>
      </w:pPr>
    </w:p>
    <w:p w:rsidR="00135D51" w:rsidRPr="0011214A" w:rsidRDefault="00907D51" w:rsidP="00D93153">
      <w:pPr>
        <w:pStyle w:val="Heading3"/>
        <w:numPr>
          <w:ilvl w:val="0"/>
          <w:numId w:val="41"/>
        </w:numPr>
        <w:rPr>
          <w:rFonts w:cs="Arial"/>
          <w:b w:val="0"/>
          <w:i w:val="0"/>
        </w:rPr>
      </w:pPr>
      <w:bookmarkStart w:id="40" w:name="_Toc477248622"/>
      <w:bookmarkStart w:id="41" w:name="_Toc477251747"/>
      <w:r w:rsidRPr="0011214A">
        <w:rPr>
          <w:rStyle w:val="Heading3Char"/>
          <w:rFonts w:eastAsia="Calibri"/>
          <w:b/>
          <w:i/>
          <w:lang w:val="sr-Latn-RS"/>
        </w:rPr>
        <w:t>Diskriminacija na osnovu pola</w:t>
      </w:r>
      <w:bookmarkEnd w:id="40"/>
      <w:bookmarkEnd w:id="41"/>
      <w:r w:rsidR="00135D51" w:rsidRPr="0011214A">
        <w:rPr>
          <w:rFonts w:cs="Arial"/>
          <w:b w:val="0"/>
          <w:i w:val="0"/>
        </w:rPr>
        <w:t xml:space="preserve"> </w:t>
      </w:r>
    </w:p>
    <w:p w:rsidR="00907D51" w:rsidRPr="00907D51" w:rsidRDefault="00907D51" w:rsidP="00907D51">
      <w:pPr>
        <w:spacing w:after="100" w:afterAutospacing="1" w:line="276" w:lineRule="auto"/>
        <w:rPr>
          <w:rFonts w:cs="Arial"/>
        </w:rPr>
      </w:pPr>
      <w:r w:rsidRPr="00907D51">
        <w:rPr>
          <w:rFonts w:cs="Arial"/>
        </w:rPr>
        <w:t xml:space="preserve">I tokom 2016. godine diskriminacija na osnovu pola predstavljala je jedan od dva najčešća osnova diskriminacije zbog kojeg su građani podnosili pritužbe Povereniku za zaštitu ravnopravnosti. Položaj žena u Republici Srbiji i dalje je nepovoljniji u odnosu na položaj muškaraca u svim oblastima društvenog života, naročito u oblasti rada i zapošljavanja, </w:t>
      </w:r>
      <w:r w:rsidRPr="00907D51">
        <w:rPr>
          <w:rFonts w:cs="Arial"/>
        </w:rPr>
        <w:lastRenderedPageBreak/>
        <w:t xml:space="preserve">ekonomskoj sferi, učešću u političkom životu, a takođe žene u velikoj meri trpe rodno zasnovano nasilje. U istraživanju javnog mnjenja „Odnos građana i građanki prema diskriminaciji u Srbiji“, 16% ispitanika kao prvu asocijaciju o tome koje su grupe najviše izložene diskriminaciji navelo je upravo žene. Takođe, kao jednu od prvih asocijacija na pojam diskriminacije građani su navodili diskriminaciju prilikom zapošljavanja na osnovu pola i niže zarade žena za isti posao iste vrednosti. Očigledno je da se žene i dalje suočavaju s brojnim teškoćama i preprekama u ostvarivanju prava na ravnopravnost. </w:t>
      </w:r>
    </w:p>
    <w:p w:rsidR="00907D51" w:rsidRPr="00907D51" w:rsidRDefault="00907D51" w:rsidP="00907D51">
      <w:pPr>
        <w:spacing w:after="100" w:afterAutospacing="1" w:line="276" w:lineRule="auto"/>
        <w:rPr>
          <w:rFonts w:cs="Arial"/>
        </w:rPr>
      </w:pPr>
      <w:r w:rsidRPr="00907D51">
        <w:rPr>
          <w:rFonts w:cs="Arial"/>
        </w:rPr>
        <w:t xml:space="preserve">O položaju žena u Srbiji govori i prvi </w:t>
      </w:r>
      <w:r w:rsidRPr="00D719FC">
        <w:rPr>
          <w:rFonts w:cs="Arial"/>
          <w:i/>
        </w:rPr>
        <w:t>Indeks rodne ravnopravnosti za Srbiju</w:t>
      </w:r>
      <w:r w:rsidR="00D719FC">
        <w:rPr>
          <w:rStyle w:val="FootnoteReference"/>
          <w:rFonts w:cs="Arial"/>
          <w:i/>
        </w:rPr>
        <w:footnoteReference w:id="190"/>
      </w:r>
      <w:r w:rsidRPr="00907D51">
        <w:rPr>
          <w:rFonts w:cs="Arial"/>
        </w:rPr>
        <w:t xml:space="preserve"> , koji je objavio Tim za socijalno uključivanje i smanjenje siromaštva Vlade Republike Srbije. Indeks rodne ravnopravnosti meri rodnu ravnopravnost (rodni jaz) na skali od 1 (potpuna neravnopravnost) do 100 (potpuna ravnopravnost) kroz šest domena relevantnih za okvir politika EU: znanje, rad, novac, zdravlje, vreme i moć, kao i dva poddomena: nasilje i unakrsne nejednakosti. Indeks rodne ravnopravnosti za Srbiju, kako je navedeno, iznosi 40,6%, u odnosu na rezultat indeksa za zemlje članice Evropske unije koji iznosi 52,9%. Srbija zaostaje za prosekom u EU-28 za 12 procentnih poena, naročito imajući u vidu ozbiljne probleme u vezi s pozicijom žena različitih ranjivih grupa, koje su često izložene višestrukoj diskriminaciji (Romkinje, žene iz ruralnih oblasti, migrantkinje, pripadnice nacionalnih manjina, žene sa invaliditetom, samohrane majke, siromašne, nezaposlene žene i žene bez radnih veština, žene manjinske seksualne orijentacije itd). S obzirom na to da se Srbija u najvećem broju domena u kojima se meri rodna ravnopravnost nalazi u grupi država s niskim rezultatom, zaključak Tima za socijalno uključivanje i smanjenje siromaštva jeste da bi Srbija trebalo da kreira ambicioznu politiku rodne ravnopravnosti, koja bi postavila visoke, ali ostvarljive ciljeve, ugledajući se na rodno najravnopravnije države Evrope i učeći iz njihovih iskustava</w:t>
      </w:r>
      <w:r w:rsidR="00D719FC">
        <w:rPr>
          <w:rStyle w:val="FootnoteReference"/>
          <w:rFonts w:cs="Arial"/>
        </w:rPr>
        <w:footnoteReference w:id="191"/>
      </w:r>
      <w:r w:rsidRPr="00907D51">
        <w:rPr>
          <w:rFonts w:cs="Arial"/>
        </w:rPr>
        <w:t xml:space="preserve">. </w:t>
      </w:r>
    </w:p>
    <w:p w:rsidR="00907D51" w:rsidRPr="00907D51" w:rsidRDefault="00907D51" w:rsidP="00907D51">
      <w:pPr>
        <w:spacing w:after="100" w:afterAutospacing="1" w:line="276" w:lineRule="auto"/>
        <w:rPr>
          <w:rFonts w:cs="Arial"/>
        </w:rPr>
      </w:pPr>
      <w:r w:rsidRPr="00907D51">
        <w:rPr>
          <w:rFonts w:cs="Arial"/>
        </w:rPr>
        <w:t>Drugo značajno istraživanje u vezi s položajem žena sproveo je Tim za socijalno uključivanje i smanjenje siromaštva Vlade Republike Srbije u saradnji sa Svetskom bankom. Ovo istraživanje odnosi se na mogućnosti pristupa ekonomskim šansama u Srbiji za žene</w:t>
      </w:r>
      <w:r w:rsidR="00D719FC">
        <w:rPr>
          <w:rStyle w:val="FootnoteReference"/>
          <w:rFonts w:cs="Arial"/>
        </w:rPr>
        <w:footnoteReference w:id="192"/>
      </w:r>
      <w:r w:rsidRPr="00907D51">
        <w:rPr>
          <w:rFonts w:cs="Arial"/>
        </w:rPr>
        <w:t xml:space="preserve">  i pokazuje da u Srbiji i dalje postoji veliki jaz u platama između muškaraca i žena, posebno na visokim nivoima zarade, što ukazuje na to da postoji gornja granica za zarade žena. Zatim, istraživanje je pokazalo da su žene u Srbiji slabijeg zdravstvenog stanja u poređenju s muškarcima i da češće nego muškarci sebi ne mogu da obezbede zdravstvene usluge. Ovaj pokazatelj nesporno zaslužuje veću pažnju kreatora politike, imajući u vidu da unapređenje zdravlja žena doprinosi njihovom ekonomskom osnaživanju. Još jedna ključna oblast na koju bi mere politike morale da se usredsrede jeste ulaganje u objekte za brigu o deci, što bi zaposlenim majkama omogućilo da lakše pomire obaveze u porodici i na poslu, a onim ženama koje su trenutno neaktivne ili nezaposlene otvorilo nove šanse da ostvare dohodak. </w:t>
      </w:r>
      <w:r w:rsidRPr="00907D51">
        <w:rPr>
          <w:rFonts w:cs="Arial"/>
        </w:rPr>
        <w:lastRenderedPageBreak/>
        <w:t>Prema Indeksu rodne ravnopravnosti, korišćenje vremena jeste ona oblast u kojoj vladaju niska postignuća i značajne rodne razlike. Žene su nesrazmerno više opterećene aktivnostima i obavezama koje se odnose na brigu o članovima porodice i rad u domaćinstvu</w:t>
      </w:r>
      <w:r w:rsidR="004507F0">
        <w:rPr>
          <w:rStyle w:val="FootnoteReference"/>
          <w:rFonts w:cs="Arial"/>
        </w:rPr>
        <w:footnoteReference w:id="193"/>
      </w:r>
      <w:r w:rsidRPr="00907D51">
        <w:rPr>
          <w:rFonts w:cs="Arial"/>
        </w:rPr>
        <w:t xml:space="preserve">. </w:t>
      </w:r>
    </w:p>
    <w:p w:rsidR="00907D51" w:rsidRPr="00907D51" w:rsidRDefault="00907D51" w:rsidP="00907D51">
      <w:pPr>
        <w:spacing w:after="100" w:afterAutospacing="1" w:line="276" w:lineRule="auto"/>
        <w:rPr>
          <w:rFonts w:cs="Arial"/>
        </w:rPr>
      </w:pPr>
      <w:r w:rsidRPr="00907D51">
        <w:rPr>
          <w:rFonts w:cs="Arial"/>
        </w:rPr>
        <w:t>Praksa Poverenika za zaštitu ravnopravnosti takođe pokazuje da se žene stavljaju u nejednak položaj u oblasti rada i zapošljavanja, a naročito zbog materinstva, što im često otežava nalaženje zaposlenja i kasnije napredovanje na poslu u odnosu na muškarce. U posebno teškom položaju nalaze se zaposlene samohrane majke, imajući u vidu da neki poslodavci kada odlučuju o radnom statusu zaposlenih svoje odluke baziraju na predrasudama i stereotipima da žene zbog svojih porodičnih obaveza nisu efikasne i produktivne kao njihove muške kolege.</w:t>
      </w:r>
    </w:p>
    <w:p w:rsidR="00907D51" w:rsidRPr="00907D51" w:rsidRDefault="00907D51" w:rsidP="00907D51">
      <w:pPr>
        <w:spacing w:after="100" w:afterAutospacing="1" w:line="276" w:lineRule="auto"/>
        <w:rPr>
          <w:rFonts w:cs="Arial"/>
        </w:rPr>
      </w:pPr>
      <w:r w:rsidRPr="00907D51">
        <w:rPr>
          <w:rFonts w:cs="Arial"/>
        </w:rPr>
        <w:t>Što se tiče učešća žena u javnom i političkom životu, značajan pokazatelj jeste i istraživanje</w:t>
      </w:r>
      <w:r w:rsidR="004507F0">
        <w:rPr>
          <w:rStyle w:val="FootnoteReference"/>
          <w:rFonts w:cs="Arial"/>
        </w:rPr>
        <w:footnoteReference w:id="194"/>
      </w:r>
      <w:r w:rsidRPr="00907D51">
        <w:rPr>
          <w:rFonts w:cs="Arial"/>
        </w:rPr>
        <w:t xml:space="preserve">  koje je objavio Pokrajinski ombudsman u julu 2016. godine, o primeni principa rodne ravnopravnosti u jedinicama lokalne samouprave na teritoriji AP Vojvodine. Istraživanje je pokazalo da su u svim sferama javne lokalne politike i vlasti prisutna nejednakost i neravnopravnost polova i da i dalje muškarcima pripadaju mesta i pozicije odlučivanja i moći, dok su žene u vlasti prisutne samo u onoj meri u kojoj to obezbeđuju afirmativne mere u vidu kvota. Naime, žene su formalno u mogućnosti da donose odluke, jer se neke od njih nalaze na važnim pozicijama, međutim, važno je istaći da žene i kada se nalaze na određenoj poziciji, najčešće rukovode sektorima koji se tradicionalno dodeljuju ženama, kao što su društvena pitanja, obrazovanje i socijalna zaštita</w:t>
      </w:r>
      <w:r w:rsidR="004507F0">
        <w:rPr>
          <w:rStyle w:val="FootnoteReference"/>
          <w:rFonts w:cs="Arial"/>
        </w:rPr>
        <w:footnoteReference w:id="195"/>
      </w:r>
      <w:r w:rsidRPr="00907D51">
        <w:rPr>
          <w:rFonts w:cs="Arial"/>
        </w:rPr>
        <w:t xml:space="preserve"> . Zatim, rezultati ovog istraživanja pokazali su da je u postojećoj organizaciji i aktima o unutrašnjem uređenju i sistematizaciji u 81% lokalnih samouprava (u odnosu na broj lokalnih samouprava koje su učestvovale u istraživanju) organizovano stalno radno telo za rodnu ravnopravnost, najčešće u formi komisije za rodnu ravnopravnost ili saveta za rodnu ravnopravnost. S druge strane, u 52% opština/gradova, osim stalnog radnog tela, određen/određena je i zaposleni/zaposlena za rodnu ravnopravnost, dok je u četiri jedinice lokalne samouprave za ovu oblast isključivo zadužena osoba za rodnu ravnopravnost. Rodno osetljiv budžet izradile su samo neke opštine, dok je odluku o ravnopravnosti polova usvojila polovina jedinica lokalne samouprave koje su odgovorile na upitnik, odnosno trećina ukupnog broja jedinica lokalne samouprave, dok šest lokalnih samouprava planira usvajanje ove odluke. Ovo istraživanje pokazalo je da muškarci u nesrazmerno većem broju u odnosu na žene rukovode gradovima i opštinama, odnosno, muškarci su u 85% jedinica lokalne samouprave predsednici skupštine grada/opštine, dok se u čak 92% lokalnih samouprava nalaze na pozicijama predsednika opština/gradonačelnika.  </w:t>
      </w:r>
    </w:p>
    <w:p w:rsidR="00907D51" w:rsidRPr="00907D51" w:rsidRDefault="00907D51" w:rsidP="00907D51">
      <w:pPr>
        <w:spacing w:after="100" w:afterAutospacing="1" w:line="276" w:lineRule="auto"/>
        <w:rPr>
          <w:rFonts w:cs="Arial"/>
        </w:rPr>
      </w:pPr>
      <w:r w:rsidRPr="00907D51">
        <w:rPr>
          <w:rFonts w:cs="Arial"/>
        </w:rPr>
        <w:t xml:space="preserve">Prema navedenom istraživanju Pokrajinskog ombudsmana, žene zauzimaju nešto više od trećine odborničkih mesta u skupštinama jedinica lokalne samouprave, a čine i trećinu </w:t>
      </w:r>
      <w:r w:rsidRPr="00907D51">
        <w:rPr>
          <w:rFonts w:cs="Arial"/>
        </w:rPr>
        <w:lastRenderedPageBreak/>
        <w:t>ukupnog broja potpredsednika skupštine opštine/grada, kao i 20% članstva opštinskog/gradskog veća (članice opštinskog/gradskog veća najčešće su zadužene za oblasti zdravstva, obrazovanja, socijalna pitanja, kulturu, rodnu ravnopravnost i slično). Odnos muškaraca i žena među načelnicima opštinskih/gradskih uprava je približno isti. Žene su na mestima direktorki javnih preduzeća i ustanova u trećini ukupnog broja jedinica lokalne samouprave, i to najčešće u ustanovama kao što su biblioteke, predškolske ustanove, centri za socijalni rad, galerije, muzeji i slično. U nadzornim odborima javnih preduzeća žene čine 27% ukupnog broja članova, a u izvršnim odborima (tamo gde oni postoje) njih i nema. Istovremeno, u upravnim odborima ustanova žene čine nešto više od polovine članstva, dok se u telima za ravnopravnost polova nalazi 77%, a u kriznim štabovima / štabovima za vanredne situacije – 21% žena</w:t>
      </w:r>
      <w:r w:rsidR="004507F0">
        <w:rPr>
          <w:rStyle w:val="FootnoteReference"/>
          <w:rFonts w:cs="Arial"/>
        </w:rPr>
        <w:footnoteReference w:id="196"/>
      </w:r>
      <w:r w:rsidRPr="00907D51">
        <w:rPr>
          <w:rFonts w:cs="Arial"/>
        </w:rPr>
        <w:t>.  Rezultati ovog istraživanja pokazuju da žena i dalje nema dovoljno na mestima na kojima su koncentrisana moć i vlast, a veoma je prisutna i feminizacija određenih profesija, koje se smatraju „tipično ženskim“ zbog postojanja stereotipnih rodnih obrazaca. Ovim problemom tokom prethodne godine bavio se i Poverenik za zaštitu ravnopravnosti u postupku po pritužbama građana i građanki, te je u jednom od svojih mišljenja ukazao na to da nepoštovanje rodne ravnopravnosti prilikom izbora članova izvršnih organa lokalne samouprave predstavlja diskriminaciju žena na osnovu pola.</w:t>
      </w:r>
    </w:p>
    <w:p w:rsidR="00907D51" w:rsidRPr="00907D51" w:rsidRDefault="00907D51" w:rsidP="00907D51">
      <w:pPr>
        <w:spacing w:after="100" w:afterAutospacing="1" w:line="276" w:lineRule="auto"/>
        <w:rPr>
          <w:rFonts w:cs="Arial"/>
        </w:rPr>
      </w:pPr>
      <w:r w:rsidRPr="00907D51">
        <w:rPr>
          <w:rFonts w:cs="Arial"/>
        </w:rPr>
        <w:t>Iako su u prethodnom periodu usvojeni značajni pravni akti u vezi sa suzbijanjem rodno zasnovanog nasilja nad ženama, u Srbiji još uvek postoji problem u pružanju delotvorne zaštite od nasilja u porodici i drugih oblika rodno zasnovanog nasilja nad ženama. O tome svedoči i publikacija Zaštitnika građana Zaštita žena od nasilja u porodici i partnerskim odnosima – izabrane preporuke</w:t>
      </w:r>
      <w:r w:rsidR="004507F0">
        <w:rPr>
          <w:rStyle w:val="FootnoteReference"/>
          <w:rFonts w:cs="Arial"/>
        </w:rPr>
        <w:footnoteReference w:id="197"/>
      </w:r>
      <w:r w:rsidRPr="00907D51">
        <w:rPr>
          <w:rFonts w:cs="Arial"/>
        </w:rPr>
        <w:t xml:space="preserve"> , u kojoj je istaknuto da su u 60 slučajeva koje je Zaštitnik građana ispitivao, a od kojih se 14 odnosilo na ubistva žena žrtava porodičnog nasilja, utvrđeni brojni propusti nadležnih organa u zaštiti žena od nasilja u porodici i partnerskim odnosima. Tako je, primera radi, Zaštitnik građana utvrdio da je samo u jednom od pomenutih slučajeva policija obavestila centar za socijalni rad o primljenoj prijavi nasilja, preduzetim merama i proceni policijskih službenika. U većem broju slučajeva, policijski službenici davali su ocene prijavljenih incidenata, ne kvalifikujući ih kao nasilje, već kao „porodične nesuglasice“, „verbalni sukob“, „narušene porodične odnose“, „loše bračne odnose“, iako ovim ocenama nisu prethodile aktivnosti na utvrđivanju svih činjenica – izuzev uzimanja izjava od prijaviteljke i prijavljenog</w:t>
      </w:r>
      <w:r w:rsidR="004507F0">
        <w:rPr>
          <w:rStyle w:val="FootnoteReference"/>
          <w:rFonts w:cs="Arial"/>
        </w:rPr>
        <w:footnoteReference w:id="198"/>
      </w:r>
      <w:r w:rsidRPr="00907D51">
        <w:rPr>
          <w:rFonts w:cs="Arial"/>
        </w:rPr>
        <w:t xml:space="preserve"> . </w:t>
      </w:r>
    </w:p>
    <w:p w:rsidR="00907D51" w:rsidRPr="00907D51" w:rsidRDefault="00907D51" w:rsidP="00907D51">
      <w:pPr>
        <w:spacing w:after="100" w:afterAutospacing="1" w:line="276" w:lineRule="auto"/>
        <w:rPr>
          <w:rFonts w:cs="Arial"/>
        </w:rPr>
      </w:pPr>
      <w:r w:rsidRPr="00907D51">
        <w:rPr>
          <w:rFonts w:cs="Arial"/>
        </w:rPr>
        <w:t>Takođe, Pokrajinski sekretarijat za socijalnu politiku, demografiju i ravnopravnost polova objavio je Zbirku konferencija slučaja nasilja nad ženama u porodici i partnerskim odnosima</w:t>
      </w:r>
      <w:r w:rsidR="004507F0">
        <w:rPr>
          <w:rStyle w:val="FootnoteReference"/>
          <w:rFonts w:cs="Arial"/>
        </w:rPr>
        <w:footnoteReference w:id="199"/>
      </w:r>
      <w:r w:rsidRPr="00907D51">
        <w:rPr>
          <w:rFonts w:cs="Arial"/>
        </w:rPr>
        <w:t xml:space="preserve"> , u kojoj prikazani slučajevi prikazuju određene teškoće u radu s kojima se suočavaju profesionalci koji su zaduženi za suzbijanje rodno zasnovanog nasilja, ali i najefikasniji načini za prevazilaženje ovih teškoća u radu sa ženama u situaciji nasilja u porodici ili partnerskom odnosu. Kao zaključak u publikaciji je istaknuto da je konferencija </w:t>
      </w:r>
      <w:r w:rsidRPr="00907D51">
        <w:rPr>
          <w:rFonts w:cs="Arial"/>
        </w:rPr>
        <w:lastRenderedPageBreak/>
        <w:t>slučaja prihvatljiva kao tehnika rada na zaustavljanju nasilja u porodici i partnerskim odnosima, kao i to da je glavni cilj konferencije slučaja da se nasilje zaustavi koordinisanom akcijom različitih institucija</w:t>
      </w:r>
      <w:r w:rsidR="004507F0">
        <w:rPr>
          <w:rStyle w:val="FootnoteReference"/>
          <w:rFonts w:cs="Arial"/>
        </w:rPr>
        <w:footnoteReference w:id="200"/>
      </w:r>
      <w:r w:rsidRPr="00907D51">
        <w:rPr>
          <w:rFonts w:cs="Arial"/>
        </w:rPr>
        <w:t xml:space="preserve">. </w:t>
      </w:r>
    </w:p>
    <w:p w:rsidR="00907D51" w:rsidRPr="00907D51" w:rsidRDefault="00907D51" w:rsidP="00907D51">
      <w:pPr>
        <w:spacing w:after="100" w:afterAutospacing="1" w:line="276" w:lineRule="auto"/>
        <w:rPr>
          <w:rFonts w:cs="Arial"/>
        </w:rPr>
      </w:pPr>
      <w:r w:rsidRPr="00907D51">
        <w:rPr>
          <w:rFonts w:cs="Arial"/>
        </w:rPr>
        <w:t xml:space="preserve">Imajući u vidu da nasilje nad ženama predstavlja jedan od najdrastičnijih vidova kršenja ženskih ljudskih prava, Republika Srbija je u novembru ove godine usvojila Zakon o sprečavanju nasilja u porodici i Zakon o izmenama i dopunama Krivičnog zakonika. Cilj Zakona o sprečavanju nasilja u porodici jeste da na opšti i jedinstven način uredi organizaciju i postupanje državnih organa i ustanova, te da tako obezbedi delotvorno sprečavanje nasilja u porodici i hitnu, blagovremenu i delotvornu zaštitu i podršku osobama u situaciji nasilja u porodici. Značajne novine uvedene su po pitanju hitnih mera koje izriču policijski službenici i propisivanjem uvođenja centralne evidencije o slučajevima nasilja u porodici koju će voditi Republičko javno tužilaštvo. Naime, ovim zakonom propisano je da nadležni policijski službenik u slučajevima kada utvrdi da postoji neposredna opasnost od nasilja u porodici donosi naređenje kojim izriče hitnu meru učiniocu koji je doveden u nadležnu organizacionu jedinicu policije. Hitne mere koje izriču policijski službenici odnose se na privremeno udaljenje učinioca iz stana i meru privremene zabrane učiniocu da kontaktira žrtvu nasilja i prilazi joj, a mogu se izreći i obe mere. Ove hitne mere traju 48 časova od uručenja naređenja, ali sud može hitnu meru da produži za još 30 dana. Poverenik za zaštitu ravnopravnosti je još tokom 2015. godine, prilikom davanja mišljenja na Nacrt zakona o policiji, ukazivao na potrebu da se propiše ovlašćenje policijskih službenika da u slučajevima nasilja u porodici izriču hitne mere privremenog udaljavanja s adrese stanovanja, iz kuće odnosno stana, lica koje vrši nasilje prema članovima porodice, na minimum 14 dana, kao i privremene zabrane kontaktiranja s članom porodice i slično, a s ciljem sprečavanja daljeg vršenja nasilja. Značaj propisivanja ovlašćenja policijskih službenika da samostalno odlučuju o izricanju hitne mere u slučajevima nasilja u porodici Poverenik je obrazložio primarnim ciljem hitnih mera, a to je neodložno, tj. na licu mesta, garantovanje bezbednosti žrtvi nasilja u porodici u situacijama neposredne opasnosti. Što se tiče Zakona o izmenama i dopunama Krivičnog zakonika, inkriminisano je nekoliko dela čije su žrtve najčešće žene i koja zapravo predstavljaju manifestacije rodno zasnovanog nasilja. Naime, propisana su krivična dela sakaćenje ženskog polnog organa, proganjanje, polno uznemiravanje i prinudno zaključenje braka. Imajući u vidu da će ovi novi, odnosno izmenjeni zakoni, stupiti na snagu tokom 2017. godine, njihovi efekti na suzbijanje rodno zasnovanog nasilja moći će da se analiziraju u periodu koji je pred nama. </w:t>
      </w:r>
    </w:p>
    <w:p w:rsidR="00907D51" w:rsidRPr="00907D51" w:rsidRDefault="00907D51" w:rsidP="00907D51">
      <w:pPr>
        <w:spacing w:after="100" w:afterAutospacing="1" w:line="276" w:lineRule="auto"/>
        <w:rPr>
          <w:rFonts w:cs="Arial"/>
        </w:rPr>
      </w:pPr>
      <w:r w:rsidRPr="00907D51">
        <w:rPr>
          <w:rFonts w:cs="Arial"/>
        </w:rPr>
        <w:t>Još jedan od problema s kojim se suočavaju žene u Srbiji jeste način na koji su predstavljene u jednom broju medija, gde su prikazane kao nekompetentne i inferiorne, na omalovažavajući način i posredstvom svog fizičkog izgleda, a ne stručnošću i rezultatima svoga rada. Poverenik za zaštitu ravnopravnosti u Priručniku za novinare i novinarke – Borba za ravnopravnost</w:t>
      </w:r>
      <w:r w:rsidR="002374D9">
        <w:rPr>
          <w:rStyle w:val="FootnoteReference"/>
          <w:rFonts w:cs="Arial"/>
        </w:rPr>
        <w:footnoteReference w:id="201"/>
      </w:r>
      <w:r w:rsidRPr="00907D51">
        <w:rPr>
          <w:rFonts w:cs="Arial"/>
        </w:rPr>
        <w:t xml:space="preserve">  ukazao je na postojanje ovog problema. Ovakav odnos jednog broja medija predstavlja izazov u radu Poverenika za zaštitu ravnopravnosti, jer iako u nekim segmentima postoji pomak u izveštavanju, još uvek je jedan broj medija nedovoljno </w:t>
      </w:r>
      <w:r w:rsidRPr="00907D51">
        <w:rPr>
          <w:rFonts w:cs="Arial"/>
        </w:rPr>
        <w:lastRenderedPageBreak/>
        <w:t xml:space="preserve">zainteresovan za problem diskriminacije. Nažalost, jedan broj tekstova i priloga podstiče dalje širenje stereotipa, predrasuda i diskriminatornih stavova. </w:t>
      </w:r>
    </w:p>
    <w:p w:rsidR="00907D51" w:rsidRPr="00907D51" w:rsidRDefault="00907D51" w:rsidP="00907D51">
      <w:pPr>
        <w:spacing w:after="100" w:afterAutospacing="1" w:line="276" w:lineRule="auto"/>
        <w:rPr>
          <w:rFonts w:cs="Arial"/>
        </w:rPr>
      </w:pPr>
      <w:r w:rsidRPr="00907D51">
        <w:rPr>
          <w:rFonts w:cs="Arial"/>
        </w:rPr>
        <w:t>Takođe, posebno zabrinjava izveštavanje o nasilju nad ženama u medijima na senzacionalistički način, koji je poverenica za zaštitu ravnopravnosti više puta osuđivala i skretala pažnju da se izveštavanjem o nasilju u porodici direktno oblikuju stavovi građana i građanki u Srbiji. Na ovaj problem ukazivano je u drugom izdanju Vodiča za novinar(k)e – nasilje u porodici, koji je objavio Autonomni ženski centar</w:t>
      </w:r>
      <w:r w:rsidR="002374D9">
        <w:rPr>
          <w:rStyle w:val="FootnoteReference"/>
          <w:rFonts w:cs="Arial"/>
        </w:rPr>
        <w:footnoteReference w:id="202"/>
      </w:r>
      <w:r w:rsidRPr="00907D51">
        <w:rPr>
          <w:rFonts w:cs="Arial"/>
        </w:rPr>
        <w:t xml:space="preserve"> , u kojem je istaknuto da je za novinare koji izveštavaju (ili istražuju) nasilje u porodici i nasilje prema ženama od presudne važnosti poznavanje i razumevanje ključnih karakteristika ovih fenomena</w:t>
      </w:r>
      <w:r w:rsidR="002374D9">
        <w:rPr>
          <w:rStyle w:val="FootnoteReference"/>
          <w:rFonts w:cs="Arial"/>
        </w:rPr>
        <w:footnoteReference w:id="203"/>
      </w:r>
      <w:r w:rsidRPr="00907D51">
        <w:rPr>
          <w:rFonts w:cs="Arial"/>
        </w:rPr>
        <w:t>. To omogućava da opisi događaja, konteksta, žrtve, učinioca nasilja i društvene odgovornosti budu korektni. Nužno je, kako se navodi, i postojanje odgovarajućeg stava u odnosu na fenomen(e), kako bi iz izveštaja bilo isključeno svako stereotipizirano, pojednostavljeno, pogrešno ili diskriminišuće opisivanje i komentarisanje događaja i fenomena.  U priručniku je posebno navedeno da opisi situacije koji navode „provokaciju“ žene ili reči i komentari kojima se ukazuje da je žrtva svojim ponašanjem „izazvala“ nasilnika, ili da „ništa nije činila da se zaštiti“, doprinose utisku da je kontrola nasilnog ponašanja u moći i odgovornosti žrtve. To stvara utisak da se nasilje opravdava ili umanjuje, odnosno da se okrivljuje žrtva. Takođe, u priručniku je ukazano na to da bi trebalo da novinari izbegavaju i konstrukcije kojima se implicira da se nasilje prema ženama dogodilo „bez ikakvog razloga“, jer se na taj način sugeriše da postoje „opravdani“ razlozi za nasilje, a i nedopustivo je da se umesto ukazivanja na to da je izvršeno nasilje prema ženama, govori da je „došlo do tragedije“, imajući u vidu da se na taj način javnosti šalje poruka da se nasilje desilo (samo od sebe), a ne da je učinjeno kao (svesni) izbor nasilnika</w:t>
      </w:r>
      <w:r w:rsidR="0017695C">
        <w:rPr>
          <w:rStyle w:val="FootnoteReference"/>
          <w:rFonts w:cs="Arial"/>
        </w:rPr>
        <w:footnoteReference w:id="204"/>
      </w:r>
      <w:r w:rsidRPr="00907D51">
        <w:rPr>
          <w:rFonts w:cs="Arial"/>
        </w:rPr>
        <w:t xml:space="preserve">.  Na štetnost ovakvog senzacionalističkog izveštavanja upozoravala je poverenica za zaštitu ravnopravnosti nekoliko puta tokom ove godine i ukazivala na to da upravo zato što mediji imaju presudnu ulogu u formiranju javnog mnjenja, na njima su i odgovornost i zadatak da svojim izveštavanjem zaštite žrtvu i nedvosmisleno poruče da je nasilje krivično delo i da mora biti kažnjivo. </w:t>
      </w:r>
    </w:p>
    <w:p w:rsidR="00907D51" w:rsidRPr="00907D51" w:rsidRDefault="00907D51" w:rsidP="00907D51">
      <w:pPr>
        <w:spacing w:after="100" w:afterAutospacing="1" w:line="276" w:lineRule="auto"/>
        <w:rPr>
          <w:rFonts w:cs="Arial"/>
        </w:rPr>
      </w:pPr>
      <w:r w:rsidRPr="00907D51">
        <w:rPr>
          <w:rFonts w:cs="Arial"/>
        </w:rPr>
        <w:t xml:space="preserve">U 2016. godini Povereniku je zbog diskriminacije na osnovu pola podneto 12,9% od ukupnog broja svih pritužbi, čime je pol zajedno s invaliditetom najčešći osnov diskriminacije zbog kojeg su se građani obraćali Povereniku za zaštitu ravnopravnosti. Najveći broj pritužbi podnela su fizička lica (75), od čega 57 žena i 18 muškaraca. Kao i prethodne godine, primetno je da žene češće podnose pritužbe zbog diskriminacije na osnovu pola, dok muškarci češće podnose pritužbe uopšte. </w:t>
      </w:r>
    </w:p>
    <w:p w:rsidR="00907D51" w:rsidRPr="00907D51" w:rsidRDefault="00907D51" w:rsidP="00907D51">
      <w:pPr>
        <w:spacing w:after="100" w:afterAutospacing="1" w:line="276" w:lineRule="auto"/>
        <w:rPr>
          <w:rFonts w:cs="Arial"/>
        </w:rPr>
      </w:pPr>
      <w:r w:rsidRPr="00907D51">
        <w:rPr>
          <w:rFonts w:cs="Arial"/>
        </w:rPr>
        <w:t xml:space="preserve">Kao i prethodne godine, u odnosu na oblasti u kojima su ove pritužbe podnete, najveći broj je podnet u oblasti rada i zapošljavanja. U ovoj oblasti se već nekoliko godina unazad podnosi najveći broj pritužbi, a ove godine ih je bilo ukupno 212, odnosno 33,9%. Od tog broja pritužbi, pol kao lično svojstvo naveden je u 15,4% pritužbi, od čega su neuporedivo veći broj podnele žene nego muškarci (29 žena i pet muškaraca). Iz navedenog se može zaključiti da su žene i dalje najviše diskriminisane u oblasti rada i zapošljavanja, te da se u ovom pogledu </w:t>
      </w:r>
      <w:r w:rsidRPr="00907D51">
        <w:rPr>
          <w:rFonts w:cs="Arial"/>
        </w:rPr>
        <w:lastRenderedPageBreak/>
        <w:t>situacija nije značajno promenila u odnosu na prethodnu godinu, kada je 36,3% pritužbi podneto u ovoj oblasti, od čega su najveći broj podnele žene. Sagledavajući druge oblasti u kojima su podnete pritužbe zbog diskriminacije na osnovu pola, može se istaći da je druga oblast u kojoj su podnete pritužbe na osnovu pola pritužba zbog postupaka pred organima javne vlasti (11,5%), skoro dvostruko više u odnosu na prethodnu godinu, u kojoj je ovaj procenat iznosio 6,3. Takođe, uočljiv je porast u broju pritužbi koje se podnose zbog diskriminacije na osnovu pola u medijima i javnom informisanju, koji je ranije iznosio 4,3%, a sada je 9,7%. Pored toga, beleži se i porast pritužbi zbog diskriminacije na osnovu pola u oblasti obrazovanja i stručnog usavršavanja, koji sada iznosi 4,6%, u odnosu na prošlogodišnjih 2%. Takođe, uočljivo je da su sve pritužbe zbog diskriminacije na osnovu pola u oblasti obrazovanja i stručnog usavršavanja podnele žene.</w:t>
      </w:r>
    </w:p>
    <w:p w:rsidR="00907D51" w:rsidRPr="00907D51" w:rsidRDefault="00907D51" w:rsidP="00907D51">
      <w:pPr>
        <w:spacing w:after="100" w:afterAutospacing="1" w:line="276" w:lineRule="auto"/>
        <w:rPr>
          <w:rFonts w:cs="Arial"/>
        </w:rPr>
      </w:pPr>
      <w:r w:rsidRPr="00907D51">
        <w:rPr>
          <w:rFonts w:cs="Arial"/>
        </w:rPr>
        <w:t xml:space="preserve">Iz navedenog se može zaključiti da je pol i ove godine najčešći osnov diskriminacije, iako su pritužbe po ovom osnovu podnete u nešto manjem procentu nego što je to bio slučaj prethodne godine. U 2015. godini jedan od ključnih razloga koji je uticao na broj pritužbi bila je sporna diskriminatorna odredba u Zakonu o načinu određivanja maksimalnog broja zaposlenih u javnom sektoru, koja se odnosila na žene i njihov odlazak u penziju. </w:t>
      </w:r>
    </w:p>
    <w:p w:rsidR="00135D51" w:rsidRPr="00135D51" w:rsidRDefault="00907D51" w:rsidP="00907D51">
      <w:pPr>
        <w:spacing w:after="100" w:afterAutospacing="1" w:line="276" w:lineRule="auto"/>
        <w:rPr>
          <w:rFonts w:cs="Arial"/>
        </w:rPr>
      </w:pPr>
      <w:r w:rsidRPr="00907D51">
        <w:rPr>
          <w:rFonts w:cs="Arial"/>
        </w:rPr>
        <w:t>Uočljivo je da su žene uglavnom podnosile pritužbe jer im zbog njihovog pola, ali i porodičnog statusa, nije bilo omogućeno da napreduju na poslu, ili zbog toga što su tokom odsustva s rada zbog nege deteta dobijale otkaz ugovora o radu, ili su raspoređivane na druga radna mesta, koja su, po pravilu, nižeg ranga i s manjom zaradom.</w:t>
      </w:r>
      <w:r w:rsidR="00135D51" w:rsidRPr="00135D51">
        <w:rPr>
          <w:rFonts w:cs="Arial"/>
        </w:rPr>
        <w:br/>
      </w:r>
    </w:p>
    <w:p w:rsidR="00135D51" w:rsidRPr="00135D51" w:rsidRDefault="0043571F" w:rsidP="00135D51">
      <w:pPr>
        <w:pStyle w:val="Heading4"/>
      </w:pPr>
      <w:bookmarkStart w:id="42" w:name="_Toc477248623"/>
      <w:bookmarkStart w:id="43" w:name="_Toc477251748"/>
      <w:r>
        <w:rPr>
          <w:lang w:val="sr-Latn-RS"/>
        </w:rPr>
        <w:t>Mišljenja i preporuke</w:t>
      </w:r>
      <w:bookmarkEnd w:id="42"/>
      <w:bookmarkEnd w:id="43"/>
    </w:p>
    <w:p w:rsidR="00135D51" w:rsidRPr="00135D51" w:rsidRDefault="0043571F" w:rsidP="00135D51">
      <w:pPr>
        <w:shd w:val="clear" w:color="auto" w:fill="75E5FB"/>
        <w:spacing w:after="100" w:afterAutospacing="1" w:line="276" w:lineRule="auto"/>
        <w:jc w:val="left"/>
        <w:rPr>
          <w:rFonts w:cs="Arial"/>
          <w:i/>
        </w:rPr>
      </w:pPr>
      <w:r>
        <w:rPr>
          <w:rFonts w:cs="Arial"/>
          <w:i/>
          <w:lang w:val="sr-Latn-RS"/>
        </w:rPr>
        <w:t>Posredna diskriminacija po osnovu pola i porodičnog statusa u oblasti rada i zapošljavanja</w:t>
      </w:r>
    </w:p>
    <w:p w:rsidR="00EA3D9E" w:rsidRPr="00EA3D9E" w:rsidRDefault="00EA3D9E" w:rsidP="00EA3D9E">
      <w:pPr>
        <w:spacing w:after="100" w:afterAutospacing="1" w:line="276" w:lineRule="auto"/>
        <w:rPr>
          <w:rFonts w:cs="Arial"/>
          <w:kern w:val="3"/>
          <w:lang w:eastAsia="zh-CN" w:bidi="hi-IN"/>
        </w:rPr>
      </w:pPr>
      <w:r w:rsidRPr="00EA3D9E">
        <w:rPr>
          <w:rFonts w:cs="Arial"/>
          <w:kern w:val="3"/>
          <w:lang w:eastAsia="zh-CN" w:bidi="hi-IN"/>
        </w:rPr>
        <w:t xml:space="preserve">Podnositeljka pritužbe je majka dvoje maloletne dece, zaposlena u Ministarstvu unutrašnjih poslova, Komanda Žandarmerije, na poslovima zdravstvene zaštite, na radnom mestu lekara, a predložena je za premeštaj u budući Sektor za ljudske resurse, gde bi iste poslove radila za duplo manju platu, izgubivši poseban status i beneficirani radni staž. Smatrajući da je ovim predlogom za nepovoljniji premeštaj diskriminisana na osnovu bračnog i porodičnog statusa i pola, podnositeljka je podnela pritužbu protiv Komande Žandarmerije. </w:t>
      </w:r>
    </w:p>
    <w:p w:rsidR="00EA3D9E" w:rsidRPr="00EA3D9E" w:rsidRDefault="00EA3D9E" w:rsidP="00EA3D9E">
      <w:pPr>
        <w:spacing w:after="100" w:afterAutospacing="1" w:line="276" w:lineRule="auto"/>
        <w:rPr>
          <w:rFonts w:cs="Arial"/>
          <w:kern w:val="3"/>
          <w:lang w:eastAsia="zh-CN" w:bidi="hi-IN"/>
        </w:rPr>
      </w:pPr>
      <w:r w:rsidRPr="00EA3D9E">
        <w:rPr>
          <w:rFonts w:cs="Arial"/>
          <w:kern w:val="3"/>
          <w:lang w:eastAsia="zh-CN" w:bidi="hi-IN"/>
        </w:rPr>
        <w:t xml:space="preserve">Iz izjašnjenja jasno proizlazi da je podnositeljka pritužbe predložena za premeštaj na drugo radno mesto isključivo zbog toga što nije učestvovala u izvršavanju posebnih zadataka van sedišta odreda, što je u direktnoj vezi s činjenicom da je podnositeljka pritužbe žena i majka dece mlađe od tri godine, koja je koristila svoje pravo da zbog brige o deci ne obavlja zadatke u terenskim uslovima rada. U toku postupka je takođe utvrđeno da će se u Ministarstvu unutrašnjih poslova, u skladu s reformskim procesom, formirati novi Sektor za ljudske resurse, te da je u tom smislu sačinjen predlog za raspoređivanje zaposlenih u budući sektor, a na spisku je 12 žena od ukupno 14 predloženih zaposlenih, među kojima je i podnositeljka pritužbe. Ova činjenica nesumnjivo pokazuje da je izvršena posredna diskriminacija na osnovu pola zaposlenih, zasnovana na predrasudama i stereotipima da žene zbog svojih porodičnih obaveza nisu efikasne i produktivne u operativnom radu kao njihove muške kolege. </w:t>
      </w:r>
    </w:p>
    <w:p w:rsidR="000217B3" w:rsidRDefault="00EA3D9E" w:rsidP="00EA3D9E">
      <w:pPr>
        <w:spacing w:after="100" w:afterAutospacing="1" w:line="276" w:lineRule="auto"/>
        <w:rPr>
          <w:rFonts w:cs="Arial"/>
          <w:kern w:val="3"/>
          <w:lang w:val="sr-Latn-RS" w:eastAsia="zh-CN" w:bidi="hi-IN"/>
        </w:rPr>
      </w:pPr>
      <w:r w:rsidRPr="00EA3D9E">
        <w:rPr>
          <w:rFonts w:cs="Arial"/>
          <w:kern w:val="3"/>
          <w:lang w:eastAsia="zh-CN" w:bidi="hi-IN"/>
        </w:rPr>
        <w:lastRenderedPageBreak/>
        <w:t>Kako tokom postupka nije pruženo objektivno i razumno opravdanje za predlog da podnositeljka pritužbe bude premeštena u budući Sektor za ljudske resurse, dato je mišljenje da je ovim predlogom izvršena posredna diskriminacija na osnovu pola i porodičnog statusa, a Komandi je preporučeno da preduzme sve potrebne mere radi otklanjanja posledica diskriminatornog postupanja prema podnositeljki pritužbe. Po ovoj preporuci je postupljeno.</w:t>
      </w:r>
    </w:p>
    <w:p w:rsidR="00135D51" w:rsidRPr="00135D51" w:rsidRDefault="00F97590" w:rsidP="00135D51">
      <w:pPr>
        <w:shd w:val="clear" w:color="auto" w:fill="75E5FB"/>
        <w:spacing w:before="0" w:after="100" w:afterAutospacing="1" w:line="276" w:lineRule="auto"/>
        <w:jc w:val="left"/>
        <w:rPr>
          <w:rFonts w:cs="Arial"/>
          <w:i/>
          <w:iCs/>
          <w:kern w:val="3"/>
          <w:lang w:eastAsia="zh-CN" w:bidi="hi-IN"/>
        </w:rPr>
      </w:pPr>
      <w:r>
        <w:rPr>
          <w:rFonts w:cs="Arial"/>
          <w:i/>
          <w:iCs/>
          <w:kern w:val="3"/>
          <w:shd w:val="clear" w:color="auto" w:fill="44DCFA"/>
          <w:lang w:val="sr-Latn-RS" w:eastAsia="zh-CN" w:bidi="hi-IN"/>
        </w:rPr>
        <w:t>Korišćenje porodiljskog odsustva i odsustva sa rada radi nege deteta ne sme biti razlog da državne službenice ne napreduju</w:t>
      </w:r>
    </w:p>
    <w:p w:rsidR="00E533C6" w:rsidRPr="00E533C6" w:rsidRDefault="00E533C6" w:rsidP="00E533C6">
      <w:pPr>
        <w:spacing w:before="0" w:after="100" w:afterAutospacing="1" w:line="276" w:lineRule="auto"/>
        <w:rPr>
          <w:rFonts w:cs="Arial"/>
          <w:kern w:val="3"/>
          <w:lang w:eastAsia="zh-CN" w:bidi="hi-IN"/>
        </w:rPr>
      </w:pPr>
      <w:r w:rsidRPr="00E533C6">
        <w:rPr>
          <w:rFonts w:cs="Arial"/>
          <w:kern w:val="3"/>
          <w:lang w:eastAsia="zh-CN" w:bidi="hi-IN"/>
        </w:rPr>
        <w:t xml:space="preserve">Dve osobe zaposlene u Osnovnom sudu u Kragujevcu podnele su pritužbu protiv ovog suda jer im, usled korišćenja porodiljskog odsustva, odnosno odsustva sa rada radi nege deteta, nije omogućeno napredovanje pod jednakim uslovima kao ostalim zaposlenima. U pritužbama su navele da su tokom 2012. i 2013. godine ocenjene najvišom ocenom, ali da u 2014. godini nisu ocenjene zbog korišćenja porodiljskog odsustva, odnosno odsustva sa rada radi nege deteta, usled čega, prema njihovim navodima, nisu napredovale u 2015. godini. </w:t>
      </w:r>
    </w:p>
    <w:p w:rsidR="00E533C6" w:rsidRPr="00E533C6" w:rsidRDefault="00E533C6" w:rsidP="00E533C6">
      <w:pPr>
        <w:spacing w:before="0" w:after="100" w:afterAutospacing="1" w:line="276" w:lineRule="auto"/>
        <w:rPr>
          <w:rFonts w:cs="Arial"/>
          <w:kern w:val="3"/>
          <w:lang w:eastAsia="zh-CN" w:bidi="hi-IN"/>
        </w:rPr>
      </w:pPr>
      <w:r w:rsidRPr="00E533C6">
        <w:rPr>
          <w:rFonts w:cs="Arial"/>
          <w:kern w:val="3"/>
          <w:lang w:eastAsia="zh-CN" w:bidi="hi-IN"/>
        </w:rPr>
        <w:t>U izjašnjenju suda navedeno je da podnositeljke pritužbi ne ispunjavaju zakonske uslove za napredovanje, imajući u vidu da je odredbom člana 16. Zakona o platama državnih službenika i nameštenika propisan uslov da državni službenik mora da bude ocenjen ocenom „naročito se ističe“ dve godine uzastopno, a podnositeljke pritužbi nisu ocenjene u 2014. godini.</w:t>
      </w:r>
    </w:p>
    <w:p w:rsidR="00E533C6" w:rsidRPr="00E533C6" w:rsidRDefault="00E533C6" w:rsidP="00E533C6">
      <w:pPr>
        <w:spacing w:before="0" w:after="100" w:afterAutospacing="1" w:line="276" w:lineRule="auto"/>
        <w:rPr>
          <w:rFonts w:cs="Arial"/>
          <w:kern w:val="3"/>
          <w:lang w:eastAsia="zh-CN" w:bidi="hi-IN"/>
        </w:rPr>
      </w:pPr>
      <w:r w:rsidRPr="00E533C6">
        <w:rPr>
          <w:rFonts w:cs="Arial"/>
          <w:kern w:val="3"/>
          <w:lang w:eastAsia="zh-CN" w:bidi="hi-IN"/>
        </w:rPr>
        <w:t xml:space="preserve">U toku postupka analizirani su propisi kojima je regulisano napredovanje državnih službenika, te se ciljnim i sistematskim tumačenjem propisa, naročito u kontekstu antidiskriminacionog zakonodavstva, zajemčene jednakosti polova i ustavne zaštite majke i deteta, nedvosmisleno može konstatovati da porodiljsko i odsustvo sa rada radi nege deteta ne smeju biti smetnja za napredovanje državnih službenica, niti smeju da se na bilo koji drugi način negativno odražavaju na njihov položaj i radnopravni status. Naime, sud je u konkretnom slučaju primenio pravnu normu iz člana 16. Zakona o platama državnih službenika, kojom je propisano da državni službenik kome je dve godine uzastopno određena ocena „naročito se ističe“ napreduje za dva platna razreda. Osnovni sud je očigledno krenuo od jezičkog tumačenja navedenog propisa, zauzimajući stav da je neophodno da državni službenik bude ocenjen najvišom ocenom dve godine zaredom, odnosno u neprekinutom nizu u odnosu na godinu u kojoj se odlučuje o napredovanju. </w:t>
      </w:r>
    </w:p>
    <w:p w:rsidR="00E533C6" w:rsidRDefault="00E533C6" w:rsidP="00E533C6">
      <w:pPr>
        <w:spacing w:before="0" w:after="100" w:afterAutospacing="1" w:line="276" w:lineRule="auto"/>
        <w:rPr>
          <w:rFonts w:cs="Arial"/>
          <w:kern w:val="3"/>
          <w:lang w:val="sr-Latn-RS" w:eastAsia="zh-CN" w:bidi="hi-IN"/>
        </w:rPr>
      </w:pPr>
      <w:r w:rsidRPr="00E533C6">
        <w:rPr>
          <w:rFonts w:cs="Arial"/>
          <w:kern w:val="3"/>
          <w:lang w:eastAsia="zh-CN" w:bidi="hi-IN"/>
        </w:rPr>
        <w:t xml:space="preserve">Da bi se utvrdilo pravo značenje ove norme, odnosno njen istinski smisao i cilj, Poverenik za zaštitu ravnopravnosti analizirao je najpre Zakon o državnim službenicima, koji reguliše položaj i radnopravni status državnih službenika. Odredbama člana 88. Zakona o državnim službenicima, kojim se uređuje pitanje napredovanja državnih službenika, propisano je da je uslov za napredovanje da državnom službeniku bude dva puta uzastopno određena ocena „naročito se ističe“. Dakle, ovom odredbom se kao uslov propisuju dve uzastopne ocene „naročito se ističe“, a ne dve uzastopne godine, te pravo da napreduje ima svaki državni službenik koji ima dve uzastopne ocene „naročito se ističe“, posmatrajući one godine u kojima je ocenjivan, a ne uzastopne godine. Na taj način treba tumačiti odredbu Zakona o platama državnih službenika i nameštenika, u skladu s pravilom da značenje nižih pravnih normi treba tražiti u značenjima viših pravnih normi, na kojima se niže norme moraju temeljiti. Zbog toga je poverenica za zaštitu ravnopravnosti dala preporuku sudu da pravilno primeni </w:t>
      </w:r>
      <w:r w:rsidRPr="00E533C6">
        <w:rPr>
          <w:rFonts w:cs="Arial"/>
          <w:kern w:val="3"/>
          <w:lang w:eastAsia="zh-CN" w:bidi="hi-IN"/>
        </w:rPr>
        <w:lastRenderedPageBreak/>
        <w:t>propise o napredovanju državnih službenica, tako da one ne budu stavljene u neravnopravan položaj zbog svog ličnog svojstva, odnosno, da ispunjenost uslova za napredovanje sagleda uzimajući u obzir ocene koje imaju, odnosno, ne uzimajući u obzir godinu u kojoj nisu ocenjene zbog korišćenja porodiljskog, odnosno odsustva sa rada radi nege deteta. Po ovoj preporuci je postupljeno.</w:t>
      </w:r>
    </w:p>
    <w:p w:rsidR="00135D51" w:rsidRPr="00135D51" w:rsidRDefault="00E533C6" w:rsidP="00DE1D8E">
      <w:pPr>
        <w:shd w:val="clear" w:color="auto" w:fill="75E5FB"/>
        <w:spacing w:before="240" w:after="100" w:afterAutospacing="1"/>
        <w:outlineLvl w:val="0"/>
        <w:rPr>
          <w:rFonts w:cs="Arial"/>
          <w:i/>
          <w:kern w:val="3"/>
          <w:lang w:eastAsia="zh-CN" w:bidi="hi-IN"/>
        </w:rPr>
      </w:pPr>
      <w:bookmarkStart w:id="44" w:name="_Toc476904344"/>
      <w:bookmarkStart w:id="45" w:name="_Toc476908696"/>
      <w:bookmarkStart w:id="46" w:name="_Toc477247939"/>
      <w:bookmarkStart w:id="47" w:name="_Toc477248624"/>
      <w:bookmarkStart w:id="48" w:name="_Toc477250755"/>
      <w:bookmarkStart w:id="49" w:name="_Toc477251749"/>
      <w:r>
        <w:rPr>
          <w:rFonts w:cs="Arial"/>
          <w:i/>
          <w:kern w:val="3"/>
          <w:lang w:val="sr-Latn-RS" w:eastAsia="zh-CN" w:bidi="hi-IN"/>
        </w:rPr>
        <w:t>Ukidanje radnog mesta tokom odsustva sa rada</w:t>
      </w:r>
      <w:bookmarkEnd w:id="44"/>
      <w:bookmarkEnd w:id="45"/>
      <w:bookmarkEnd w:id="46"/>
      <w:bookmarkEnd w:id="47"/>
      <w:bookmarkEnd w:id="48"/>
      <w:bookmarkEnd w:id="49"/>
    </w:p>
    <w:p w:rsidR="00E533C6" w:rsidRPr="00E533C6" w:rsidRDefault="00E533C6" w:rsidP="00E533C6">
      <w:pPr>
        <w:spacing w:after="100" w:afterAutospacing="1" w:line="276" w:lineRule="auto"/>
        <w:rPr>
          <w:rFonts w:cs="Arial"/>
          <w:color w:val="000000"/>
          <w:kern w:val="3"/>
          <w:lang w:eastAsia="zh-CN" w:bidi="hi-IN"/>
        </w:rPr>
      </w:pPr>
      <w:r w:rsidRPr="00E533C6">
        <w:rPr>
          <w:rFonts w:cs="Arial"/>
          <w:color w:val="000000"/>
          <w:kern w:val="3"/>
          <w:lang w:eastAsia="zh-CN" w:bidi="hi-IN"/>
        </w:rPr>
        <w:t xml:space="preserve">Prema navodima iz pritužbe, poslodavac je nakon četiri godine rada ukinuo radno mesto podnositeljke pritužbe tokom trajanja njenog odsustva sa rada radi nege deteta i posebne nege deteta. </w:t>
      </w:r>
    </w:p>
    <w:p w:rsidR="00E533C6" w:rsidRPr="00E533C6" w:rsidRDefault="00E533C6" w:rsidP="00E533C6">
      <w:pPr>
        <w:spacing w:after="100" w:afterAutospacing="1" w:line="276" w:lineRule="auto"/>
        <w:rPr>
          <w:rFonts w:cs="Arial"/>
          <w:color w:val="000000"/>
          <w:kern w:val="3"/>
          <w:lang w:eastAsia="zh-CN" w:bidi="hi-IN"/>
        </w:rPr>
      </w:pPr>
      <w:r w:rsidRPr="00E533C6">
        <w:rPr>
          <w:rFonts w:cs="Arial"/>
          <w:color w:val="000000"/>
          <w:kern w:val="3"/>
          <w:lang w:eastAsia="zh-CN" w:bidi="hi-IN"/>
        </w:rPr>
        <w:t xml:space="preserve">U toku postupka je utvrđeno da je, u skladu sa izmenama Pravilnika o organizaciji i sistematizaciji poslova, i drugim zaposlenima, muškarcima i ženama, kao i dvema zaposlenima koje su radile na istom radnom mestu kao i podnositeljka pritužbe, prestao radni odnos. Utvrđeno je da je podnositeljki pritužbe, kao i ostalim zaposlenima, ponuđen sporazum o prestanku radnog odnosa, na koji ona nije pristala. Stoga je, nakon povratka s odsustva sa rada radi posebne nege deteta, a usled ukidanja radnog mesta na kojem je prethodno radila, podnositeljki pritužbe otkazan ugovor o radu. </w:t>
      </w:r>
    </w:p>
    <w:p w:rsidR="00E533C6" w:rsidRDefault="00E533C6" w:rsidP="00E533C6">
      <w:pPr>
        <w:spacing w:after="100" w:afterAutospacing="1" w:line="276" w:lineRule="auto"/>
        <w:rPr>
          <w:rFonts w:cs="Arial"/>
          <w:color w:val="000000"/>
          <w:kern w:val="3"/>
          <w:lang w:val="sr-Latn-RS" w:eastAsia="zh-CN" w:bidi="hi-IN"/>
        </w:rPr>
      </w:pPr>
      <w:r w:rsidRPr="00E533C6">
        <w:rPr>
          <w:rFonts w:cs="Arial"/>
          <w:color w:val="000000"/>
          <w:kern w:val="3"/>
          <w:lang w:eastAsia="zh-CN" w:bidi="hi-IN"/>
        </w:rPr>
        <w:t>Poverenica za zaštitu ravnopravnosti dala je mišljenje da utvrđivanjem za višak zaposlenih i donošenjem rešenja o otkazu ugovora o radu, poslodavac nije diskriminisao podnositeljku pritužbe na osnovu njenih ličnih svojstava – pola i porodičnog statusa, te nije bilo kršenja odredaba Zakona o zabrani diskriminacije.</w:t>
      </w:r>
    </w:p>
    <w:p w:rsidR="00135D51" w:rsidRPr="00135D51" w:rsidRDefault="00D86F8E" w:rsidP="00DE1D8E">
      <w:pPr>
        <w:shd w:val="clear" w:color="auto" w:fill="75E5FB"/>
        <w:spacing w:before="240" w:after="100" w:afterAutospacing="1"/>
        <w:outlineLvl w:val="0"/>
        <w:rPr>
          <w:rFonts w:cs="Arial"/>
          <w:i/>
          <w:iCs/>
          <w:kern w:val="3"/>
          <w:lang w:eastAsia="zh-CN" w:bidi="hi-IN"/>
        </w:rPr>
      </w:pPr>
      <w:bookmarkStart w:id="50" w:name="_Toc476904345"/>
      <w:bookmarkStart w:id="51" w:name="_Toc476908697"/>
      <w:bookmarkStart w:id="52" w:name="_Toc477247940"/>
      <w:bookmarkStart w:id="53" w:name="_Toc477248625"/>
      <w:bookmarkStart w:id="54" w:name="_Toc477250756"/>
      <w:bookmarkStart w:id="55" w:name="_Toc477251750"/>
      <w:r>
        <w:rPr>
          <w:rFonts w:cs="Arial"/>
          <w:i/>
          <w:iCs/>
          <w:kern w:val="3"/>
          <w:lang w:val="sr-Latn-RS" w:eastAsia="zh-CN" w:bidi="hi-IN"/>
        </w:rPr>
        <w:t>Javno oglašavanje poslova i podaci o ličnim stvojstvima kandidata</w:t>
      </w:r>
      <w:bookmarkEnd w:id="50"/>
      <w:bookmarkEnd w:id="51"/>
      <w:bookmarkEnd w:id="52"/>
      <w:bookmarkEnd w:id="53"/>
      <w:bookmarkEnd w:id="54"/>
      <w:bookmarkEnd w:id="55"/>
    </w:p>
    <w:p w:rsidR="00D86F8E" w:rsidRPr="00D86F8E" w:rsidRDefault="00D86F8E" w:rsidP="00D86F8E">
      <w:pPr>
        <w:spacing w:after="100" w:afterAutospacing="1" w:line="276" w:lineRule="auto"/>
        <w:rPr>
          <w:rFonts w:cs="Arial"/>
          <w:color w:val="000000"/>
          <w:kern w:val="3"/>
          <w:lang w:eastAsia="zh-CN" w:bidi="hi-IN"/>
        </w:rPr>
      </w:pPr>
      <w:r w:rsidRPr="00D86F8E">
        <w:rPr>
          <w:rFonts w:cs="Arial"/>
          <w:color w:val="000000"/>
          <w:kern w:val="3"/>
          <w:lang w:eastAsia="zh-CN" w:bidi="hi-IN"/>
        </w:rPr>
        <w:t xml:space="preserve">Elektronski formular za zaposlenje postavljen na sajtu jednog privrednog društva bio je razlog za podnošenje pritužbe protiv tog društva. Prema navodima iz pritužbe, formular za zaposlenje, između ostalih, sadržao je i pitanja: godina rođenja i bračno stanje. </w:t>
      </w:r>
    </w:p>
    <w:p w:rsidR="00D86F8E" w:rsidRPr="00D86F8E" w:rsidRDefault="00D86F8E" w:rsidP="00D86F8E">
      <w:pPr>
        <w:spacing w:after="100" w:afterAutospacing="1" w:line="276" w:lineRule="auto"/>
        <w:rPr>
          <w:rFonts w:cs="Arial"/>
          <w:color w:val="000000"/>
          <w:kern w:val="3"/>
          <w:lang w:eastAsia="zh-CN" w:bidi="hi-IN"/>
        </w:rPr>
      </w:pPr>
      <w:r w:rsidRPr="00D86F8E">
        <w:rPr>
          <w:rFonts w:cs="Arial"/>
          <w:color w:val="000000"/>
          <w:kern w:val="3"/>
          <w:lang w:eastAsia="zh-CN" w:bidi="hi-IN"/>
        </w:rPr>
        <w:t xml:space="preserve">Utvrđeno je da postavljanje pitanja o bračnom stanju u formularu za zaposlenje predstavlja povredu imperativnih propisa o zabrani diskriminacije i da lična svojstva lica koja podnose prijavu za zaposlenje ovom poslodavcu nikako ne predstavljaju stvarni i odlučujući uslov za obavljanje posla, imajući u vidu prirodu i osobenost posla i delatnost koju obavlja ovo privredno društvo. Utvrđeno je, takođe, da je u međuvremenu, u periodu nakon dostavljanja izjašnjenja na pritužbu, izmenjen formular za zaposlenje koji je bio postavljen na sajtu ovog privrednog društva, i to tako što su pitanja: godina rođenja i bračno stanje uklonjena iz formulara. </w:t>
      </w:r>
    </w:p>
    <w:p w:rsidR="00D86F8E" w:rsidRDefault="00D86F8E" w:rsidP="00D86F8E">
      <w:pPr>
        <w:spacing w:after="100" w:afterAutospacing="1" w:line="276" w:lineRule="auto"/>
        <w:rPr>
          <w:rFonts w:cs="Arial"/>
          <w:color w:val="000000"/>
          <w:kern w:val="3"/>
          <w:lang w:val="sr-Latn-RS" w:eastAsia="zh-CN" w:bidi="hi-IN"/>
        </w:rPr>
      </w:pPr>
      <w:r w:rsidRPr="00D86F8E">
        <w:rPr>
          <w:rFonts w:cs="Arial"/>
          <w:color w:val="000000"/>
          <w:kern w:val="3"/>
          <w:lang w:eastAsia="zh-CN" w:bidi="hi-IN"/>
        </w:rPr>
        <w:t xml:space="preserve">Poverenica za zaštitu ravnopravnosti dala je mišljenje da je postavljanjem elektronskog formulara za zaposlenje na svom sajtu, u kojem se od lica koja konkurišu za posao zahteva da se izjasne o podacima koji se tiču njihovih ličnih svojstava, ovo privredno društvo izvršilo akt diskriminacije u oblasti zapošljavanja i rada na osnovu bračnog i porodičnog statusa. Budući da je formular sadržao i pitanja koja se odnose na godinu rođenja, poverenica je ukazala da ovi podaci takođe ne predstavljaju stvarni i odlučujući uslov za obavljanje posla, imajući u vidu prirodu i osobenost posla i delatnost koju obavlja ovo privredno društvo, ali da </w:t>
      </w:r>
      <w:r w:rsidRPr="00D86F8E">
        <w:rPr>
          <w:rFonts w:cs="Arial"/>
          <w:color w:val="000000"/>
          <w:kern w:val="3"/>
          <w:lang w:eastAsia="zh-CN" w:bidi="hi-IN"/>
        </w:rPr>
        <w:lastRenderedPageBreak/>
        <w:t>samo postavljanje ovih pitanja u formularu za zaposlenje nije izričito zabranjeno antidiskriminacionim propisima. Imajući u vidu da je pitanje bračnog stanja tokom postupka uklonjeno iz formulara za zaposlenje, poverenica za zaštitu ravnopravnosti preporučila je privrednom društvu da ubuduće poštuje propise o zabrani diskriminacije i ne postavlja nedopuštena pitanja koja se tiču njihovih ličnih svojstava, a koja nisu stvarni i odlučujući uslov za obavljanje posla. Po ovoj preporuci je postupljeno.</w:t>
      </w:r>
    </w:p>
    <w:p w:rsidR="00135D51" w:rsidRPr="00135D51" w:rsidRDefault="002B591F" w:rsidP="00135D51">
      <w:pPr>
        <w:shd w:val="clear" w:color="auto" w:fill="75E5FB"/>
        <w:spacing w:before="360" w:after="100" w:afterAutospacing="1" w:line="276" w:lineRule="auto"/>
        <w:rPr>
          <w:rFonts w:cs="Arial"/>
          <w:i/>
          <w:iCs/>
          <w:kern w:val="3"/>
          <w:lang w:eastAsia="zh-CN" w:bidi="hi-IN"/>
        </w:rPr>
      </w:pPr>
      <w:r>
        <w:rPr>
          <w:rFonts w:cs="Arial"/>
          <w:i/>
          <w:iCs/>
          <w:kern w:val="3"/>
          <w:lang w:val="sr-Latn-RS" w:eastAsia="zh-CN" w:bidi="hi-IN"/>
        </w:rPr>
        <w:t>Nemogućnost osoba muškog pola da ispune uslove za izdavanje leka na teret obaveznog zdravstvenog osiguranja</w:t>
      </w:r>
    </w:p>
    <w:p w:rsidR="00F9128B" w:rsidRPr="00F9128B" w:rsidRDefault="00F9128B" w:rsidP="00F9128B">
      <w:pPr>
        <w:spacing w:after="100" w:afterAutospacing="1" w:line="276" w:lineRule="auto"/>
        <w:rPr>
          <w:rFonts w:cs="Arial"/>
          <w:color w:val="000000"/>
          <w:kern w:val="3"/>
          <w:lang w:eastAsia="zh-CN" w:bidi="hi-IN"/>
        </w:rPr>
      </w:pPr>
      <w:r w:rsidRPr="00F9128B">
        <w:rPr>
          <w:rFonts w:cs="Arial"/>
          <w:color w:val="000000"/>
          <w:kern w:val="3"/>
          <w:lang w:eastAsia="zh-CN" w:bidi="hi-IN"/>
        </w:rPr>
        <w:t xml:space="preserve">Pritužbu protiv Republičkog fonda za zdravstveno osiguranje podneo je otac čiji se sin leči od teškog oblika osteoporoze, a dijagnostikovani su mu Vestov sindrom, cerebralna paraliza i epilepsija. Prema navodima iz pritužbe, za njegovo dalje lečenje neophodan je lek koji se nalazi na listi lekova Republičkog fonda za zdravstveno osiguranje (lista A1). Međutim, kako je dalje navedeno u pritužbi, ovaj lek se daje samo „ženama, a ne i muškarcima, iako boluju od iste bolesti“. </w:t>
      </w:r>
    </w:p>
    <w:p w:rsidR="00F9128B" w:rsidRPr="00F9128B" w:rsidRDefault="00F9128B" w:rsidP="00F9128B">
      <w:pPr>
        <w:spacing w:after="100" w:afterAutospacing="1" w:line="276" w:lineRule="auto"/>
        <w:rPr>
          <w:rFonts w:cs="Arial"/>
          <w:color w:val="000000"/>
          <w:kern w:val="3"/>
          <w:lang w:eastAsia="zh-CN" w:bidi="hi-IN"/>
        </w:rPr>
      </w:pPr>
      <w:r w:rsidRPr="00F9128B">
        <w:rPr>
          <w:rFonts w:cs="Arial"/>
          <w:color w:val="000000"/>
          <w:kern w:val="3"/>
          <w:lang w:eastAsia="zh-CN" w:bidi="hi-IN"/>
        </w:rPr>
        <w:t xml:space="preserve">U izjašnjenju na pritužbu navedeno je da ne postoje razlike u uslovima za propisivanje i izdavanje ovog leka u pogledu godina života ili pola, već su ograničenja zasnovana na medicinskim parametrima. </w:t>
      </w:r>
    </w:p>
    <w:p w:rsidR="00F9128B" w:rsidRPr="00F9128B" w:rsidRDefault="00F9128B" w:rsidP="00F9128B">
      <w:pPr>
        <w:spacing w:after="100" w:afterAutospacing="1" w:line="276" w:lineRule="auto"/>
        <w:rPr>
          <w:rFonts w:cs="Arial"/>
          <w:color w:val="000000"/>
          <w:kern w:val="3"/>
          <w:lang w:eastAsia="zh-CN" w:bidi="hi-IN"/>
        </w:rPr>
      </w:pPr>
      <w:r w:rsidRPr="00F9128B">
        <w:rPr>
          <w:rFonts w:cs="Arial"/>
          <w:color w:val="000000"/>
          <w:kern w:val="3"/>
          <w:lang w:eastAsia="zh-CN" w:bidi="hi-IN"/>
        </w:rPr>
        <w:t xml:space="preserve">U toku postupka je utvrđeno da je ovom licu dijagnostikovana osteoporoza, da je 2015. godine imao prelom butne kosti, te da njegov lekar smatra da treba da otpočne sa primenom ovog leka. Međutim, kako nije u postmenopauzi, ovo lice ovaj lek ne može da pribavi na teret obaveznog zdravstvenog osiguranja. Poverenica za zaštitu ravnopravnosti konstatovala je da je analiza ovog predmeta pokazala da, iako Republički fond za zdravstveno osiguranje u svom pravilniku nije izričito naveo da samo žene mogu da pribave ovaj lek na teret obaveznog zdravstvenog osiguranja, uslov za propisivanje i izdavanje ovog leka vezan za postmenopauzu jasno ukazuje da nijedan muškarac, iako ispunjava sve ostale uslove, zbog svojih bioloških i fizioloških karakteristika ne može da pribavi ovaj lek. Naime, iako postmenopauza svakako predstavlja i medicinski parametar, ona takođe ukazuje i na pol osobe koja prolazi kroz ovaj proces, te ona, kao uslov za izdavanje i propisivanje ovog leka, u potpunosti onemogućava osobe muškog pola da pribave ovaj lek na teret sredstava obaveznog zdravstvenog osiguranja. </w:t>
      </w:r>
    </w:p>
    <w:p w:rsidR="00F9128B" w:rsidRDefault="00F9128B" w:rsidP="00F9128B">
      <w:pPr>
        <w:spacing w:after="100" w:afterAutospacing="1" w:line="276" w:lineRule="auto"/>
        <w:rPr>
          <w:rFonts w:cs="Arial"/>
          <w:color w:val="000000"/>
          <w:kern w:val="3"/>
          <w:lang w:val="sr-Latn-RS" w:eastAsia="zh-CN" w:bidi="hi-IN"/>
        </w:rPr>
      </w:pPr>
      <w:r w:rsidRPr="00F9128B">
        <w:rPr>
          <w:rFonts w:cs="Arial"/>
          <w:color w:val="000000"/>
          <w:kern w:val="3"/>
          <w:lang w:eastAsia="zh-CN" w:bidi="hi-IN"/>
        </w:rPr>
        <w:t>Poverenica za zaštitu ravnopravnosti dala je mišljenje da je uskraćivanjem prava ovom licu da pribavi propisan lek na teret sredstava obaveznog zdravstvenog osiguranja Republički fond za zdravstveno osiguranje izvršio posrednu diskriminaciju na osnovu pola, zabranjenu članom 7. Zakona o zabrani diskriminacije. Zbog toga je Republičkom fondu za zdravstveno osiguranje preporučeno da preduzme sve neophodne radnje i mere iz svoje nadležnosti kojima će obezbediti da ovaj lek, uz ispunjenje uslova zasnovanih na medicinskim parametrima za propisivanje i izdavanje leka, bude dostupan i muškarcima na teret sredstava obaveznog zdravstvenog osiguranja, te da ubuduće vodi računa da u okviru svojih redovnih poslova i aktivnosti ne krši propise o zabrani diskriminacije. Po ovoj preporuci je postupljeno.</w:t>
      </w:r>
    </w:p>
    <w:p w:rsidR="00F9128B" w:rsidRPr="00F9128B" w:rsidRDefault="00F9128B" w:rsidP="00F9128B">
      <w:pPr>
        <w:spacing w:after="100" w:afterAutospacing="1" w:line="276" w:lineRule="auto"/>
        <w:rPr>
          <w:rFonts w:cs="Arial"/>
          <w:color w:val="000000"/>
          <w:kern w:val="3"/>
          <w:lang w:val="sr-Latn-RS" w:eastAsia="zh-CN" w:bidi="hi-IN"/>
        </w:rPr>
      </w:pPr>
    </w:p>
    <w:p w:rsidR="00135D51" w:rsidRPr="00135D51" w:rsidRDefault="00C35887" w:rsidP="00135D51">
      <w:pPr>
        <w:shd w:val="clear" w:color="auto" w:fill="75E5FB"/>
        <w:spacing w:before="240" w:after="100" w:afterAutospacing="1" w:line="276" w:lineRule="auto"/>
        <w:rPr>
          <w:rFonts w:cs="Arial"/>
          <w:i/>
        </w:rPr>
      </w:pPr>
      <w:r>
        <w:rPr>
          <w:rFonts w:cs="Arial"/>
          <w:i/>
          <w:lang w:val="sr-Latn-RS"/>
        </w:rPr>
        <w:lastRenderedPageBreak/>
        <w:t>Razlika u visini mesečne godišnje premije dobrovoljnog zdravstvenog osiguranja za muškarce i žene istog starosnog doba</w:t>
      </w:r>
    </w:p>
    <w:p w:rsidR="00C35887" w:rsidRPr="00C35887" w:rsidRDefault="00C35887" w:rsidP="00C35887">
      <w:pPr>
        <w:spacing w:before="240" w:after="100" w:afterAutospacing="1" w:line="276" w:lineRule="auto"/>
        <w:rPr>
          <w:rFonts w:cs="Arial"/>
        </w:rPr>
      </w:pPr>
      <w:r w:rsidRPr="00C35887">
        <w:rPr>
          <w:rFonts w:cs="Arial"/>
        </w:rPr>
        <w:t>Poverenica za zaštitu ravnopravnosti razmatrala je pritužbu podnetu protiv jedne osiguravajuće kuće sa sedištem u Beogradu. U pritužbi je navedeno da je godišnji iznos premije za dobrovoljno zdravstveno osiguranje za žene u ovoj osiguravajućoj kući 276,84 evra, dok je godišnja premija osiguranja za muškarce 168,72 evra, iako imaju iste lične karakteristike (zdrave osobe, od 26 do 30 godina života).</w:t>
      </w:r>
    </w:p>
    <w:p w:rsidR="00C35887" w:rsidRPr="00C35887" w:rsidRDefault="00C35887" w:rsidP="00C35887">
      <w:pPr>
        <w:spacing w:before="240" w:after="100" w:afterAutospacing="1" w:line="276" w:lineRule="auto"/>
        <w:rPr>
          <w:rFonts w:cs="Arial"/>
        </w:rPr>
      </w:pPr>
      <w:r w:rsidRPr="00C35887">
        <w:rPr>
          <w:rFonts w:cs="Arial"/>
        </w:rPr>
        <w:t>U toku postupka utvrđeno je da je da je mesečna premija osiguranja za muškarce 14,06 evra, a za žene 23,07 evra, odnosno godišnja „muška“ premija osiguranja iznosi 152 evra, a „ženska“ 250 evra. Utvrđivanjem razlike u visini mesečne i godišnje premije za dobrovoljno zdravstveno osiguranje za muškarce i žene istog starosnog doba, osiguravajuća kuća neposredno diskriminiše žene, jer im samo zbog njihovog ličnog svojstva (pola) određuje plaćanje većeg iznosa premije dobrovoljnog zdravstvenog osiguranja. Takođe, analizom tabele osiguravajućih pokrića (osnovnih i dopunskih), koji zapravo predstavljaju medicinske usluge na koje korisnik osiguranja ima pravo, utvrđeno je da se ove usluge ni po čemu ne razlikuju za muškarce i žene, odnosno da žene uplatom premije dobrovoljnog zdravstvenog osiguranja ne dobijaju nijednu medicinsku uslugu više od muškaraca, koja bi eventualno opravdavala činjenicu da im je određena premija osiguranja u većem iznosu.</w:t>
      </w:r>
    </w:p>
    <w:p w:rsidR="00CE5606" w:rsidRDefault="00C35887" w:rsidP="00C35887">
      <w:pPr>
        <w:spacing w:before="240" w:after="100" w:afterAutospacing="1" w:line="276" w:lineRule="auto"/>
        <w:rPr>
          <w:rFonts w:cs="Arial"/>
          <w:lang w:val="sr-Latn-RS"/>
        </w:rPr>
      </w:pPr>
      <w:r w:rsidRPr="00C35887">
        <w:rPr>
          <w:rFonts w:cs="Arial"/>
        </w:rPr>
        <w:t>Osiguravajućoj kući je, zbog svega navedenog, preporučeno da uskladi pravila o dobrovoljnom zdravstvenom osiguranju u svom društvu za osiguranje, tako što će izjednačiti visinu premija osiguranja za muškarce i žene, kao i da ubuduće, u okviru obavljanja poslova iz svoje nadležnosti, ne krši antidiskriminacione propise. Po ovoj preporuci je postupljeno.</w:t>
      </w:r>
    </w:p>
    <w:p w:rsidR="00135D51" w:rsidRPr="00135D51" w:rsidRDefault="00C35887" w:rsidP="00135D51">
      <w:pPr>
        <w:shd w:val="clear" w:color="auto" w:fill="75E5FB"/>
        <w:spacing w:after="100" w:afterAutospacing="1" w:line="276" w:lineRule="auto"/>
        <w:rPr>
          <w:rFonts w:cs="Arial"/>
          <w:i/>
        </w:rPr>
      </w:pPr>
      <w:r>
        <w:rPr>
          <w:rFonts w:cs="Arial"/>
          <w:i/>
          <w:lang w:val="sr-Latn-RS"/>
        </w:rPr>
        <w:t>Raspoređivanje zaposlene na drugo radno mesto za vreme njene sprečenosti za rad zbog održavanja trudnoće</w:t>
      </w:r>
    </w:p>
    <w:p w:rsidR="00C35887" w:rsidRPr="00C35887" w:rsidRDefault="00C35887" w:rsidP="00C35887">
      <w:pPr>
        <w:spacing w:after="100" w:afterAutospacing="1" w:line="276" w:lineRule="auto"/>
        <w:rPr>
          <w:rFonts w:eastAsia="Times New Roman" w:cs="Arial"/>
        </w:rPr>
      </w:pPr>
      <w:r w:rsidRPr="00C35887">
        <w:rPr>
          <w:rFonts w:eastAsia="Times New Roman" w:cs="Arial"/>
        </w:rPr>
        <w:t xml:space="preserve">Mišljenje je doneto u postupku po pritužbi podnetoj protiv Uprave za imovinu Autonomne pokrajine Vojvodine zbog diskriminacije po osnovu pola u oblasti rada. U pritužbi je navedeno da je podnositeljka pritužbe bila raspoređena na radnom mestu više stručne saradnice za opšte pravne poslove i poslove javnih nabavki – rukovoditeljka grupe, a da je za vreme privremene sprečenosti za rad zbog održavanja trudnoće, raspoređena na drugo, izvršilačko radno mesto, sa smanjenim koeficijentom za isplatu i obračun plate. </w:t>
      </w:r>
    </w:p>
    <w:p w:rsidR="00C35887" w:rsidRPr="00C35887" w:rsidRDefault="00C35887" w:rsidP="00C35887">
      <w:pPr>
        <w:spacing w:after="100" w:afterAutospacing="1" w:line="276" w:lineRule="auto"/>
        <w:rPr>
          <w:rFonts w:eastAsia="Times New Roman" w:cs="Arial"/>
        </w:rPr>
      </w:pPr>
      <w:r w:rsidRPr="00C35887">
        <w:rPr>
          <w:rFonts w:eastAsia="Times New Roman" w:cs="Arial"/>
        </w:rPr>
        <w:t xml:space="preserve">U toku postupka utvrđeno je da su kod poslodavca u aprilu 2016. godine, kada je doneto rešenje o raspoređivanju podnositeljke pritužbe, raspoređeni i ostali zaposleni, da je radno mesto na kojem je podnositeljka pritužbe radila pre donošenja rešenja o raspoređivanju sistematizovano u okviru nove grupe, gde je raspoređena druga zaposlena, dok je podnositeljka pritužbe, za vreme privremene sprečenosti za rad zbog održavanja trudnoće, raspoređena na radno mesto više stručne saradnice, zbog čega joj je smanjen koeficijent za obračun plate. </w:t>
      </w:r>
    </w:p>
    <w:p w:rsidR="00C35887" w:rsidRDefault="00C35887" w:rsidP="00C35887">
      <w:pPr>
        <w:spacing w:after="100" w:afterAutospacing="1" w:line="276" w:lineRule="auto"/>
        <w:rPr>
          <w:rFonts w:eastAsia="Times New Roman" w:cs="Arial"/>
          <w:lang w:val="sr-Latn-RS"/>
        </w:rPr>
      </w:pPr>
      <w:r w:rsidRPr="00C35887">
        <w:rPr>
          <w:rFonts w:eastAsia="Times New Roman" w:cs="Arial"/>
        </w:rPr>
        <w:t xml:space="preserve">Nakon sprovedenog postupka i utvrđenog činjeničnog stanja, Poverenica za zaštitu ravnopravnosti dala je mišljenje da je raspoređivanjem podnositeljke pritužbe na radno mesto više stručne saradnice za opšte pravne poslove i poslove javnih nabavki, sa nižim koeficijentom za obračun plate, za vreme privremene sprečenosti za rad zbog održavanja </w:t>
      </w:r>
      <w:r w:rsidRPr="00C35887">
        <w:rPr>
          <w:rFonts w:eastAsia="Times New Roman" w:cs="Arial"/>
        </w:rPr>
        <w:lastRenderedPageBreak/>
        <w:t>trudnoće, ova uprava izvršila posrednu diskriminaciju na osnovu pola. Zbog toga je preporučeno da Uprava bez odlaganja preduzme sve neophodne mere kako bi se otklonile posledice diskriminatornog postupanja prema podnositeljki pritužbe, kao i da ubuduće, u okviru obavljanja poslova iz svoje nadležnosti, postupa u skladu s antidiskriminacionim propisima. Po ovoj preporuci je postupljeno.</w:t>
      </w:r>
    </w:p>
    <w:p w:rsidR="00135D51" w:rsidRPr="00135D51" w:rsidRDefault="00FB012B" w:rsidP="00135D51">
      <w:pPr>
        <w:shd w:val="clear" w:color="auto" w:fill="75E5FB"/>
        <w:spacing w:after="100" w:afterAutospacing="1" w:line="276" w:lineRule="auto"/>
        <w:rPr>
          <w:rFonts w:cs="Arial"/>
          <w:i/>
        </w:rPr>
      </w:pPr>
      <w:r>
        <w:rPr>
          <w:rFonts w:cs="Arial"/>
          <w:i/>
          <w:lang w:val="sr-Latn-RS"/>
        </w:rPr>
        <w:t>Nije utvrđena diskriminacije poreske službenice po osnovu pola i porodičnog statusa</w:t>
      </w:r>
      <w:r w:rsidR="00135D51" w:rsidRPr="00135D51">
        <w:rPr>
          <w:rFonts w:cs="Arial"/>
          <w:i/>
        </w:rPr>
        <w:t xml:space="preserve"> </w:t>
      </w:r>
    </w:p>
    <w:p w:rsidR="00FB012B" w:rsidRPr="00FB012B" w:rsidRDefault="00FB012B" w:rsidP="00FB012B">
      <w:pPr>
        <w:spacing w:after="100" w:afterAutospacing="1" w:line="276" w:lineRule="auto"/>
        <w:rPr>
          <w:rFonts w:cs="Arial"/>
        </w:rPr>
      </w:pPr>
      <w:r w:rsidRPr="00FB012B">
        <w:rPr>
          <w:rFonts w:cs="Arial"/>
        </w:rPr>
        <w:t>Zbog diskriminacije na osnovu pola i porodičnog statusa, poverenici za zaštitu ravnopravnosti podneta je pritužba protiv Ministarstva finansija – Poreske uprave. Podnositeljka pritužbe je 2009. godine sa poslodavcem zasnovala radni odnos na određeno vreme. Kako je u pritužbi navela, tokom 2012. i 2013. godine ocenjena je najvišom ocenom, a u 2014. godini, kada je po drugi put ostala u drugom stanju, ocenjena je nižom ocenom – „ističe se“, zbog čega nije napredovala u neposredno više zvanje, dok za 2015. godinu nije ocenjena zbog jednogodišnjeg odsustva zbog porodiljskog, odnosno odsustva sa rada radi nege deteta, zbog čega joj se prekida kontinuitet u pogledu ispunjenosti uslova za napredovanje, jer se u obzir uzimaju samo ocene u poslednjim godinama koje prethode godini napredovanja.</w:t>
      </w:r>
    </w:p>
    <w:p w:rsidR="00FB012B" w:rsidRPr="00FB012B" w:rsidRDefault="00FB012B" w:rsidP="00FB012B">
      <w:pPr>
        <w:spacing w:after="100" w:afterAutospacing="1" w:line="276" w:lineRule="auto"/>
        <w:rPr>
          <w:rFonts w:cs="Arial"/>
        </w:rPr>
      </w:pPr>
      <w:r w:rsidRPr="00FB012B">
        <w:rPr>
          <w:rFonts w:cs="Arial"/>
        </w:rPr>
        <w:t>U izjašnjenju na pritužbu navedeno je da u Poreskoj upravi ima zaposlenih žena čiji je porodični status isti ili sličan porodičnom statusu podnositeljke pritužbe, a koje su napredovale u neposredno više zvanje, kao i da ima zaposlenih žena koje ispunjavaju zakonske uslove, ali koje nisu napredovale, odnosno da je odredbom člana 169lj stav 1. Zakona o poreskom postupku i poreskoj administraciji propisano da uz ispunjenje zakonskih uslova napredovanje predstavlja mogućnost, a ne utvrđeno pravo. Prema daljim navodima u izjašnjenju, podnositeljka pritužbe je za 2009. i 2010. godinu ocenjena ocenama „ističe se“, što predstavlja visoku ocenu rada poreskog službenika. U izjašnjenju je takođe navedeno da se uzastopnim ocenama smatraju, u slučajevima neocenjenosti zbog korišćenja porodiljskog odsustva, odnosno odsustva sa rada radi nege deteta, poslednje dve odnosno četiri ocene, za godine u kojima je službenik bio ocenjen.</w:t>
      </w:r>
    </w:p>
    <w:p w:rsidR="00B81687" w:rsidRPr="00B81687" w:rsidRDefault="00FB012B" w:rsidP="00FB012B">
      <w:pPr>
        <w:spacing w:after="100" w:afterAutospacing="1" w:line="276" w:lineRule="auto"/>
        <w:rPr>
          <w:rFonts w:cs="Arial"/>
        </w:rPr>
      </w:pPr>
      <w:r w:rsidRPr="00FB012B">
        <w:rPr>
          <w:rFonts w:cs="Arial"/>
        </w:rPr>
        <w:t>U toku postupka analizirani su propisi kojima je regulisano napredovanje državnih/poreskih službenika. Nakon sprovedenog postupka i utvrđenog činjeničnog stanja, poverenica za zaštitu ravnopravnosti dala je mišljenje da nije utvrđeno da je Ministarstvo finansija – Poreska uprava izvršilo akt diskriminacije prema podnositeljki pritužbe na osnovu njenih ličnih svojstava – pola i porodičnog statusa.</w:t>
      </w:r>
    </w:p>
    <w:p w:rsidR="00135D51" w:rsidRPr="00135D51" w:rsidRDefault="005E491E" w:rsidP="00135D51">
      <w:pPr>
        <w:shd w:val="clear" w:color="auto" w:fill="75E5FB"/>
        <w:spacing w:before="240" w:after="100" w:afterAutospacing="1" w:line="276" w:lineRule="auto"/>
        <w:rPr>
          <w:rFonts w:cs="Arial"/>
          <w:i/>
        </w:rPr>
      </w:pPr>
      <w:r>
        <w:rPr>
          <w:rFonts w:cs="Arial"/>
          <w:i/>
          <w:lang w:val="sr-Latn-RS"/>
        </w:rPr>
        <w:t>Narušeno načelo ravnopravnosti polova pri izboru članova izvršnih organa opštine</w:t>
      </w:r>
    </w:p>
    <w:p w:rsidR="005E491E" w:rsidRPr="005E491E" w:rsidRDefault="005E491E" w:rsidP="005E491E">
      <w:pPr>
        <w:spacing w:after="100" w:afterAutospacing="1" w:line="276" w:lineRule="auto"/>
        <w:rPr>
          <w:rFonts w:cs="Arial"/>
        </w:rPr>
      </w:pPr>
      <w:r w:rsidRPr="005E491E">
        <w:rPr>
          <w:rFonts w:cs="Arial"/>
        </w:rPr>
        <w:t xml:space="preserve">Protiv Skupštine opštine Senta podneta je pritužba kojom je navedeno da je skupština izabrala predsednika opštine, zamenika predsednika opštine i članove opštinskog veća, te da u sastav izvršnog organa vlasti nije izabrana nijedna osoba ženskog pola. </w:t>
      </w:r>
    </w:p>
    <w:p w:rsidR="005E491E" w:rsidRPr="005E491E" w:rsidRDefault="005E491E" w:rsidP="005E491E">
      <w:pPr>
        <w:spacing w:after="100" w:afterAutospacing="1" w:line="276" w:lineRule="auto"/>
        <w:rPr>
          <w:rFonts w:cs="Arial"/>
        </w:rPr>
      </w:pPr>
      <w:r w:rsidRPr="005E491E">
        <w:rPr>
          <w:rFonts w:cs="Arial"/>
        </w:rPr>
        <w:t xml:space="preserve">U toku postupka utvrđeno je da je odredbama člana 37. stav 2. Zakona o ravnopravnosti polova propisano da se ravnopravnost polova obezbeđuje prilikom kandidovanja za izbore na sve funkcije i imenovanja u organe javne vlasti, finansijske i druge institucije. Skupština opštine nije dokazala da je u postupku izbora članova izvršnih organa opštine (predsednik i </w:t>
      </w:r>
      <w:r w:rsidRPr="005E491E">
        <w:rPr>
          <w:rFonts w:cs="Arial"/>
        </w:rPr>
        <w:lastRenderedPageBreak/>
        <w:t xml:space="preserve">zamenik opštine i članovi izvršnog veća) poštovala načelo ravnopravnosti polova i omogućila kandidatima oba pola da učestvuju u izboru za nosioce funkcije izvršne vlasti. </w:t>
      </w:r>
    </w:p>
    <w:p w:rsidR="005E491E" w:rsidRDefault="005E491E" w:rsidP="005E491E">
      <w:pPr>
        <w:spacing w:after="100" w:afterAutospacing="1" w:line="276" w:lineRule="auto"/>
        <w:rPr>
          <w:rFonts w:cs="Arial"/>
          <w:lang w:val="sr-Latn-RS"/>
        </w:rPr>
      </w:pPr>
      <w:r w:rsidRPr="005E491E">
        <w:rPr>
          <w:rFonts w:cs="Arial"/>
        </w:rPr>
        <w:t>Poverenica za zaštitu ravnopravnosti dala je mišljenje da je Skupština opštine Senta izvršila diskriminaciju žena na osnovu pola i prekršila odredbe Zakona o ravnopravnosti polova i Zakona o zabrani diskriminacije. Skupštini opštine Senta je preporučeno da otkloni posledice diskriminatornog postupanja u postupku izbora članova izvršnih organa opštine i obezbedi ravnopravnost polova i ostvarivanje jednakih mogućnosti, da u okviru svojih nadležnosti i poslova podstiče ravnopravnost polova, kao i da ubuduće vodi računa da u okviru obavljanja poslova iz svoje nadležnosti ne krši antidiskriminacione propise. Po ovoj preporuci nije postupljeno.</w:t>
      </w:r>
    </w:p>
    <w:p w:rsidR="00135D51" w:rsidRPr="00135D51" w:rsidRDefault="0069142F" w:rsidP="00135D51">
      <w:pPr>
        <w:shd w:val="clear" w:color="auto" w:fill="75E5FB"/>
        <w:spacing w:before="240" w:after="100" w:afterAutospacing="1"/>
        <w:outlineLvl w:val="0"/>
        <w:rPr>
          <w:rFonts w:cs="Arial"/>
          <w:i/>
        </w:rPr>
      </w:pPr>
      <w:bookmarkStart w:id="56" w:name="_Toc476904346"/>
      <w:bookmarkStart w:id="57" w:name="_Toc476908698"/>
      <w:bookmarkStart w:id="58" w:name="_Toc477247941"/>
      <w:bookmarkStart w:id="59" w:name="_Toc477248626"/>
      <w:bookmarkStart w:id="60" w:name="_Toc477250757"/>
      <w:bookmarkStart w:id="61" w:name="_Toc477251751"/>
      <w:r>
        <w:rPr>
          <w:rFonts w:cs="Arial"/>
          <w:i/>
          <w:lang w:val="sr-Latn-RS"/>
        </w:rPr>
        <w:t>Radno mesto rezervisano za osobe ženskog pola</w:t>
      </w:r>
      <w:bookmarkEnd w:id="56"/>
      <w:bookmarkEnd w:id="57"/>
      <w:bookmarkEnd w:id="58"/>
      <w:bookmarkEnd w:id="59"/>
      <w:bookmarkEnd w:id="60"/>
      <w:bookmarkEnd w:id="61"/>
    </w:p>
    <w:p w:rsidR="0069142F" w:rsidRPr="0069142F" w:rsidRDefault="0069142F" w:rsidP="0069142F">
      <w:pPr>
        <w:tabs>
          <w:tab w:val="left" w:pos="709"/>
          <w:tab w:val="center" w:pos="1134"/>
        </w:tabs>
        <w:spacing w:after="100" w:afterAutospacing="1" w:line="276" w:lineRule="auto"/>
        <w:rPr>
          <w:rFonts w:cs="Arial"/>
        </w:rPr>
      </w:pPr>
      <w:r w:rsidRPr="0069142F">
        <w:rPr>
          <w:rFonts w:cs="Arial"/>
        </w:rPr>
        <w:t>Mišljenje je doneto u postupku po pritužbi koja je podneta protiv jednog preduzeća iz Beograda. U pritužbi je navedeno da se podnosilac pritužbe prijavio na konkurs ovog preduzeća, raspisanog na sajtu Nacionalne službe za zapošljavanje, za radno mesto „administrativni radnik/radnica“. Kako je u pritužbi dalje navedeno, istog je dana dobio odgovor da „firma traži kandidata isključivo ženskog pola“, te da iz tog razloga prijava koju je podneo neće biti razmatrana.</w:t>
      </w:r>
    </w:p>
    <w:p w:rsidR="0069142F" w:rsidRPr="0069142F" w:rsidRDefault="0069142F" w:rsidP="0069142F">
      <w:pPr>
        <w:tabs>
          <w:tab w:val="left" w:pos="709"/>
          <w:tab w:val="center" w:pos="1134"/>
        </w:tabs>
        <w:spacing w:after="100" w:afterAutospacing="1" w:line="276" w:lineRule="auto"/>
        <w:rPr>
          <w:rFonts w:cs="Arial"/>
        </w:rPr>
      </w:pPr>
      <w:r w:rsidRPr="0069142F">
        <w:rPr>
          <w:rFonts w:cs="Arial"/>
        </w:rPr>
        <w:t>U toku postupka utvrđeno je da je oglas za radno mesto „administrativni radnik/ca“ u tom preduzeću postavljen na sajtu Nacionalne službe za zapošljavanje, da se podnosilac pritužbe prijavio na oglas, ali da mu je u elektronskoj prepisci dva puta odgovoreno da traže „isključivo osobu ženskog pola“, „ženskog sekretara“, te da se izvinjavaju što ne mogu da odgovore na njegovu prijavu.</w:t>
      </w:r>
    </w:p>
    <w:p w:rsidR="00135D51" w:rsidRDefault="0069142F" w:rsidP="0069142F">
      <w:pPr>
        <w:tabs>
          <w:tab w:val="left" w:pos="709"/>
          <w:tab w:val="center" w:pos="1134"/>
        </w:tabs>
        <w:spacing w:after="100" w:afterAutospacing="1" w:line="276" w:lineRule="auto"/>
        <w:rPr>
          <w:rFonts w:cs="Arial"/>
          <w:lang w:val="sr-Latn-RS"/>
        </w:rPr>
      </w:pPr>
      <w:r w:rsidRPr="0069142F">
        <w:rPr>
          <w:rFonts w:cs="Arial"/>
        </w:rPr>
        <w:t>Poverenica za zaštitu ravnopravnosti dala je mišljenje da je ovo preduzeće odgovorom da neće razmatrati prijavu podnosioca pritužbe na oglas za radno mesto „administrativni radnik/ca“ jer „traže isključivo osobu ženskog pola“ prekršilo odredbe Zakona o zabrani diskriminacije i izvršilo neposrednu diskriminaciju na osnovu pola, u oblasti rada i zapošljavanja. Preduzeću je preporučeno da ubuduće u postupku zapošljavanja obezbedi ravnopravan tretman osoba koje se prijavljuju na konkurs, bez obzira na pol ili bilo koje drugo lično svojstvo lica, da mišljenje i preporuku poverenice za zaštitu ravnopravnosti objavi na oglasnoj tabli, ili drugom vidnom mestu u svojim prostorijama, kao i da u okviru obavljanja poslova iz svoje nadležnosti ne krši antidiskriminacione propise. Po ovoj preporuci je postupljeno.</w:t>
      </w:r>
    </w:p>
    <w:p w:rsidR="0069142F" w:rsidRDefault="0069142F" w:rsidP="0069142F">
      <w:pPr>
        <w:tabs>
          <w:tab w:val="left" w:pos="709"/>
          <w:tab w:val="center" w:pos="1134"/>
        </w:tabs>
        <w:spacing w:after="100" w:afterAutospacing="1" w:line="276" w:lineRule="auto"/>
        <w:rPr>
          <w:rStyle w:val="Heading3Char"/>
          <w:rFonts w:eastAsia="Calibri"/>
          <w:lang w:val="sr-Latn-RS"/>
        </w:rPr>
      </w:pPr>
    </w:p>
    <w:p w:rsidR="00556A31" w:rsidRDefault="00556A31" w:rsidP="0069142F">
      <w:pPr>
        <w:tabs>
          <w:tab w:val="left" w:pos="709"/>
          <w:tab w:val="center" w:pos="1134"/>
        </w:tabs>
        <w:spacing w:after="100" w:afterAutospacing="1" w:line="276" w:lineRule="auto"/>
        <w:rPr>
          <w:rStyle w:val="Heading3Char"/>
          <w:rFonts w:eastAsia="Calibri"/>
          <w:lang w:val="sr-Latn-RS"/>
        </w:rPr>
      </w:pPr>
    </w:p>
    <w:p w:rsidR="00556A31" w:rsidRDefault="00556A31" w:rsidP="0069142F">
      <w:pPr>
        <w:tabs>
          <w:tab w:val="left" w:pos="709"/>
          <w:tab w:val="center" w:pos="1134"/>
        </w:tabs>
        <w:spacing w:after="100" w:afterAutospacing="1" w:line="276" w:lineRule="auto"/>
        <w:rPr>
          <w:rStyle w:val="Heading3Char"/>
          <w:rFonts w:eastAsia="Calibri"/>
          <w:lang w:val="sr-Latn-RS"/>
        </w:rPr>
      </w:pPr>
    </w:p>
    <w:p w:rsidR="00556A31" w:rsidRPr="0069142F" w:rsidRDefault="00556A31" w:rsidP="0069142F">
      <w:pPr>
        <w:tabs>
          <w:tab w:val="left" w:pos="709"/>
          <w:tab w:val="center" w:pos="1134"/>
        </w:tabs>
        <w:spacing w:after="100" w:afterAutospacing="1" w:line="276" w:lineRule="auto"/>
        <w:rPr>
          <w:rStyle w:val="Heading3Char"/>
          <w:rFonts w:eastAsia="Calibri"/>
          <w:lang w:val="sr-Latn-RS"/>
        </w:rPr>
      </w:pPr>
    </w:p>
    <w:p w:rsidR="00135D51" w:rsidRDefault="003F440D" w:rsidP="00135D51">
      <w:pPr>
        <w:pStyle w:val="Heading4"/>
        <w:rPr>
          <w:lang w:val="sr-Latn-RS"/>
        </w:rPr>
      </w:pPr>
      <w:bookmarkStart w:id="62" w:name="_Toc477248627"/>
      <w:bookmarkStart w:id="63" w:name="_Toc477251752"/>
      <w:r>
        <w:rPr>
          <w:lang w:val="sr-Latn-RS"/>
        </w:rPr>
        <w:lastRenderedPageBreak/>
        <w:t>Preporuke mera za ostvarivanje ravnopravnosti</w:t>
      </w:r>
      <w:bookmarkEnd w:id="62"/>
      <w:bookmarkEnd w:id="63"/>
    </w:p>
    <w:p w:rsidR="003F440D" w:rsidRPr="003F440D" w:rsidRDefault="003F440D" w:rsidP="003F440D">
      <w:pPr>
        <w:rPr>
          <w:lang w:val="sr-Latn-RS"/>
        </w:rPr>
      </w:pPr>
    </w:p>
    <w:p w:rsidR="00135D51" w:rsidRPr="00135D51" w:rsidRDefault="003F440D" w:rsidP="00135D51">
      <w:pPr>
        <w:shd w:val="clear" w:color="auto" w:fill="75E5FB"/>
        <w:spacing w:after="100" w:afterAutospacing="1" w:line="276" w:lineRule="auto"/>
        <w:jc w:val="left"/>
        <w:rPr>
          <w:rFonts w:cs="Arial"/>
          <w:i/>
        </w:rPr>
      </w:pPr>
      <w:r>
        <w:rPr>
          <w:rFonts w:cs="Arial"/>
          <w:i/>
          <w:lang w:val="sr-Latn-RS"/>
        </w:rPr>
        <w:t>Preporuke mera centrima za socijalni rad da svoje odluke i mišljenja ne zasnivaju na stereotipnim ulogama roditelja</w:t>
      </w:r>
    </w:p>
    <w:p w:rsidR="00687661" w:rsidRPr="00687661" w:rsidRDefault="00687661" w:rsidP="00687661">
      <w:pPr>
        <w:spacing w:after="100" w:afterAutospacing="1" w:line="276" w:lineRule="auto"/>
        <w:rPr>
          <w:rFonts w:cs="Arial"/>
        </w:rPr>
      </w:pPr>
      <w:r w:rsidRPr="00687661">
        <w:rPr>
          <w:rFonts w:cs="Arial"/>
        </w:rPr>
        <w:t>U toku postupka po pritužbama građana i građanki, Poverenik za zaštitu ravnopravnosti došao je do saznanja da pojedini centri za socijalni rad u Srbiji, rešavajući u postupcima nadzora nad vršenjem roditeljskog prava, donose odluke zasnovane na stereotipima i predrasudama koji se odnose na uloge oca i majke u životu deteta. Poverenk je imao uvid u rešenje centra za socijalni rad kojim je detetu, rođenom u vanbračnoj zajednici roditelja, promenjeno prezime koje mu je upisano u matičnu knjigu rođenih (prezime majke) i odlučeno da će dete preuzeti očevo prezime, s obrazloženjem da je „uobičajeno da dete nosi prezime oca, kada je već poznat i da je organ starateljstva zauzeo mišljenje da bi preuzimanje prezimena oca detetu donelo više koristi nego što bi nanelo štete i da stoga procenjuje da je u interesu maloletnog deteta da preuzme očevo prezime“. U opisanom slučaju, Ministarstvo za rad, zapošljavanje, boračka i socijalna pitanja poništilo je u drugostepenom postupku ovo rešenje centra za socijalni rad i predmet vratilo na ponovni postupak. U svom rešenju Ministarstvo je detaljno ukazalo prvostepenom organu na koji način da otkloni učinjene nedostatke i nakon potpuno utvrđenog činjeničnog stanja, a uz pravilnu primenu materijalnog prava i odredaba postupka, donese odgovarajuću na zakonu zasnovanu odluku.</w:t>
      </w:r>
    </w:p>
    <w:p w:rsidR="000217B3" w:rsidRDefault="00687661" w:rsidP="00687661">
      <w:pPr>
        <w:spacing w:after="100" w:afterAutospacing="1" w:line="276" w:lineRule="auto"/>
        <w:rPr>
          <w:rFonts w:cs="Arial"/>
          <w:lang w:val="sr-Latn-RS"/>
        </w:rPr>
      </w:pPr>
      <w:r w:rsidRPr="00687661">
        <w:rPr>
          <w:rFonts w:cs="Arial"/>
        </w:rPr>
        <w:t>Poverenica za zaštitu ravnopravnosti ukazala je da u odlukama koje se odnose na vršenje roditeljskog prava i procenu roditeljskih kompetencija svaki stručnjak u socijalnoj zaštiti mora biti u stanju da navede suštinske i jasne razloge za donošenje odluke, potkrepljene dovoljnim činjenicama i dokazima, koji bi svakog stručnjaka koji bi procenjivao takvu odluku uverile da je ona zakonita i celishodna, odnosno da bi i on, u istoj situaciji i pod istim okolnostima, doneo odluku iste sadržine. Stoga odluke koje donose stručnjaci u centrima za socijalni rad ne smeju biti zasnovane na predrasudama i stereotipima u vezi sa očekivanim rodnim i roditeljskim ulogama u odrastanju deteta. Zbog toga je upućena preporuka mera za ostvarivanje ravnopravnosti centrima za socijalni rad u Srbiji. U preporuci je ukazano da svoje odluke i mišljenja u postupcima nadzora nad vršenjem roditeljskog prava, kao i prilikom procene roditeljskih kompetencija, centri za socijalni rad ne zasnivaju na stereotipnim ulogama roditelja, odnosno da svoje odluke ne zasnivaju na predrasudama, običajima i drugim društvenim obrascima ponašanja koji su zasnovani na ideji podređenosti ili nadređenosti polova, odnosno stereotipnih uloga polova.</w:t>
      </w:r>
    </w:p>
    <w:p w:rsidR="00135D51" w:rsidRPr="00135D51" w:rsidRDefault="00687661" w:rsidP="00135D51">
      <w:pPr>
        <w:shd w:val="clear" w:color="auto" w:fill="75E5FB"/>
        <w:spacing w:after="100" w:afterAutospacing="1" w:line="276" w:lineRule="auto"/>
        <w:rPr>
          <w:rFonts w:cs="Arial"/>
        </w:rPr>
      </w:pPr>
      <w:r>
        <w:rPr>
          <w:rFonts w:cs="Arial"/>
          <w:i/>
          <w:lang w:val="sr-Latn-RS"/>
        </w:rPr>
        <w:t>Preporuka mera Nacionalnoj službi za zapošljavanje radi obezbeđivanja efikasnog sistema kontrole oglasa i pravilne upotrebe rodno osetljivih naziva zanimanja</w:t>
      </w:r>
      <w:r w:rsidR="00135D51" w:rsidRPr="00135D51">
        <w:rPr>
          <w:rFonts w:cs="Arial"/>
          <w:i/>
        </w:rPr>
        <w:t xml:space="preserve"> </w:t>
      </w:r>
    </w:p>
    <w:p w:rsidR="00687661" w:rsidRPr="00687661" w:rsidRDefault="00687661" w:rsidP="005F1C6E">
      <w:pPr>
        <w:spacing w:line="276" w:lineRule="auto"/>
        <w:rPr>
          <w:rFonts w:cs="Arial"/>
        </w:rPr>
      </w:pPr>
      <w:r w:rsidRPr="00687661">
        <w:rPr>
          <w:rFonts w:cs="Arial"/>
        </w:rPr>
        <w:t>U toku postupka po pritužbi, Poverenik za zaštitu ravnopravnosti došao je do saznanja da se na sajtu Nacionalne službe za zapošljavanje, i pored kontrole koju Nacionalna služba sprovodi, događa da se objavi oglas koji je u suprotnosti s ranijom preporukom Poverenika. Primera radi, objavljen je oglas za radno mesto „pomoćnik javnog izvršitelja“, dok je u tekstu oglasa, u uslovima, navedeno da se radi o „kandidatkinji“. Podnosilac pritužbe koji je ukazao na ovaj oglas za zaposlenje obratio se i Nacionalnoj službi, koja je oglas odmah korigovala.</w:t>
      </w:r>
    </w:p>
    <w:p w:rsidR="00687661" w:rsidRPr="00687661" w:rsidRDefault="00687661" w:rsidP="005F1C6E">
      <w:pPr>
        <w:spacing w:line="276" w:lineRule="auto"/>
        <w:rPr>
          <w:rFonts w:cs="Arial"/>
        </w:rPr>
      </w:pPr>
      <w:r w:rsidRPr="00687661">
        <w:rPr>
          <w:rFonts w:cs="Arial"/>
        </w:rPr>
        <w:lastRenderedPageBreak/>
        <w:t>Poverenica za zaštitu ravnopravnosti ukazala je da sa aspekta Zakona o zabrani diskriminacije, mogućnost za zasnivanje radnog odnosa ne sme biti narušena, kako bi sva lica koja traže posao imala jednake uslove, bez ikakve diskriminacije po osnovu pola, starosnog doba, fizičkog izgleda, ili bilo kog drugog ličnog svojstva. Takođe, odredbama člana 9. Zakona o zapošljavanju i osiguranju za slučaj nezaposlenosti predviđena je dužnost Nacionalne službe za zapošljavanje da poslodavcu i licu koje traži posao pruži obaveštenje o zakonima, podzakonskim propisima, kolektivnim ugovorima i drugim opštim aktima koji su na snazi, pravima, obavezama i odgovornostima poslodavaca i zaposlenih, kao i njihovih udruženja, koji se odnose na zapošljavanje i osiguranje za vreme nezaposlenosti, kao i savete o načinu i postupku ostvarivanja prava i izvršavanja obaveza i pomoć o načinu popunjavanja i dostavljanja Nacionalnoj službi za zapošljavanje obrazaca i dokumenata. Ova zakonska odredba obavezuje Nacionalnu službu za zapošljavanje da poslodavce upozori na odredbe Zakona o zabrani diskriminacije i drugih antidiskriminacionih propisa koji zabranjuju diskriminaciju na osnovu bilo kog ličnog svojstva u oblasti zapošljavanja.</w:t>
      </w:r>
    </w:p>
    <w:p w:rsidR="00687661" w:rsidRPr="00687661" w:rsidRDefault="00687661" w:rsidP="005F1C6E">
      <w:pPr>
        <w:spacing w:line="276" w:lineRule="auto"/>
        <w:rPr>
          <w:rFonts w:cs="Arial"/>
        </w:rPr>
      </w:pPr>
      <w:r w:rsidRPr="00687661">
        <w:rPr>
          <w:rFonts w:cs="Arial"/>
        </w:rPr>
        <w:t>Poverenik je ukazao i na odredbe Zakona o oglašavanju koje propisuju načelo zabrane podsticanja diskriminacije, odnosno, zabranjeno je da oglasna poruka, neposredno ili posredno, podstiče diskriminaciju po bilo kom osnovu. Odredbe ovog zakona propisuju i da je prenosilac oglasne poruke čija je oglasna poruka protivna odredbama ovog ili drugog zakona ili podzakonskog akta kojim se uređuje sadržaj oglašavanja odgovoran za oglašavanje ako je znao ili je na osnovu redovne provere okolnosti konkretnog slučaja (npr. uvidom u sadržaj) morao znati da je oglasna poruka protivna navedenim propisima.</w:t>
      </w:r>
    </w:p>
    <w:p w:rsidR="00135D51" w:rsidRDefault="00687661" w:rsidP="005F1C6E">
      <w:pPr>
        <w:spacing w:line="276" w:lineRule="auto"/>
        <w:rPr>
          <w:rFonts w:cs="Arial"/>
          <w:lang w:val="sr-Latn-RS"/>
        </w:rPr>
      </w:pPr>
      <w:r w:rsidRPr="00687661">
        <w:rPr>
          <w:rFonts w:cs="Arial"/>
        </w:rPr>
        <w:t>Imajući u vidu navedene zakonske odredbe, preporučeno je Nacionalnoj službi  da preduzme mere iz svoje nadležnosti kako bi obezbedila efikasan sistem kontrole oglasa koje poslodavci dostavljaju Nacionalnoj službi, kao i oglasa koje poslodavci sami postavljaju na njen sajt. Takođe, Nacionalnoj službi je preporučeno da prilikom oglašavnja vodi računa i o pravilnoj i doslednoj upotrebi rodno osetljivih naziva i zanimanja, ili korišćenjem jednog roda uz primenu opštih pravila da svi pojmovi upotrebljeni u jednom gramatičkom rodu obuhvataju muški i ženski rod lica na koje se odnose.</w:t>
      </w:r>
    </w:p>
    <w:p w:rsidR="00687661" w:rsidRPr="00687661" w:rsidRDefault="00687661" w:rsidP="00687661">
      <w:pPr>
        <w:spacing w:line="276" w:lineRule="auto"/>
        <w:ind w:firstLine="567"/>
        <w:rPr>
          <w:rFonts w:cs="Arial"/>
          <w:lang w:val="sr-Latn-RS"/>
        </w:rPr>
      </w:pPr>
    </w:p>
    <w:p w:rsidR="00135D51" w:rsidRPr="00135D51" w:rsidRDefault="005F1C6E" w:rsidP="00135D51">
      <w:pPr>
        <w:pStyle w:val="Heading4"/>
      </w:pPr>
      <w:bookmarkStart w:id="64" w:name="_Toc477248628"/>
      <w:bookmarkStart w:id="65" w:name="_Toc477251753"/>
      <w:r>
        <w:rPr>
          <w:lang w:val="sr-Latn-RS"/>
        </w:rPr>
        <w:t>Upozorenja i saopštenja</w:t>
      </w:r>
      <w:bookmarkEnd w:id="64"/>
      <w:bookmarkEnd w:id="65"/>
    </w:p>
    <w:p w:rsidR="00135D51" w:rsidRPr="00135D51" w:rsidRDefault="005F1C6E" w:rsidP="00135D51">
      <w:pPr>
        <w:shd w:val="clear" w:color="auto" w:fill="75E5FB"/>
        <w:spacing w:before="240" w:after="0" w:line="240" w:lineRule="auto"/>
        <w:rPr>
          <w:rFonts w:cs="Arial"/>
          <w:i/>
          <w:color w:val="000000"/>
        </w:rPr>
      </w:pPr>
      <w:r>
        <w:rPr>
          <w:rFonts w:cs="Arial"/>
          <w:i/>
          <w:color w:val="000000"/>
          <w:lang w:val="sr-Latn-RS"/>
        </w:rPr>
        <w:t xml:space="preserve">Upozorenje za javnost povodom najave osnivanja Državnog saveta za borbu za smanjenje abortusa, </w:t>
      </w:r>
      <w:r w:rsidR="00135D51" w:rsidRPr="00135D51">
        <w:rPr>
          <w:rFonts w:cs="Arial"/>
          <w:i/>
          <w:color w:val="000000"/>
        </w:rPr>
        <w:t xml:space="preserve">23. </w:t>
      </w:r>
      <w:r>
        <w:rPr>
          <w:rFonts w:cs="Arial"/>
          <w:i/>
          <w:color w:val="000000"/>
          <w:lang w:val="sr-Latn-RS"/>
        </w:rPr>
        <w:t>decembar</w:t>
      </w:r>
      <w:r w:rsidR="00135D51" w:rsidRPr="00135D51">
        <w:rPr>
          <w:rFonts w:cs="Arial"/>
          <w:i/>
          <w:color w:val="000000"/>
        </w:rPr>
        <w:t xml:space="preserve"> 2016.</w:t>
      </w:r>
    </w:p>
    <w:p w:rsidR="005F1C6E" w:rsidRPr="005F1C6E" w:rsidRDefault="005F1C6E" w:rsidP="005F1C6E">
      <w:pPr>
        <w:shd w:val="clear" w:color="auto" w:fill="FFFFFF"/>
        <w:spacing w:before="240" w:after="150" w:line="276" w:lineRule="auto"/>
        <w:rPr>
          <w:rFonts w:cs="Arial"/>
          <w:color w:val="000000"/>
        </w:rPr>
      </w:pPr>
      <w:r w:rsidRPr="005F1C6E">
        <w:rPr>
          <w:rFonts w:cs="Arial"/>
          <w:color w:val="000000"/>
        </w:rPr>
        <w:t>Povodom najave osnivanja Državnog saveta za borbu za smanjenje abortusa, poverenica za zaštitu ravnopravnosti ukazala je javnosti na čl. 44. i 63. Ustava Republike Srbije. Prema Ustavu, svako ima pravo da slobodno odluči o rađanju dece. Iako Republika Srbija podstiče roditelje da se odluče na rađanje, i ne osporavajući činjenicu da je natalitet u našoj državi godinama u opadanju, formiranje ovakvog tela pod ovakvim nazivom, u najavljenom sastavu, ne sme dovesti do osporavanja prava žena na abortus.</w:t>
      </w:r>
    </w:p>
    <w:p w:rsidR="005F1C6E" w:rsidRPr="005F1C6E" w:rsidRDefault="005F1C6E" w:rsidP="005F1C6E">
      <w:pPr>
        <w:shd w:val="clear" w:color="auto" w:fill="FFFFFF"/>
        <w:spacing w:before="240" w:after="150" w:line="276" w:lineRule="auto"/>
        <w:rPr>
          <w:rFonts w:cs="Arial"/>
          <w:color w:val="000000"/>
        </w:rPr>
      </w:pPr>
      <w:r w:rsidRPr="005F1C6E">
        <w:rPr>
          <w:rFonts w:cs="Arial"/>
          <w:color w:val="000000"/>
        </w:rPr>
        <w:t>Država treba da brine o reproduktivnom zdravlju žena i da edukacijom dece i mladih podiže svest o prevenciji i planiranju porodice, a to je zadatak i zdravstvenih ustanova u okviru postojećih cavetovališta u domovima zdravlja širom Srbije.</w:t>
      </w:r>
    </w:p>
    <w:p w:rsidR="005F1C6E" w:rsidRDefault="005F1C6E" w:rsidP="005F1C6E">
      <w:pPr>
        <w:shd w:val="clear" w:color="auto" w:fill="FFFFFF"/>
        <w:spacing w:before="240" w:after="150" w:line="276" w:lineRule="auto"/>
        <w:rPr>
          <w:rFonts w:cs="Arial"/>
          <w:color w:val="000000"/>
          <w:lang w:val="sr-Latn-RS"/>
        </w:rPr>
      </w:pPr>
      <w:r w:rsidRPr="005F1C6E">
        <w:rPr>
          <w:rFonts w:cs="Arial"/>
          <w:color w:val="000000"/>
        </w:rPr>
        <w:lastRenderedPageBreak/>
        <w:t>Reproduktivna prava i slobode spadaju u korpus ljudskih prava koja ni u kom slučaju ne smeju biti dovedena u pitanje, a kreiranje populacione politike je jedna od značajnih politika, koja treba da obuhvata i žene i muškarce ravnopravno, upozorila je poverenica.</w:t>
      </w:r>
    </w:p>
    <w:p w:rsidR="00135D51" w:rsidRPr="00135D51" w:rsidRDefault="007F0E87" w:rsidP="00135D51">
      <w:pPr>
        <w:shd w:val="clear" w:color="auto" w:fill="75E5FB"/>
        <w:spacing w:after="100" w:afterAutospacing="1" w:line="276" w:lineRule="auto"/>
        <w:rPr>
          <w:rFonts w:cs="Arial"/>
          <w:i/>
          <w:color w:val="000000"/>
        </w:rPr>
      </w:pPr>
      <w:r>
        <w:rPr>
          <w:rFonts w:cs="Arial"/>
          <w:i/>
          <w:color w:val="000000"/>
          <w:lang w:val="sr-Latn-RS"/>
        </w:rPr>
        <w:t xml:space="preserve">Upozorenje javnosti povodom mizogenih i seksističkih izjava u nedeljniku Afera, </w:t>
      </w:r>
      <w:r w:rsidR="00135D51" w:rsidRPr="00135D51">
        <w:rPr>
          <w:rFonts w:cs="Arial"/>
          <w:i/>
          <w:color w:val="000000"/>
        </w:rPr>
        <w:t xml:space="preserve">8. </w:t>
      </w:r>
      <w:r>
        <w:rPr>
          <w:rFonts w:cs="Arial"/>
          <w:i/>
          <w:color w:val="000000"/>
          <w:lang w:val="sr-Latn-RS"/>
        </w:rPr>
        <w:t>decembar</w:t>
      </w:r>
      <w:r w:rsidR="00135D51" w:rsidRPr="00135D51">
        <w:rPr>
          <w:rFonts w:cs="Arial"/>
          <w:i/>
          <w:color w:val="000000"/>
        </w:rPr>
        <w:t xml:space="preserve"> 2016.</w:t>
      </w:r>
    </w:p>
    <w:p w:rsidR="007F0E87" w:rsidRPr="007F0E87" w:rsidRDefault="007F0E87" w:rsidP="007F0E87">
      <w:pPr>
        <w:spacing w:after="0" w:line="276" w:lineRule="auto"/>
        <w:rPr>
          <w:rFonts w:cs="Arial"/>
          <w:color w:val="000000"/>
        </w:rPr>
      </w:pPr>
      <w:r w:rsidRPr="007F0E87">
        <w:rPr>
          <w:rFonts w:cs="Arial"/>
          <w:color w:val="000000"/>
        </w:rPr>
        <w:t xml:space="preserve">Zbog seksističkih i mizogenih izjava i stavova Dušana Marića, potpisnika kolumne objavljene u nedeljniku Afera u broju koji je izašao 7. decembra 2016. godine, poverenica za zaštitu ravnopravnosti reagovala je upozorenjem za javnost. </w:t>
      </w:r>
    </w:p>
    <w:p w:rsidR="007F0E87" w:rsidRDefault="007F0E87" w:rsidP="007F0E87">
      <w:pPr>
        <w:spacing w:after="0" w:line="276" w:lineRule="auto"/>
        <w:rPr>
          <w:rFonts w:cs="Arial"/>
          <w:color w:val="000000"/>
          <w:lang w:val="sr-Latn-RS"/>
        </w:rPr>
      </w:pPr>
      <w:r w:rsidRPr="007F0E87">
        <w:rPr>
          <w:rFonts w:cs="Arial"/>
          <w:color w:val="000000"/>
        </w:rPr>
        <w:t>U pomenutoj kolumni ne samo da se vređaju i ponižavaju žene nego se minimalizuje i relativizuje problem nasilja. Izjavama da žene „lažno prijavljuju“ nasilje poslata je nedopustiva poruka javnosti, i to kada iz godine u godinu raste broj slučajeva rodno zasnovanog nasilja sa smrtnim ishodima. Poverenica je zato istakla da svi učesnici u javnom i političkom životu moraju da budu dodatno odgovorni za svaku reč koju iznose u javnost i pokažu najviši stepen odgovornosti kako bi se smanjio i sprečio svaki oblik partnerskog nasilja i nasilja u porodici.</w:t>
      </w:r>
    </w:p>
    <w:p w:rsidR="00135D51" w:rsidRPr="00135D51" w:rsidRDefault="0099277F" w:rsidP="00135D51">
      <w:pPr>
        <w:shd w:val="clear" w:color="auto" w:fill="75E5FB"/>
        <w:spacing w:before="240" w:after="100" w:afterAutospacing="1" w:line="276" w:lineRule="auto"/>
        <w:rPr>
          <w:rFonts w:cs="Arial"/>
          <w:i/>
          <w:color w:val="000000"/>
        </w:rPr>
      </w:pPr>
      <w:r>
        <w:rPr>
          <w:rFonts w:cs="Arial"/>
          <w:i/>
          <w:color w:val="000000"/>
          <w:lang w:val="sr-Latn-RS"/>
        </w:rPr>
        <w:t xml:space="preserve">Upozorenje povodom Međunarodnog dana borbe protiv nasilja nad ženama, </w:t>
      </w:r>
      <w:r w:rsidR="00135D51" w:rsidRPr="00135D51">
        <w:rPr>
          <w:rFonts w:cs="Arial"/>
          <w:i/>
          <w:color w:val="000000"/>
        </w:rPr>
        <w:t xml:space="preserve">25. </w:t>
      </w:r>
      <w:r>
        <w:rPr>
          <w:rFonts w:cs="Arial"/>
          <w:i/>
          <w:color w:val="000000"/>
          <w:lang w:val="sr-Latn-RS"/>
        </w:rPr>
        <w:t>novembar</w:t>
      </w:r>
      <w:r w:rsidR="00135D51" w:rsidRPr="00135D51">
        <w:rPr>
          <w:rFonts w:cs="Arial"/>
          <w:i/>
          <w:color w:val="000000"/>
        </w:rPr>
        <w:t xml:space="preserve"> 2016.</w:t>
      </w:r>
    </w:p>
    <w:p w:rsidR="0099277F" w:rsidRPr="0099277F" w:rsidRDefault="0099277F" w:rsidP="00135D51">
      <w:pPr>
        <w:spacing w:after="100" w:afterAutospacing="1" w:line="276" w:lineRule="auto"/>
        <w:rPr>
          <w:rFonts w:cs="Arial"/>
          <w:color w:val="000000"/>
          <w:lang w:val="sr-Latn-RS"/>
        </w:rPr>
      </w:pPr>
      <w:r w:rsidRPr="0099277F">
        <w:rPr>
          <w:rFonts w:cs="Arial"/>
          <w:color w:val="000000"/>
        </w:rPr>
        <w:t>Povodom Međunarodnog dana borbe protiv nasilja nad ženama poverenica za zaštitu ravnopravnosti upozorila je javnost na sve češće slučajeve rodno zasnovanog nasilja koja se neretko završavaju tragično – ubistvima. Slučaj žene zaposlene u MUP-u, koju je, nakon dugog i kontinuiranog nasilja, vatrenim oružjem ranio suprug, takođe pripadnik MUP-a, još jedan je pokazatelj da pristup borbi protiv nasilja nije bio efikasan. Pomenutom slučaju dodatnu težinu daje okolnost da je počinilac bio deo, karika koja je ključna u lancu suzbijanja nasilja. Poverenica je izrazila očekivanje da će usvojeni Zakon o sprečavanju nasilja u porodici, doslednom primenom, pružiti delotvorne mehanizme zaštite žrtava. Svi činioci, od centara za socijalni rad do policije, zdravstvenih ustanova, tužilaštava i sudova, utvrđivanjem individualne odgovornosti moraju da spreče dosadašnje propuste u radu. Poverenica je upozorila i da mediji moraju da pokažu najviši stepen odgovornosti, te da izveštavajući o partnerskom nasilju i nasilju u porodici poštuju Kodeks novinara Srbije, posebno odredbe koje nalažu zaštitu privatnosti i identiteta, zabranu zloupotrebe neznanja sagovornika i sagovornica o posledicama iznošenja ličnih podataka javnosti, kao i poštovanje i zaštitu prava i dostojanstva žrtava nasilja i njihovih porodica.</w:t>
      </w:r>
    </w:p>
    <w:p w:rsidR="00135D51" w:rsidRPr="00135D51" w:rsidRDefault="0099277F" w:rsidP="00CE5606">
      <w:pPr>
        <w:shd w:val="clear" w:color="auto" w:fill="75E5FB"/>
        <w:spacing w:before="240" w:after="0"/>
        <w:rPr>
          <w:rFonts w:cs="Arial"/>
          <w:i/>
          <w:color w:val="000000"/>
        </w:rPr>
      </w:pPr>
      <w:r>
        <w:rPr>
          <w:rFonts w:cs="Arial"/>
          <w:i/>
          <w:color w:val="000000"/>
          <w:lang w:val="sr-Latn-RS"/>
        </w:rPr>
        <w:t>Upozorenje povodom nasilja u porodici i partnerskog nasilja</w:t>
      </w:r>
      <w:r w:rsidR="00135D51" w:rsidRPr="00135D51">
        <w:rPr>
          <w:rFonts w:cs="Arial"/>
          <w:i/>
          <w:color w:val="000000"/>
        </w:rPr>
        <w:t xml:space="preserve">, 2. </w:t>
      </w:r>
      <w:r>
        <w:rPr>
          <w:rFonts w:cs="Arial"/>
          <w:i/>
          <w:color w:val="000000"/>
          <w:lang w:val="sr-Latn-RS"/>
        </w:rPr>
        <w:t>jul</w:t>
      </w:r>
      <w:r w:rsidR="00135D51" w:rsidRPr="00135D51">
        <w:rPr>
          <w:rFonts w:cs="Arial"/>
          <w:i/>
          <w:color w:val="000000"/>
        </w:rPr>
        <w:t xml:space="preserve"> 2016.</w:t>
      </w:r>
    </w:p>
    <w:p w:rsidR="0099277F" w:rsidRDefault="0099277F" w:rsidP="0099277F">
      <w:pPr>
        <w:spacing w:before="0" w:after="0" w:line="276" w:lineRule="auto"/>
        <w:rPr>
          <w:rFonts w:cs="Arial"/>
          <w:color w:val="000000"/>
          <w:lang w:val="sr-Latn-RS"/>
        </w:rPr>
      </w:pPr>
    </w:p>
    <w:p w:rsidR="0099277F" w:rsidRDefault="0099277F" w:rsidP="00135D51">
      <w:pPr>
        <w:spacing w:after="100" w:afterAutospacing="1" w:line="276" w:lineRule="auto"/>
        <w:rPr>
          <w:rFonts w:cs="Arial"/>
          <w:color w:val="000000"/>
          <w:lang w:val="sr-Latn-RS"/>
        </w:rPr>
      </w:pPr>
      <w:r w:rsidRPr="0099277F">
        <w:rPr>
          <w:rFonts w:cs="Arial"/>
          <w:color w:val="000000"/>
        </w:rPr>
        <w:t xml:space="preserve">Masakr u Žitištu kod Zrenjanina i ubistvo žene u selu Drenovcu kod Knjaževca za manje od 24 sata poslednji su stravični događaji koji podsećaju da je ovo jedan od gorućih problema u našem društvu i da borba protiv nasilja nad ženama mora da obuhvata efikasno sprečavanje tragičnih ishoda. Svi akteri u društvu i svi nadležni organi – od centara za socijalni rad do policije, tužilaštava, sudova, ali i svi građani i građanke, moraju da pokažu najviši stepen odgovornosti kako bi se hitno zaustavilo nasilje nad ženama u porodici i u partnerskim odnosima, upozorila je poverenica posle najnovijih tragičnih događaja u Srbiji. Takođe, i ovom prilikom istakla je da mediji imaju odgovornost u suzbijanju rodno zasnovanog nasilja, </w:t>
      </w:r>
      <w:r w:rsidRPr="0099277F">
        <w:rPr>
          <w:rFonts w:cs="Arial"/>
          <w:color w:val="000000"/>
        </w:rPr>
        <w:lastRenderedPageBreak/>
        <w:t>zbog čega je neophodno da se prestane sa izveštavanjem i emitovanjem programa gde se žene omalovažavaju, diskriminišu i stavljaju u podređen položaj, kao i sa izveštavanjem s mesta tragedija na senzacionalistički i neadekvatan način.</w:t>
      </w:r>
    </w:p>
    <w:p w:rsidR="00135D51" w:rsidRPr="00135D51" w:rsidRDefault="0099277F" w:rsidP="00CE5606">
      <w:pPr>
        <w:shd w:val="clear" w:color="auto" w:fill="75E5FB"/>
        <w:spacing w:after="100" w:afterAutospacing="1"/>
        <w:rPr>
          <w:rFonts w:cs="Arial"/>
          <w:i/>
          <w:color w:val="000000"/>
        </w:rPr>
      </w:pPr>
      <w:r>
        <w:rPr>
          <w:rFonts w:cs="Arial"/>
          <w:i/>
          <w:color w:val="000000"/>
          <w:lang w:val="sr-Latn-RS"/>
        </w:rPr>
        <w:t xml:space="preserve">Upozorenje povodom slučajeva ubistva u partnerskom nasilju, </w:t>
      </w:r>
      <w:r w:rsidR="00135D51" w:rsidRPr="00135D51">
        <w:rPr>
          <w:rFonts w:cs="Arial"/>
          <w:i/>
          <w:color w:val="000000"/>
        </w:rPr>
        <w:t xml:space="preserve">10. </w:t>
      </w:r>
      <w:r>
        <w:rPr>
          <w:rFonts w:cs="Arial"/>
          <w:i/>
          <w:color w:val="000000"/>
          <w:lang w:val="sr-Latn-RS"/>
        </w:rPr>
        <w:t>mart</w:t>
      </w:r>
      <w:r w:rsidR="00135D51" w:rsidRPr="00135D51">
        <w:rPr>
          <w:rFonts w:cs="Arial"/>
          <w:i/>
          <w:color w:val="000000"/>
        </w:rPr>
        <w:t xml:space="preserve"> 2016.</w:t>
      </w:r>
    </w:p>
    <w:p w:rsidR="0099277F" w:rsidRDefault="0099277F" w:rsidP="00135D51">
      <w:pPr>
        <w:spacing w:after="100" w:afterAutospacing="1" w:line="276" w:lineRule="auto"/>
        <w:rPr>
          <w:rFonts w:cs="Arial"/>
          <w:color w:val="000000"/>
          <w:lang w:val="sr-Latn-RS"/>
        </w:rPr>
      </w:pPr>
      <w:r w:rsidRPr="0099277F">
        <w:rPr>
          <w:rFonts w:cs="Arial"/>
          <w:color w:val="000000"/>
        </w:rPr>
        <w:t>Nasilje nad ženama jedan je od najvećih problema u našem društvu. Borba protiv nasilja nad ženama mora da bude energična i nedvosmislena i podrazumeva konsenzus celog društva u dva pravca: efikasnu zaštitu koja će sprečiti tragične ishode i iskorenjivanje patrijarhalnog sistema vrednosti, u kojem žene treba da ćute i trpe ukoliko žele da sačuvaju život, upozorila je poverenica za zaštitu ravnopravnosti sve nadležne službe i državne organe, povodom dva ubistva u partnerskom nasilju koja su se dogodila između 9. i 10. marta 2016. godine. Ovi tragični događaji povod su za sve nadležne službe i organe vlasti da preduzmu hitne mere i unaprede sistem zaštite od nasilja.</w:t>
      </w:r>
    </w:p>
    <w:p w:rsidR="00135D51" w:rsidRPr="00135D51" w:rsidRDefault="00D34C3B" w:rsidP="00DE1D8E">
      <w:pPr>
        <w:shd w:val="clear" w:color="auto" w:fill="75E5FB"/>
        <w:spacing w:after="100" w:afterAutospacing="1"/>
        <w:rPr>
          <w:rFonts w:cs="Arial"/>
          <w:i/>
          <w:color w:val="000000"/>
        </w:rPr>
      </w:pPr>
      <w:r>
        <w:rPr>
          <w:rFonts w:cs="Arial"/>
          <w:i/>
          <w:color w:val="000000"/>
          <w:lang w:val="sr-Latn-RS"/>
        </w:rPr>
        <w:t>Saopštenje povodom Međunarodnog dana žena</w:t>
      </w:r>
      <w:r w:rsidR="00135D51" w:rsidRPr="00135D51">
        <w:rPr>
          <w:rFonts w:cs="Arial"/>
          <w:i/>
          <w:color w:val="000000"/>
        </w:rPr>
        <w:t xml:space="preserve">, 7. </w:t>
      </w:r>
      <w:r>
        <w:rPr>
          <w:rFonts w:cs="Arial"/>
          <w:i/>
          <w:color w:val="000000"/>
          <w:lang w:val="sr-Latn-RS"/>
        </w:rPr>
        <w:t>mart</w:t>
      </w:r>
      <w:r w:rsidR="00135D51" w:rsidRPr="00135D51">
        <w:rPr>
          <w:rFonts w:cs="Arial"/>
          <w:i/>
          <w:color w:val="000000"/>
        </w:rPr>
        <w:t xml:space="preserve"> 2016.</w:t>
      </w:r>
    </w:p>
    <w:p w:rsidR="00D34C3B" w:rsidRDefault="00D34C3B" w:rsidP="00135D51">
      <w:pPr>
        <w:spacing w:after="100" w:afterAutospacing="1" w:line="276" w:lineRule="auto"/>
        <w:rPr>
          <w:rFonts w:cs="Arial"/>
          <w:color w:val="000000"/>
          <w:lang w:val="sr-Latn-RS"/>
        </w:rPr>
      </w:pPr>
      <w:r w:rsidRPr="00D34C3B">
        <w:rPr>
          <w:rFonts w:cs="Arial"/>
          <w:color w:val="000000"/>
        </w:rPr>
        <w:t>Poverenica za zaštitu ravnopravnosti ovim saopštenjem čestitala je svim građankama Srbije Međunarodni dan žena. Osmi mart slavi žene i njihovu vekovnu borbu za ljudska prava, ravnopravnost i razbijanje stereotipnog ponašanja i rodnih predrasuda. U toj borbi, žene su dobile pravo glasa i učestvovanja u javnom i političkom životu, pravo na plaćeno porodiljsko odsustvo, veću ekonomsku nezavisnost, bolje obrazovanje i dr. U Srbiji su u pojedinim segmentima vidljivi bitni pomaci. Danas sve više žena aktivno participira u javnom i političkom životu. Naše društvo se polako privikava na sve veći broj žena u nekim profesijama koje su do juče označavane kao „muške“. Međutim i dalje se suočavamo s diskriminatornim stavovima o ženama. Prošlogodišnja statistika Poverenika za zaštitu ravnopravnosti pokazala je da se najveći broj pritužbi odnosio upravo na diskriminaciju žena u oblasti rada i zapošljavanja. Žene se često teže zapošljavaju, rade slabije plaćene poslove, društvo ne vrednuje dovoljno rad koji one obavljaju u svojim domaćinstvima. Posebno osetljive kategorije jesu trudnice i porodilje, osobe sa invaliditetom, starije žene, žene iz ruralnih područja. Ženama je potrebna podrška da ostvare iste mogućnosti kao i muškarci; stvarna jednakost ne znači da žene treba da zamene uloge s muškarcima. Međunarodni dan žena treba i da podseti na ekonomska, naučna i sva ostala dostignuća žena, ali i da bude opomena da se žene u pojedinim delovima sveta još uvek bore za neka od osnovnih ljudskih prava.</w:t>
      </w:r>
    </w:p>
    <w:p w:rsidR="00135D51" w:rsidRPr="00135D51" w:rsidRDefault="00D835A5" w:rsidP="00135D51">
      <w:pPr>
        <w:shd w:val="clear" w:color="auto" w:fill="75E5FB"/>
        <w:spacing w:after="0" w:line="276" w:lineRule="auto"/>
        <w:rPr>
          <w:rFonts w:eastAsia="Times New Roman" w:cs="Arial"/>
          <w:i/>
          <w:color w:val="000000"/>
        </w:rPr>
      </w:pPr>
      <w:r>
        <w:rPr>
          <w:rFonts w:eastAsia="Times New Roman" w:cs="Arial"/>
          <w:i/>
          <w:color w:val="000000"/>
          <w:lang w:val="sr-Latn-RS"/>
        </w:rPr>
        <w:t xml:space="preserve">Saopštenje povodom neprimerenih izjava o političarkama, </w:t>
      </w:r>
      <w:r w:rsidR="00135D51" w:rsidRPr="00135D51">
        <w:rPr>
          <w:rFonts w:eastAsia="Times New Roman" w:cs="Arial"/>
          <w:i/>
          <w:color w:val="000000"/>
        </w:rPr>
        <w:t xml:space="preserve">22. </w:t>
      </w:r>
      <w:r>
        <w:rPr>
          <w:rFonts w:eastAsia="Times New Roman" w:cs="Arial"/>
          <w:i/>
          <w:color w:val="000000"/>
          <w:lang w:val="sr-Latn-RS"/>
        </w:rPr>
        <w:t>februar</w:t>
      </w:r>
      <w:r w:rsidR="00135D51" w:rsidRPr="00135D51">
        <w:rPr>
          <w:rFonts w:eastAsia="Times New Roman" w:cs="Arial"/>
          <w:i/>
          <w:color w:val="000000"/>
        </w:rPr>
        <w:t xml:space="preserve"> 2016.</w:t>
      </w:r>
    </w:p>
    <w:p w:rsidR="00D835A5" w:rsidRDefault="00D835A5" w:rsidP="00D835A5">
      <w:pPr>
        <w:shd w:val="clear" w:color="auto" w:fill="FFFFFF"/>
        <w:spacing w:before="0" w:after="0" w:line="276" w:lineRule="auto"/>
        <w:rPr>
          <w:rFonts w:eastAsia="Times New Roman" w:cs="Arial"/>
          <w:color w:val="000000"/>
          <w:lang w:val="sr-Latn-RS"/>
        </w:rPr>
      </w:pPr>
    </w:p>
    <w:p w:rsidR="00D835A5" w:rsidRDefault="00D835A5" w:rsidP="00135D51">
      <w:pPr>
        <w:shd w:val="clear" w:color="auto" w:fill="FFFFFF"/>
        <w:spacing w:after="100" w:afterAutospacing="1" w:line="276" w:lineRule="auto"/>
        <w:rPr>
          <w:rFonts w:eastAsia="Times New Roman" w:cs="Arial"/>
          <w:color w:val="000000"/>
          <w:lang w:val="sr-Latn-RS"/>
        </w:rPr>
      </w:pPr>
      <w:r w:rsidRPr="00D835A5">
        <w:rPr>
          <w:rFonts w:eastAsia="Times New Roman" w:cs="Arial"/>
          <w:color w:val="000000"/>
        </w:rPr>
        <w:t xml:space="preserve">Povodom neprimerenih izjava prema političarkama koje su prisutne u javnom govoru, naročito kod pojedinih javnih ličnosti, poverenica je u okviru svojih zakonskih ovlašćenja ukazala na to da svi, bez obzira na to koji način i vrstu komunikacije koriste, imaju obavezu da poštuju Ustav i zakone Srbije, koji važe za sve građane i građanke. Ujedno je ukazala da je Zakonom o zabrani diskriminacije zabranjeno uznemiravajuće i ponižavajuće postupanje koje vređa dostojanstvo lica ili grupe lica na osnovu bilo kojeg ličnog svojstva, koje stvara neprijateljsko, ponižavajuće i uvredljivo okruženje. U saopštenju je navedeno da nam predstoji još mnogo posla na izgradnji tolerantnog i ravnopravnog društva, u kojem se žene neće gledati isključivo kroz stereotipne i tradicionalne rodne uloge i prizmu pola, već i kroz </w:t>
      </w:r>
      <w:r w:rsidRPr="00D835A5">
        <w:rPr>
          <w:rFonts w:eastAsia="Times New Roman" w:cs="Arial"/>
          <w:color w:val="000000"/>
        </w:rPr>
        <w:lastRenderedPageBreak/>
        <w:t>prizmu stručnosti, sposobnosti i znanja, i ne zbog želje da se na taj način bude prisutan u medijima i javnom životu.</w:t>
      </w:r>
    </w:p>
    <w:p w:rsidR="00135D51" w:rsidRPr="00135D51" w:rsidRDefault="00D835A5" w:rsidP="00135D51">
      <w:pPr>
        <w:shd w:val="clear" w:color="auto" w:fill="75E5FB"/>
        <w:spacing w:after="100" w:afterAutospacing="1"/>
        <w:rPr>
          <w:rFonts w:eastAsia="Times New Roman" w:cs="Arial"/>
          <w:i/>
          <w:color w:val="000000"/>
        </w:rPr>
      </w:pPr>
      <w:r>
        <w:rPr>
          <w:rFonts w:eastAsia="Times New Roman" w:cs="Arial"/>
          <w:i/>
          <w:color w:val="000000"/>
          <w:lang w:val="sr-Latn-RS"/>
        </w:rPr>
        <w:t xml:space="preserve">Saopštenje povodom nasilničkog ponašanja nad sportistkinjom, </w:t>
      </w:r>
      <w:r w:rsidR="00135D51" w:rsidRPr="00135D51">
        <w:rPr>
          <w:rFonts w:eastAsia="Times New Roman" w:cs="Arial"/>
          <w:i/>
          <w:color w:val="000000"/>
        </w:rPr>
        <w:t xml:space="preserve">25. </w:t>
      </w:r>
      <w:r>
        <w:rPr>
          <w:rFonts w:eastAsia="Times New Roman" w:cs="Arial"/>
          <w:i/>
          <w:color w:val="000000"/>
          <w:lang w:val="sr-Latn-RS"/>
        </w:rPr>
        <w:t>avgust</w:t>
      </w:r>
      <w:r w:rsidR="00135D51" w:rsidRPr="00135D51">
        <w:rPr>
          <w:rFonts w:eastAsia="Times New Roman" w:cs="Arial"/>
          <w:i/>
          <w:color w:val="000000"/>
        </w:rPr>
        <w:t xml:space="preserve"> 2016.</w:t>
      </w:r>
    </w:p>
    <w:p w:rsidR="00556A31" w:rsidRDefault="00D835A5" w:rsidP="00556A31">
      <w:pPr>
        <w:spacing w:before="100" w:beforeAutospacing="1" w:after="100" w:afterAutospacing="1" w:line="276" w:lineRule="auto"/>
        <w:rPr>
          <w:rFonts w:eastAsia="Times New Roman" w:cs="Arial"/>
          <w:color w:val="000000"/>
          <w:lang w:val="sr-Latn-RS"/>
        </w:rPr>
      </w:pPr>
      <w:r w:rsidRPr="00D835A5">
        <w:rPr>
          <w:rFonts w:eastAsia="Times New Roman" w:cs="Arial"/>
          <w:color w:val="000000"/>
        </w:rPr>
        <w:t>Poverenica za zaštitu ravnopravnosti je u svom saopštenju osudila nasilničko ponašanje funkcionera ŽFK Vojvodine Dragana Čapelja nad osamnaestogodišnjom igračicom ŽFK Crvena zvezda, Nevenom Miladinović, i izrazila nadu da će nasilnik biti adekvatno sankcionisan. Ujedno je podsetila javnost da je nasilje jedan od gorućih problema u našem društvu i da borba protiv nasilja nad ženama obuhvata kako mehanizme prevencije, tako i pravovremeni i sinhronizovani rad svih nadležnih organa kada do nasilničkog ponašanja dođe</w:t>
      </w:r>
      <w:r w:rsidR="00135D51" w:rsidRPr="00135D51">
        <w:rPr>
          <w:rFonts w:eastAsia="Times New Roman" w:cs="Arial"/>
          <w:color w:val="000000"/>
        </w:rPr>
        <w:t>.</w:t>
      </w:r>
      <w:bookmarkStart w:id="66" w:name="_Toc477248629"/>
      <w:bookmarkStart w:id="67" w:name="_Toc477251754"/>
    </w:p>
    <w:p w:rsidR="0011214A" w:rsidRPr="0011214A" w:rsidRDefault="0011214A" w:rsidP="00556A31">
      <w:pPr>
        <w:spacing w:before="100" w:beforeAutospacing="1" w:after="100" w:afterAutospacing="1" w:line="276" w:lineRule="auto"/>
        <w:rPr>
          <w:rFonts w:eastAsia="Times New Roman" w:cs="Arial"/>
          <w:color w:val="000000"/>
          <w:lang w:val="sr-Latn-RS"/>
        </w:rPr>
      </w:pPr>
    </w:p>
    <w:p w:rsidR="00556A31" w:rsidRPr="0011214A" w:rsidRDefault="0017379A" w:rsidP="00D93153">
      <w:pPr>
        <w:pStyle w:val="ListParagraph"/>
        <w:numPr>
          <w:ilvl w:val="0"/>
          <w:numId w:val="41"/>
        </w:numPr>
        <w:rPr>
          <w:rFonts w:ascii="Arial" w:hAnsi="Arial" w:cs="Arial"/>
          <w:b/>
          <w:i/>
        </w:rPr>
      </w:pPr>
      <w:r w:rsidRPr="0011214A">
        <w:rPr>
          <w:rFonts w:ascii="Arial" w:hAnsi="Arial" w:cs="Arial"/>
          <w:b/>
          <w:i/>
        </w:rPr>
        <w:t>Diskriminacija na osnovu</w:t>
      </w:r>
      <w:bookmarkEnd w:id="66"/>
      <w:bookmarkEnd w:id="67"/>
      <w:r w:rsidRPr="0011214A">
        <w:rPr>
          <w:rFonts w:ascii="Arial" w:hAnsi="Arial" w:cs="Arial"/>
          <w:b/>
          <w:i/>
        </w:rPr>
        <w:t xml:space="preserve"> starosnog doba</w:t>
      </w:r>
      <w:r w:rsidR="00135D51" w:rsidRPr="0011214A">
        <w:rPr>
          <w:rFonts w:ascii="Arial" w:hAnsi="Arial" w:cs="Arial"/>
          <w:b/>
          <w:i/>
        </w:rPr>
        <w:t xml:space="preserve"> </w:t>
      </w:r>
      <w:bookmarkStart w:id="68" w:name="_Toc477248630"/>
      <w:bookmarkStart w:id="69" w:name="_Toc477251755"/>
    </w:p>
    <w:p w:rsidR="00556A31" w:rsidRDefault="0017379A" w:rsidP="00556A31">
      <w:pPr>
        <w:spacing w:before="100" w:beforeAutospacing="1" w:after="100" w:afterAutospacing="1" w:line="276" w:lineRule="auto"/>
        <w:rPr>
          <w:rFonts w:cs="Arial"/>
          <w:lang w:val="sr-Latn-RS"/>
        </w:rPr>
      </w:pPr>
      <w:r w:rsidRPr="0017379A">
        <w:rPr>
          <w:rFonts w:cs="Arial"/>
        </w:rPr>
        <w:t xml:space="preserve">Starije osobe spadaju među najčešće diskriminisane grupe u Srbiji, a jedan od uzroka za to jeste i negativna slika, stereotipi i predrasude o ovoj grupi. Duboko su ukorenjeni stereotipi o neproduktivnosti starijih, stavovi da su oni isključivo primaoci pomoći i da uglavnom predstavljaju teret za okolinu. </w:t>
      </w:r>
    </w:p>
    <w:p w:rsidR="0011214A" w:rsidRDefault="0017379A" w:rsidP="0011214A">
      <w:pPr>
        <w:spacing w:before="100" w:beforeAutospacing="1" w:after="100" w:afterAutospacing="1" w:line="276" w:lineRule="auto"/>
        <w:rPr>
          <w:rFonts w:cs="Arial"/>
          <w:lang w:val="sr-Latn-RS"/>
        </w:rPr>
      </w:pPr>
      <w:r w:rsidRPr="0017379A">
        <w:rPr>
          <w:rFonts w:cs="Arial"/>
        </w:rPr>
        <w:t>Podaci iz poslednjeg Popisa stanovništva iz 2011. godine</w:t>
      </w:r>
      <w:r w:rsidR="004B3C4A">
        <w:rPr>
          <w:rStyle w:val="FootnoteReference"/>
          <w:rFonts w:cs="Arial"/>
        </w:rPr>
        <w:footnoteReference w:id="205"/>
      </w:r>
      <w:r w:rsidRPr="0017379A">
        <w:rPr>
          <w:rFonts w:cs="Arial"/>
        </w:rPr>
        <w:t xml:space="preserve">  pokazuju da je 17,25% stanovnika Srbije starije od 65 godina. Rezultati projekcija za period 2011–2041. ukazuju da će u narednih trideset godina stanovništvo Republike Srbije i dalje biti izloženo delovanju procesa demografskog starenja. Udeo mladih je nizak i s tendencijom daljeg pada, dok je udeo starijih visok i stalno raste. </w:t>
      </w:r>
    </w:p>
    <w:p w:rsidR="0017379A" w:rsidRPr="0017379A" w:rsidRDefault="0017379A" w:rsidP="0011214A">
      <w:pPr>
        <w:spacing w:before="100" w:beforeAutospacing="1" w:after="100" w:afterAutospacing="1" w:line="276" w:lineRule="auto"/>
        <w:rPr>
          <w:rFonts w:cs="Arial"/>
          <w:b/>
          <w:bCs/>
          <w:i/>
        </w:rPr>
      </w:pPr>
      <w:r w:rsidRPr="0017379A">
        <w:rPr>
          <w:rFonts w:cs="Arial"/>
        </w:rPr>
        <w:t>Indeks starenja je znatno viši u ruralnom nego u urbanom delu Srbije. Istraživanje Poverenika za zaštitu ravnopravnosti i Crvenog krsta Srbije, „Položaj starijih u ruralnim oblastima“</w:t>
      </w:r>
      <w:r w:rsidR="004B3C4A">
        <w:rPr>
          <w:rStyle w:val="FootnoteReference"/>
          <w:rFonts w:cs="Arial"/>
        </w:rPr>
        <w:footnoteReference w:id="206"/>
      </w:r>
      <w:r w:rsidRPr="0017379A">
        <w:rPr>
          <w:rFonts w:cs="Arial"/>
        </w:rPr>
        <w:t xml:space="preserve"> , o kojem je bilo više reči u tački 3.1. ovog izveštaja, pokazalo je da su stariji na selu narušenog zdravlja i da tek delimično ostvaruju pravo na zdravstvenu zaštitu. Skoro polovina starijih ljudi u ruralnim oblastima (44%) teško se kreće, a 3% je vezano za postelju ili je u kolicima. Većina starijih na selu (51%) ne učestvuje u aktivnostima u zajednici, s obzirom na to da samo 45% to može da čini bez poteškoća. Kada je reč o odnosu prema starijim osobama na selu, rezultati istraživanja su pokazali da je 12,6% ispitanika nezadovoljno odnosom u opštinskim službama, 12,1% nezadovoljno odnosom u zdravstvenim institucijama, a 10,8% u ostalim institucijama, što navodi na zaključak da je neophodno sprovoditi edukacije na temu starenja i starosti namenjene svim službenicima u institucijama i javnim službama.</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lastRenderedPageBreak/>
        <w:t>Veliki broj korisnika domova za stare smešten je u domove po odluci njihove dece i najbližih srodnika, mimo sopstvene volje. Uprave domova zaključuju ugovore o smeštaju s decom ili drugim srodnicima, čak i ukoliko starija osoba ima poslovnu sposobnost. Takvo postupanje predstavlja najgrublje kršenje ljudskih prava starijih osoba na slobodu kretanja, participaciju i autonomno odlučivanje o svom životu. Posebno je zabrinjavajuća pojava nelegalnih domova za stare, koji ne ispunjavaju uslove propisane Zakonom o socijalnoj zaštiti i Pravilnikom o licenciranju organizacija socijalne zaštite</w:t>
      </w:r>
      <w:r w:rsidR="004B3C4A">
        <w:rPr>
          <w:rStyle w:val="FootnoteReference"/>
          <w:rFonts w:eastAsia="Calibri" w:cs="Arial"/>
          <w:b w:val="0"/>
          <w:bCs w:val="0"/>
          <w:i w:val="0"/>
          <w:kern w:val="0"/>
        </w:rPr>
        <w:footnoteReference w:id="207"/>
      </w:r>
      <w:r w:rsidRPr="0017379A">
        <w:rPr>
          <w:rFonts w:eastAsia="Calibri" w:cs="Arial"/>
          <w:b w:val="0"/>
          <w:bCs w:val="0"/>
          <w:i w:val="0"/>
          <w:kern w:val="0"/>
        </w:rPr>
        <w:t xml:space="preserve">. </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Rezultati istraživanja javnog mnjenja „Odnos građana i građanki prema diskriminaciji u Srbiji“, iz 2016. godine, pokazali su da ispitanici percipiraju starije osobe i žene kao manje diskriminisane u odnosu na prethodna istraživanja Poverenika. Percepcija o zastupljenosti diskriminacije ispitana je i tako što se od građana tražilo da ocene od 1 do 5 u kojoj meri su različite grupe diskriminisane, pri čemu im je prikazana lista različitih grupa građana. Treću grupu po izloženosti diskriminaciji čine žene (3.2) i starije osobe (3.1). Zanimljiv je podatak da, iako je ocenjeno da su u značajnoj meri izložene diskriminaciji, prema ovim grupama nije prisutna velika socijalna distanca.</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Kada je reč o medijskom izveštavanju, ispitanici smatraju da mediji trenutno najviše pažnje posvećuju ravnopravnosti pripadnika LGBT populacije (27%), a da skoro uopšte ne posvećuju pažnju ravnopravnosti starijih (3%). U skladu s prethodnim nalazom, 56% građana smatra da društvo u narednom periodu mnogo pažnje treba da posveti ravnopravnosti starijih lica.</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 xml:space="preserve">Iako uzorak istraživanja nije veliki da bi omogućio analizu na nivou grupa koje su pod povećanim rizikom od diskriminacije, ono pokazuje smanjeno poverenje stanovnika seoskih područja i među starijima u institucije. Socijalna izolacija svakako doprinosi smanjenju poverenja ovih grupa i ukazuje na neophodnost usmeravanja mera na njihovo osnaživanje i uspostavljanje servisa za informisanje i pomoć građanima na području čitave Republike Srbije. Neophodno je na svim nivoima kontinuirano realizovati kampanje senzibilizacije javnosti o problemu starijih, ali i širiti pozitivnu sliku o starenju, starijim osobama i njihovom doprinosu društvu. </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Pored diskriminacije starijih, diskriminacija dece je još uvek rasprostranjena u Srbiji. Posebno ranjive kategorije dece jesu deca s invaliditetom, koja žive u institucijama, naročito deca s intelektualnim smetnjama, romska deca i deca bez roditeljskog staranja, koja su najčešće diskriminisana u oblasti obrazovanja.</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U februaru 2016. godine Ministarstvo prosvete, naučnog i tehnološkog razvoja usvojilo je Pravilnik o bližim kriterijumima za prepoznavanje oblika diskriminacije od strane zaposlenog, deteta, učenika ili trećeg lica u ustanovi obrazovanja i vaspitanja</w:t>
      </w:r>
      <w:r w:rsidR="004B3C4A">
        <w:rPr>
          <w:rStyle w:val="FootnoteReference"/>
          <w:rFonts w:eastAsia="Calibri" w:cs="Arial"/>
          <w:b w:val="0"/>
          <w:bCs w:val="0"/>
          <w:i w:val="0"/>
          <w:kern w:val="0"/>
        </w:rPr>
        <w:footnoteReference w:id="208"/>
      </w:r>
      <w:r w:rsidRPr="0017379A">
        <w:rPr>
          <w:rFonts w:eastAsia="Calibri" w:cs="Arial"/>
          <w:b w:val="0"/>
          <w:bCs w:val="0"/>
          <w:i w:val="0"/>
          <w:kern w:val="0"/>
        </w:rPr>
        <w:t xml:space="preserve"> . U narednom periodu, posle usvajanja Uputstva za primenu Pravilnika, u saradnji Poverenika za zaštitu ravnopravnosti i UNICEF-a biće izrađena još tri vodiča za prepoznavanje i reagovanje na diskriminaciju u obrazovanju i vaspitanju – za nastavni kadar, za roditelje i za učenike. </w:t>
      </w:r>
      <w:r w:rsidRPr="0017379A">
        <w:rPr>
          <w:rFonts w:eastAsia="Calibri" w:cs="Arial"/>
          <w:b w:val="0"/>
          <w:bCs w:val="0"/>
          <w:i w:val="0"/>
          <w:kern w:val="0"/>
        </w:rPr>
        <w:lastRenderedPageBreak/>
        <w:t>Planira se obuka za nastavnike, prosvetne inspektore, savetnike, direktore škola i školske uprave za primenu mera koje propiše ovaj dokument.</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Uprkos kontinuiranim naporima, ostaju problemi u ostvarivanju jednakog prava na obrazovanje i njegove dostupnosti za svu decu bez diskriminacije, odnosno bilo kakvog izdvajanja. Romska deca i dalje su žrtve predrasuda i različitih oblika diskriminacije, uključujući i segregaciju (npr. škole sa većinskim romskim učenicima, tzv. „romske“ škole i prezastupljenost romske dece u školama za obrazovanje učenika sa smetnjama u razvoju), kao jedan od najtežih oblika kršenja prava dece na obrazovanje. Poverenik za zaštitu ravnopravnosti je prepoznavajući ovaj problem pripremio publikaciju Prevencija segregacije, razvoj inkluzivnih upisnioh politika i desegregacija škola i odeljenja (međunarodna iskustva i predlozi za unapređenje prakse u Srbiji. Deca sa smetnjama u razvoju najčešće su isključena iz obrazovanja ili su upućena u specijalne škole. Mnogobrojne predrasude u vezi sa njihovim mogućnostima, kao i učestala praksa ograničavanja dece sa smetnjama u razvoju na aktivnosti koje su samo njima namenjene i intersektorski problemi utiču na povećavanje njihovog osećaja izolovanosti, marginalizaciju i lošiji položaj ove dece u društvu. Deca sa smetnjama u razvoju koja idu u redovne škole suočavaju se sa brojnim poteškoćama, od pristupačnosti škole do adekvatno obučenog nastavnog osoblja.</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 xml:space="preserve">U Strategiji razvoja obrazovanja u Srbiji do 2020. godine konstatovano je da postoje brojni problemi u sprovođenju inkluzivnog obrazovanja. Konstatovano je da se lokalne samouprave retko bave planiranjem i uključivanjem dece sa smetnjama u razvoju i sa invaliditetom u osnovne škole. Sami kapaciteti za prepoznavanje unutrašnjih prepreka i pravljenja inkluzivnog školskog razvojnog plana su slabi, i primetan je veliki otpor inkluziji. </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Još jedan od problema jesu i dalje prisutni nastavni materijali koji sadrže diskriminatorne sadržaje i sadržaje koji podržavaju stereotipe i predrasude. Na osnovu ranije date preporuke Poverenika za zaštitu ravnopravnosti i analize srednjoškolskih udžbenika koje je institucija sprovela u saradnji sa NVO Labris, Zavod za unapređivanje obrazovanja i vaspitanja je sproveo postupak i uputio mišljenje Ministarstvu prosvete, nauke i tehnološkog razvoja da osam udžbenika za srednje škole sadrži diskriminatorne sadržaje i da ne mogu biti dalje u upotrebi.</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 xml:space="preserve">Što se tiče postupanja Poverenika u toku 2016. godine broj podnetih pritužbi na osnovu starosnog doba se povećao u odnosu na broj pritužbi po istom osnovu u prethodnoj godini. Podneto je 75 pritužbi zbog diskriminacije na osnovu starosnog doba, što čini 11,8% od ukupnog broja podnetih pritužbi. Statistika svedoči da starosno doba predstavlja treći osnov po broju podnetih pritužbi u 2016. godini. </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Praksa Poverenika pokazuje da su podnosioci pritužbi u najvećem broju fizička lica (60), od čega 27 žena i 33 muškarca, dok su na drugom mestu organizacije civilnog društva (11). Analiza pritužbi pokazuje da je najviše pritužbi podneto zbog diskriminacije dece i osoba starijih od 18 a mlađih od 65 godina, zatim starijih preko 65 godina.</w:t>
      </w:r>
    </w:p>
    <w:p w:rsidR="0017379A" w:rsidRPr="0017379A" w:rsidRDefault="0017379A" w:rsidP="0017379A">
      <w:pPr>
        <w:pStyle w:val="Heading3"/>
        <w:rPr>
          <w:rFonts w:eastAsia="Calibri" w:cs="Arial"/>
          <w:b w:val="0"/>
          <w:bCs w:val="0"/>
          <w:i w:val="0"/>
          <w:kern w:val="0"/>
        </w:rPr>
      </w:pPr>
      <w:r w:rsidRPr="0017379A">
        <w:rPr>
          <w:rFonts w:eastAsia="Calibri" w:cs="Arial"/>
          <w:b w:val="0"/>
          <w:bCs w:val="0"/>
          <w:i w:val="0"/>
          <w:kern w:val="0"/>
        </w:rPr>
        <w:t xml:space="preserve">Najveći broj pritužbi podnet je u oblasti rada i zapošljavanja (23), što čini 10,1 % od ukupnog broja podnetih pritužbi u ovoj oblasti. Znatan broj pritužbi po ovom osnovu podnet je u oblasti obrazovanja (20), što predstavlja 30,8% podnetih pritužbi u ovoj oblasti, u postupaku pred organima javne vlasti (12), što predstavlja 9,2% podnetih pritužbi u ovoj oblasti. Posle ovih </w:t>
      </w:r>
      <w:r w:rsidRPr="0017379A">
        <w:rPr>
          <w:rFonts w:eastAsia="Calibri" w:cs="Arial"/>
          <w:b w:val="0"/>
          <w:bCs w:val="0"/>
          <w:i w:val="0"/>
          <w:kern w:val="0"/>
        </w:rPr>
        <w:lastRenderedPageBreak/>
        <w:t>oblasti slede oblast pružanja usluga i/ili korišćenja javnih površina i objekata (5), kao i u oblasti obrazovanja i u oblasti zdravstvene zaštite (4).</w:t>
      </w:r>
    </w:p>
    <w:p w:rsidR="0017379A" w:rsidRDefault="0017379A" w:rsidP="0017379A">
      <w:pPr>
        <w:pStyle w:val="Heading3"/>
        <w:rPr>
          <w:rFonts w:eastAsia="Calibri" w:cs="Arial"/>
          <w:b w:val="0"/>
          <w:bCs w:val="0"/>
          <w:i w:val="0"/>
          <w:kern w:val="0"/>
          <w:lang w:val="sr-Latn-RS"/>
        </w:rPr>
      </w:pPr>
      <w:r w:rsidRPr="0017379A">
        <w:rPr>
          <w:rFonts w:eastAsia="Calibri" w:cs="Arial"/>
          <w:b w:val="0"/>
          <w:bCs w:val="0"/>
          <w:i w:val="0"/>
          <w:kern w:val="0"/>
        </w:rPr>
        <w:t>Treba posebno naglasiti da je u toku 2016. godine Poverenik za zaštitu ravnopravnosti uputio preporuke mera zdravstvenim ustanovama u Republici Srbiji za otklanjanje diskriminacije na osnovu starosnog doba prilikom upućivanja na specijalizaciju. Pored toga, poverenica za zaštitu ravnopravnosti je uputila preporuke mera domovima za smeštaj odraslih i starijih lica u Republici Srbiji da svoje odluke i postupanja prilikom pružanja usluga korisnicima doma ne zasnivaju na stereotipima i predrasudama o mogućnostima i sposobnostima starijih osoba da donose odluke o svom životu, pogotovo s obzirom na njihovo starosno doba i zdravstveno stanje.</w:t>
      </w:r>
    </w:p>
    <w:p w:rsidR="00AA2C38" w:rsidRPr="00AA2C38" w:rsidRDefault="00AA2C38" w:rsidP="00AA2C38">
      <w:pPr>
        <w:rPr>
          <w:lang w:val="sr-Latn-RS"/>
        </w:rPr>
      </w:pPr>
    </w:p>
    <w:p w:rsidR="00135D51" w:rsidRPr="00135D51" w:rsidRDefault="00AA2C38" w:rsidP="00D93153">
      <w:pPr>
        <w:pStyle w:val="Heading4"/>
        <w:numPr>
          <w:ilvl w:val="0"/>
          <w:numId w:val="42"/>
        </w:numPr>
      </w:pPr>
      <w:r w:rsidRPr="0011214A">
        <w:rPr>
          <w:lang w:val="sr-Latn-RS"/>
        </w:rPr>
        <w:t>Mišljenja i preporuke</w:t>
      </w:r>
      <w:bookmarkEnd w:id="68"/>
      <w:bookmarkEnd w:id="69"/>
    </w:p>
    <w:p w:rsidR="00135D51" w:rsidRPr="00135D51" w:rsidRDefault="00AA2C38" w:rsidP="0032797E">
      <w:pPr>
        <w:shd w:val="clear" w:color="auto" w:fill="75E5FB"/>
        <w:tabs>
          <w:tab w:val="left" w:pos="450"/>
        </w:tabs>
        <w:autoSpaceDE w:val="0"/>
        <w:autoSpaceDN w:val="0"/>
        <w:adjustRightInd w:val="0"/>
        <w:spacing w:after="100" w:afterAutospacing="1"/>
        <w:jc w:val="left"/>
        <w:rPr>
          <w:rFonts w:cs="Arial"/>
          <w:i/>
        </w:rPr>
      </w:pPr>
      <w:r>
        <w:rPr>
          <w:rFonts w:cs="Arial"/>
          <w:i/>
          <w:lang w:val="sr-Latn-RS"/>
        </w:rPr>
        <w:t>Starosno doba kao kriterijum za upućivanje na specijalizaciju</w:t>
      </w:r>
    </w:p>
    <w:p w:rsidR="00AA2C38" w:rsidRPr="00AA2C38" w:rsidRDefault="00AA2C38" w:rsidP="00AA2C38">
      <w:pPr>
        <w:tabs>
          <w:tab w:val="left" w:pos="450"/>
        </w:tabs>
        <w:autoSpaceDE w:val="0"/>
        <w:autoSpaceDN w:val="0"/>
        <w:adjustRightInd w:val="0"/>
        <w:spacing w:line="276" w:lineRule="auto"/>
        <w:rPr>
          <w:rFonts w:cs="Arial"/>
        </w:rPr>
      </w:pPr>
      <w:r w:rsidRPr="00AA2C38">
        <w:rPr>
          <w:rFonts w:cs="Arial"/>
        </w:rPr>
        <w:t>Mišljenje je doneto u postupku po pritužbi podnetoj protiv jedne bolnice, a povodom konkursa za upis na specijalizaciju. U pritužbi je navedeno da je bolnica objavila interni oglas za specijalizacije i da je izbor kandidata obavljen na osnovu Pravilnika o stručnom usavršavanju zaposlenih i Pravilnika o izmenama i dopunama Pravilnika o stručnom usavršavanju zaposlenih ove bolnice.</w:t>
      </w:r>
    </w:p>
    <w:p w:rsidR="00AA2C38" w:rsidRPr="00AA2C38" w:rsidRDefault="00AA2C38" w:rsidP="00AA2C38">
      <w:pPr>
        <w:tabs>
          <w:tab w:val="left" w:pos="450"/>
        </w:tabs>
        <w:autoSpaceDE w:val="0"/>
        <w:autoSpaceDN w:val="0"/>
        <w:adjustRightInd w:val="0"/>
        <w:spacing w:line="276" w:lineRule="auto"/>
        <w:rPr>
          <w:rFonts w:cs="Arial"/>
        </w:rPr>
      </w:pPr>
      <w:r w:rsidRPr="00AA2C38">
        <w:rPr>
          <w:rFonts w:cs="Arial"/>
        </w:rPr>
        <w:t>Tokom postupka utvrđeno je da su Pravilnikom o stručnom usavršavanju zaposlenih propisani kriterijumi za upućivanje na specijalizaciju, i to: prosečna ocena, ocena iz predmeta – oblasti – grane medicine, dužina studiranja, radni staž i radna karakteristika u ustanovi. Takođe, utvrđeno je da je Pravilnikom o izmenama i dopunama Pravilnika o stručnom usavršavanju zaposlenih kriterijum „radna karakteristika u ustanovi” zamenjen kriterijumom „godine života”. Analiza propisanih kriterijuma pokazala je da su godine života kandidata jedini kriterijum koji se ne odnosi na profesionalne sposobnosti i ostvarenja kandidata, a tokom postupka je utvrđeno, s obzirom na način bodovanja, da su očigledno stavljene u nejednak položaj osobe starije od 36 godina u odnosu na mlađe kandidate i kandidatkinje. Poverenica za zaštitu ravnopravnosti smatra da postavljanje kriterijuma koji se odnose na godine života kandidata nije opravdano, jer godine života nisu ni stvarni ni odlučujući uslov za upućivanje na specijalizaciju, sagledavajući kako prirodu i osobenosti pod kojima se stiče specijalistički staž, tako i uslove pod kojima se on obavlja.</w:t>
      </w:r>
    </w:p>
    <w:p w:rsidR="00135D51" w:rsidRDefault="00AA2C38" w:rsidP="00AA2C38">
      <w:pPr>
        <w:tabs>
          <w:tab w:val="left" w:pos="450"/>
        </w:tabs>
        <w:autoSpaceDE w:val="0"/>
        <w:autoSpaceDN w:val="0"/>
        <w:adjustRightInd w:val="0"/>
        <w:spacing w:line="276" w:lineRule="auto"/>
        <w:rPr>
          <w:rFonts w:cs="Arial"/>
          <w:lang w:val="sr-Latn-RS"/>
        </w:rPr>
      </w:pPr>
      <w:r w:rsidRPr="00AA2C38">
        <w:rPr>
          <w:rFonts w:cs="Arial"/>
        </w:rPr>
        <w:t>Poverenica za zaštitu ravnopravnosti dala je mišljenje da su primenom kriterijuma koji se odnosi na godine života na konkursu koji je ova bolnica raspisala, podnositeljka pritužbe i svi drugi kandidati i kandidatkinje stariji od 36 godina diskriminisani na osnovu ličnog svojstva – starosnog doba. Zbog toga je bolnici preporučeno da iz Pravilnika o izmenama i dopunama Pravilnika o stručnom usavršavanju zaposlenih ukloni kriterijum za upućivanje na specijalizaciju koji se odnosi na godine života kandidata i kandidatkinja, da mišljenje i preporuku poverenice za zaštitu ravnopravnosti objavi na oglasnoj tabli ili drugom vidnom mestu u prostorijama ove bolnice, kao i da ubuduće vodi računa da prilikom određivanja kriterijuma za usavršavanje ne krši odredbe Zakona o zabrani diskriminacije. Postupanje po ovoj pritužbi je u toku.</w:t>
      </w:r>
    </w:p>
    <w:p w:rsidR="00AA2C38" w:rsidRPr="0011214A" w:rsidRDefault="00AA2C38" w:rsidP="00AA2C38">
      <w:pPr>
        <w:tabs>
          <w:tab w:val="left" w:pos="450"/>
        </w:tabs>
        <w:autoSpaceDE w:val="0"/>
        <w:autoSpaceDN w:val="0"/>
        <w:adjustRightInd w:val="0"/>
        <w:spacing w:line="276" w:lineRule="auto"/>
        <w:rPr>
          <w:rFonts w:eastAsia="Times New Roman" w:cs="Arial"/>
          <w:lang w:val="sr-Latn-RS"/>
        </w:rPr>
      </w:pPr>
    </w:p>
    <w:p w:rsidR="00135D51" w:rsidRPr="0011214A" w:rsidRDefault="006024E9" w:rsidP="0011214A">
      <w:pPr>
        <w:pStyle w:val="Heading4"/>
      </w:pPr>
      <w:bookmarkStart w:id="70" w:name="_Toc477248631"/>
      <w:bookmarkStart w:id="71" w:name="_Toc477251756"/>
      <w:r w:rsidRPr="0011214A">
        <w:rPr>
          <w:lang w:val="sr-Latn-RS"/>
        </w:rPr>
        <w:t>Preporuke mera za ostvarivanje ravnopravnosti</w:t>
      </w:r>
      <w:bookmarkEnd w:id="70"/>
      <w:bookmarkEnd w:id="71"/>
    </w:p>
    <w:p w:rsidR="00135D51" w:rsidRPr="00135D51" w:rsidRDefault="006024E9" w:rsidP="00135D51">
      <w:pPr>
        <w:shd w:val="clear" w:color="auto" w:fill="75E5FB"/>
        <w:tabs>
          <w:tab w:val="left" w:pos="450"/>
        </w:tabs>
        <w:autoSpaceDE w:val="0"/>
        <w:autoSpaceDN w:val="0"/>
        <w:adjustRightInd w:val="0"/>
        <w:spacing w:after="100" w:afterAutospacing="1" w:line="276" w:lineRule="auto"/>
        <w:jc w:val="left"/>
        <w:rPr>
          <w:rFonts w:cs="Arial"/>
          <w:i/>
        </w:rPr>
      </w:pPr>
      <w:r>
        <w:rPr>
          <w:rFonts w:cs="Arial"/>
          <w:i/>
          <w:lang w:val="sr-Latn-RS"/>
        </w:rPr>
        <w:t>Preporuka mera za ostvarivanje ravnopravnosti domovima za smeštaj odraslih i starijih lica</w:t>
      </w:r>
    </w:p>
    <w:p w:rsidR="006024E9" w:rsidRPr="006024E9" w:rsidRDefault="006024E9" w:rsidP="006024E9">
      <w:pPr>
        <w:tabs>
          <w:tab w:val="left" w:pos="450"/>
        </w:tabs>
        <w:autoSpaceDE w:val="0"/>
        <w:autoSpaceDN w:val="0"/>
        <w:adjustRightInd w:val="0"/>
        <w:spacing w:after="100" w:afterAutospacing="1" w:line="276" w:lineRule="auto"/>
        <w:rPr>
          <w:rFonts w:cs="Arial"/>
        </w:rPr>
      </w:pPr>
      <w:r w:rsidRPr="006024E9">
        <w:rPr>
          <w:rFonts w:cs="Arial"/>
        </w:rPr>
        <w:t>U toku postupka po pritužbama građana, poverenica za zaštitu ravnopravnosti došla je do saznanja da su pojedini korisnici i korisnice domova za smeštaj starih lica koji su osnovani sredstvima u privatnoj svojini smešteni u dom protiv svoje volje i nisu potpisnici ugovora o korišćenju usluga sa upravom doma, iako imaju punu poslovnu sposobnost, već su njihovi srodnici (uglavnom deca) zaključili ugovor sa upravom doma. Primera radi, postupajući po pritužbi organizacije civilnog društva, Poverenica za zaštitu ravnopravnosti zatražila je izjašnjenje jednog doma za smeštaj starih lica i iz izjašnjenja je utvrđeno da se korisnica nalazi u domu protiv svoje volje, na osnovu ugovora koji su zaključili sin korisnice i uprava doma. Pored toga, u izjašnjenju je navedeno i da je „. korisnica izrazila želju da napusti dom [...] Međutim, ista je nesposobna za samostalan život u prilog čega govore i njeni lekarski nalazi”</w:t>
      </w:r>
    </w:p>
    <w:p w:rsidR="006024E9" w:rsidRPr="006024E9" w:rsidRDefault="006024E9" w:rsidP="006024E9">
      <w:pPr>
        <w:tabs>
          <w:tab w:val="left" w:pos="450"/>
        </w:tabs>
        <w:autoSpaceDE w:val="0"/>
        <w:autoSpaceDN w:val="0"/>
        <w:adjustRightInd w:val="0"/>
        <w:spacing w:after="100" w:afterAutospacing="1" w:line="276" w:lineRule="auto"/>
        <w:rPr>
          <w:rFonts w:cs="Arial"/>
        </w:rPr>
      </w:pPr>
      <w:r w:rsidRPr="006024E9">
        <w:rPr>
          <w:rFonts w:cs="Arial"/>
        </w:rPr>
        <w:t xml:space="preserve">Poverenica za zaštitu ravnopravnosti uputila je domovima za smeštaj odraslih i starijih lica u Republici Srbiji preporuku da svoje odluke i postupanja prilikom pružanja usluga korisnicima doma ne zasnivaju na stereotipima i predrasudama o mogućnostima i sposobnostima starijih osoba da donose odluke o svom životu, pogotovo s obzirom na njihovo starosno doba i zdravstveno stanje. Preporukom je ukazano da ponašanje koje je uslovljeno stereotipom da je starija osoba nemoćna i nije u mogućnosti da se samostalno stara o sebi i samostalno živi dovodi do kršenja osnovnih ljudskih prava starijih osoba na slobodu kretanja, participaciju i autonomno odlučivanje o svom životu. Starije osobe su izložene diskriminatornim stavovima da su nemoćne, nesposobne da doprinose društvu i da donose racionalne odluke. Još većem riziku od diskriminacije izložene su starije osobe koje imaju narušeno fizičko i mentalno zdravlje. U ekstremnim situacijama, to dovodi do zadržavanja starije osobe u ustanovama bez njihove saglasnosti i volje, bez pružanja mogućnosti starijoj osobi da donosi odluke o svom životu. Domovi za smeštaj starijih osoba su veoma važni pružaoci usluga u sistemu socijalne zaštite u pogledu pružanja podrške i pomoći pojedincu i porodici, a posebno uzimajući aktuelnu demografsku strukturu u našem društvu. </w:t>
      </w:r>
    </w:p>
    <w:p w:rsidR="006024E9" w:rsidRDefault="006024E9" w:rsidP="006024E9">
      <w:pPr>
        <w:tabs>
          <w:tab w:val="left" w:pos="450"/>
        </w:tabs>
        <w:autoSpaceDE w:val="0"/>
        <w:autoSpaceDN w:val="0"/>
        <w:adjustRightInd w:val="0"/>
        <w:spacing w:after="100" w:afterAutospacing="1" w:line="276" w:lineRule="auto"/>
        <w:rPr>
          <w:rFonts w:cs="Arial"/>
          <w:lang w:val="sr-Latn-RS"/>
        </w:rPr>
      </w:pPr>
      <w:r w:rsidRPr="006024E9">
        <w:rPr>
          <w:rFonts w:cs="Arial"/>
        </w:rPr>
        <w:t>Poverenica za zaštitu ravnopravnosti ukazala je na obavezu punog poštovanja antidiskriminacionih međunarodnih i domaćih propisa svih pružalaca usluga u sistemu socijalne zaštite, kako u postupku smeštaja, tako i tokom boravka korisnika na smeštaju u ustanovama socijalne zaštite. Pružaoci usluga su u obavezi da korisnicima obezbede uslugu smeštaja bez diskriminacije u skladu sa načelima propisanim Zakonom o socijalnoj zaštiti.</w:t>
      </w:r>
    </w:p>
    <w:p w:rsidR="00135D51" w:rsidRPr="00135D51" w:rsidRDefault="003648E0" w:rsidP="00135D51">
      <w:pPr>
        <w:shd w:val="clear" w:color="auto" w:fill="75E5FB"/>
        <w:spacing w:before="240" w:after="100" w:afterAutospacing="1" w:line="276" w:lineRule="auto"/>
        <w:jc w:val="left"/>
        <w:rPr>
          <w:rFonts w:cs="Arial"/>
        </w:rPr>
      </w:pPr>
      <w:r>
        <w:rPr>
          <w:rFonts w:cs="Arial"/>
          <w:i/>
          <w:lang w:val="sr-Latn-RS"/>
        </w:rPr>
        <w:t>Preporuka mera zdravstvenim ustanovama za otklanjanje diskriminacije na osnovu starosnog doba prilikom upućivanja na specijalizacije</w:t>
      </w:r>
    </w:p>
    <w:p w:rsidR="003648E0" w:rsidRPr="003648E0" w:rsidRDefault="003648E0" w:rsidP="003648E0">
      <w:pPr>
        <w:spacing w:line="276" w:lineRule="auto"/>
        <w:rPr>
          <w:rFonts w:cs="Arial"/>
        </w:rPr>
      </w:pPr>
      <w:r w:rsidRPr="003648E0">
        <w:rPr>
          <w:rFonts w:cs="Arial"/>
        </w:rPr>
        <w:t xml:space="preserve">Na osnovu pritužbi građana pred Poverenikom za zaštitu ravnopravnosti vođeni su postupci na osnovu kojih je utvrđeno da pojedine zdravstvene ustanove u Republici Srbiji u svojim pravilnicima o stručnom usavršavanju kao kriterijume za odabir kandidata propisuju, između ostalog, godine života kandidata i kandidatkinja i to tako da se broj bodova smanjuje proporcionalno godinama života kandidata. Na primer, u toku postupka utvrđeno je da je </w:t>
      </w:r>
      <w:r w:rsidRPr="003648E0">
        <w:rPr>
          <w:rFonts w:cs="Arial"/>
        </w:rPr>
        <w:lastRenderedPageBreak/>
        <w:t xml:space="preserve">Pravilnikom o izmenama i dopunama Pravilnika o stručnom usavršavanju zaposlenih jedne opšte bolnice propisano da kandidati do 30 godina života dobijaju 15 bodova, kandidati od 30 do 33 godine života 10 bodova, kandidati od 33 do 36 godina života pet bodova i kandidati koji imaju preko 36 godina života dobijaju jedan bod. </w:t>
      </w:r>
    </w:p>
    <w:p w:rsidR="00135D51" w:rsidRDefault="003648E0" w:rsidP="003648E0">
      <w:pPr>
        <w:spacing w:line="276" w:lineRule="auto"/>
        <w:rPr>
          <w:rFonts w:cs="Arial"/>
          <w:lang w:val="sr-Latn-RS"/>
        </w:rPr>
      </w:pPr>
      <w:r w:rsidRPr="003648E0">
        <w:rPr>
          <w:rFonts w:cs="Arial"/>
        </w:rPr>
        <w:t>Zbog toga je poverenica za zaštitu ravnopravnosti u decembru 2016. godine zdravstvenim ustanovama u Republici Srbiji preporučila da u svojim pravilnicima o stručnom usavršavanju ne propisuju kriterijum za upućivanje na specijalizaciju koji se odnosi na godine života kandidata i kandidatkinje, kao i da taj kriterijum uklone ukoliko je već propisan. U preporuci je ukazano da za sticanje specijalističkog staža iz medicine ili stomatologije, kao i za druge vidove stručnog usavršavanja, nije od odlučujućeg značaja starosno doba kandidata, jer specijalistički staž jednako stručno i adekvatno mogu da započnu i završe osobe bilo kog starosnog doba, ukoliko ispunjavaju ostale uslove koji se odnose na obrazovanje i radno iskustvo. Zdravstvene ustanove imaju punu slobodu da samostalno, u skladu s važećim propisima i na osnovu objektivnih kriterijuma, odlučuju o izboru lica koja će uputiti na specijalizaciju, procenjujući njihova stručna znanja, kompetencije i sposobnosti. Ono što zdravstvene ustanove ne smeju da čine jeste da postavljaju uslove za upućivanje na specijalizaciju koji se tiču ličnih svojstava kandidata i kandidatkinja, a koji nisu stvarni i odlučujući uslov za obavljanje posla, s obzirom na prirodu i osobenost posla i uslove u kojima se on obavlja. Takvo ponašanje je protivzakonito i predstavlja povredu imperativnih propisa o zabrani diskriminacije, koji su obavezujući za sve pravne subjekte.</w:t>
      </w:r>
    </w:p>
    <w:p w:rsidR="003648E0" w:rsidRPr="003648E0" w:rsidRDefault="003648E0" w:rsidP="003648E0">
      <w:pPr>
        <w:spacing w:line="276" w:lineRule="auto"/>
        <w:rPr>
          <w:rFonts w:cs="Arial"/>
          <w:lang w:val="sr-Latn-RS"/>
        </w:rPr>
      </w:pPr>
    </w:p>
    <w:p w:rsidR="00135D51" w:rsidRPr="0011214A" w:rsidRDefault="00403256" w:rsidP="0011214A">
      <w:pPr>
        <w:pStyle w:val="Heading4"/>
      </w:pPr>
      <w:bookmarkStart w:id="72" w:name="_Toc477248632"/>
      <w:bookmarkStart w:id="73" w:name="_Toc477251757"/>
      <w:r w:rsidRPr="0011214A">
        <w:t>Saopštenja</w:t>
      </w:r>
      <w:bookmarkEnd w:id="72"/>
      <w:bookmarkEnd w:id="73"/>
    </w:p>
    <w:p w:rsidR="00135D51" w:rsidRPr="00135D51" w:rsidRDefault="00403256" w:rsidP="00135D51">
      <w:pPr>
        <w:pStyle w:val="NormalWeb"/>
        <w:shd w:val="clear" w:color="auto" w:fill="75E5FB"/>
        <w:spacing w:after="0" w:afterAutospacing="0" w:line="360" w:lineRule="auto"/>
        <w:rPr>
          <w:rFonts w:ascii="Arial" w:hAnsi="Arial" w:cs="Arial"/>
          <w:i/>
          <w:sz w:val="22"/>
          <w:szCs w:val="22"/>
        </w:rPr>
      </w:pPr>
      <w:r>
        <w:rPr>
          <w:rFonts w:ascii="Arial" w:hAnsi="Arial" w:cs="Arial"/>
          <w:i/>
          <w:sz w:val="22"/>
          <w:szCs w:val="22"/>
          <w:lang w:val="sr-Latn-RS"/>
        </w:rPr>
        <w:t xml:space="preserve">Saopštenje povodom Međunarodnog dana starijih osoba, </w:t>
      </w:r>
      <w:r w:rsidR="00135D51" w:rsidRPr="00135D51">
        <w:rPr>
          <w:rFonts w:ascii="Arial" w:hAnsi="Arial" w:cs="Arial"/>
          <w:i/>
          <w:sz w:val="22"/>
          <w:szCs w:val="22"/>
        </w:rPr>
        <w:t xml:space="preserve">1. </w:t>
      </w:r>
      <w:r>
        <w:rPr>
          <w:rFonts w:ascii="Arial" w:hAnsi="Arial" w:cs="Arial"/>
          <w:i/>
          <w:sz w:val="22"/>
          <w:szCs w:val="22"/>
          <w:lang w:val="sr-Latn-RS"/>
        </w:rPr>
        <w:t>oktobar</w:t>
      </w:r>
      <w:r w:rsidR="00135D51" w:rsidRPr="00135D51">
        <w:rPr>
          <w:rFonts w:ascii="Arial" w:hAnsi="Arial" w:cs="Arial"/>
          <w:i/>
          <w:sz w:val="22"/>
          <w:szCs w:val="22"/>
        </w:rPr>
        <w:t xml:space="preserve"> 2016.</w:t>
      </w:r>
    </w:p>
    <w:p w:rsidR="00403256" w:rsidRDefault="00403256" w:rsidP="00403256">
      <w:pPr>
        <w:shd w:val="clear" w:color="auto" w:fill="FFFFFF"/>
        <w:spacing w:before="0" w:after="0" w:line="276" w:lineRule="auto"/>
        <w:rPr>
          <w:rFonts w:eastAsia="Times New Roman" w:cs="Arial"/>
          <w:lang w:val="sr-Latn-RS"/>
        </w:rPr>
      </w:pPr>
    </w:p>
    <w:p w:rsidR="00403256" w:rsidRPr="00403256" w:rsidRDefault="00403256" w:rsidP="00403256">
      <w:pPr>
        <w:shd w:val="clear" w:color="auto" w:fill="FFFFFF"/>
        <w:spacing w:before="0" w:after="360" w:line="276" w:lineRule="auto"/>
        <w:rPr>
          <w:rFonts w:eastAsia="Times New Roman" w:cs="Arial"/>
        </w:rPr>
      </w:pPr>
      <w:r w:rsidRPr="00403256">
        <w:rPr>
          <w:rFonts w:eastAsia="Times New Roman" w:cs="Arial"/>
        </w:rPr>
        <w:t>Poverenica za zaštitu ravnopravnosti čestitala je svim našim starijim građanima i građankama 1. oktobar – Međunarodni dan starijih osoba.</w:t>
      </w:r>
    </w:p>
    <w:p w:rsidR="00403256" w:rsidRPr="00403256" w:rsidRDefault="00403256" w:rsidP="00403256">
      <w:pPr>
        <w:shd w:val="clear" w:color="auto" w:fill="FFFFFF"/>
        <w:spacing w:before="0" w:after="360" w:line="276" w:lineRule="auto"/>
        <w:rPr>
          <w:rFonts w:eastAsia="Times New Roman" w:cs="Arial"/>
        </w:rPr>
      </w:pPr>
      <w:r w:rsidRPr="00403256">
        <w:rPr>
          <w:rFonts w:eastAsia="Times New Roman" w:cs="Arial"/>
        </w:rPr>
        <w:t>Poverenica je podsetila da se skoro 10 odsto pritužbi koje su prošle godine stigle Poverniku za zaštitu ravnopravnosti odnose na diskriminaciju na osnovu godina starosti, i to najviše u oblasti rada i zapošljavanja, u postupcima pred organima javne vlasti, zatim u oblasti obrazovanja i stručnog usavršavanja, kao i pružanja zdravstvenih usluga.</w:t>
      </w:r>
    </w:p>
    <w:p w:rsidR="00403256" w:rsidRPr="00403256" w:rsidRDefault="00403256" w:rsidP="00403256">
      <w:pPr>
        <w:shd w:val="clear" w:color="auto" w:fill="FFFFFF"/>
        <w:spacing w:before="0" w:after="360" w:line="276" w:lineRule="auto"/>
        <w:rPr>
          <w:rFonts w:eastAsia="Times New Roman" w:cs="Arial"/>
        </w:rPr>
      </w:pPr>
      <w:r w:rsidRPr="00403256">
        <w:rPr>
          <w:rFonts w:eastAsia="Times New Roman" w:cs="Arial"/>
        </w:rPr>
        <w:t>Statistika, naravno, ne odražava realno stanje stvari, jer je diskriminacija starijih još uvek tabu tema u našem društvu, te je ova društvena pojava najčešće posledica neznanja ili propusta u vaspitanju.</w:t>
      </w:r>
    </w:p>
    <w:p w:rsidR="00403256" w:rsidRDefault="00403256" w:rsidP="00403256">
      <w:pPr>
        <w:shd w:val="clear" w:color="auto" w:fill="FFFFFF"/>
        <w:spacing w:before="0" w:after="360" w:line="276" w:lineRule="auto"/>
        <w:rPr>
          <w:rFonts w:eastAsia="Times New Roman" w:cs="Arial"/>
          <w:lang w:val="sr-Latn-RS"/>
        </w:rPr>
      </w:pPr>
      <w:r w:rsidRPr="00403256">
        <w:rPr>
          <w:rFonts w:eastAsia="Times New Roman" w:cs="Arial"/>
        </w:rPr>
        <w:t>Skoro 1.300.000 ljudi u Srbiji starije je od 65 godina. U saopštenju je navedeno da nas ova činjenica čini dodatno odgovornim da stvaramo tolerantno društvo, koje će starijima obezbediti dostojanstven život, kao i da efikasna borba protiv diskriminacije i nasilja, kao i međugeneracijska solidarnost, nisu samo obaveza nego moralni imperativ u svakom odgovornom društvu.</w:t>
      </w:r>
    </w:p>
    <w:p w:rsidR="0011214A" w:rsidRPr="0011214A" w:rsidRDefault="0011214A" w:rsidP="00403256">
      <w:pPr>
        <w:shd w:val="clear" w:color="auto" w:fill="FFFFFF"/>
        <w:spacing w:before="0" w:after="360" w:line="276" w:lineRule="auto"/>
        <w:rPr>
          <w:rFonts w:eastAsia="Times New Roman" w:cs="Arial"/>
          <w:lang w:val="sr-Latn-RS"/>
        </w:rPr>
      </w:pPr>
    </w:p>
    <w:p w:rsidR="00135D51" w:rsidRPr="00135D51" w:rsidRDefault="004B415C" w:rsidP="0032797E">
      <w:pPr>
        <w:shd w:val="clear" w:color="auto" w:fill="44DCFA"/>
        <w:spacing w:before="240" w:after="100" w:afterAutospacing="1" w:line="276" w:lineRule="auto"/>
        <w:rPr>
          <w:rFonts w:cs="Arial"/>
        </w:rPr>
      </w:pPr>
      <w:r>
        <w:rPr>
          <w:rFonts w:cs="Arial"/>
          <w:i/>
          <w:lang w:val="sr-Latn-RS"/>
        </w:rPr>
        <w:lastRenderedPageBreak/>
        <w:t xml:space="preserve">Saopštenje povodom Međunarodnog dana borbe protiv nasilja nad starijima, </w:t>
      </w:r>
      <w:r>
        <w:rPr>
          <w:rFonts w:cs="Arial"/>
          <w:i/>
        </w:rPr>
        <w:t xml:space="preserve">14. </w:t>
      </w:r>
      <w:r>
        <w:rPr>
          <w:rFonts w:cs="Arial"/>
          <w:i/>
          <w:lang w:val="sr-Latn-RS"/>
        </w:rPr>
        <w:t>jun</w:t>
      </w:r>
      <w:r w:rsidR="00135D51" w:rsidRPr="00135D51">
        <w:rPr>
          <w:rFonts w:cs="Arial"/>
          <w:i/>
        </w:rPr>
        <w:t xml:space="preserve"> 2016.</w:t>
      </w:r>
    </w:p>
    <w:p w:rsidR="00135D51" w:rsidRDefault="004B415C" w:rsidP="00135D51">
      <w:pPr>
        <w:spacing w:line="276" w:lineRule="auto"/>
        <w:ind w:firstLine="567"/>
        <w:rPr>
          <w:rFonts w:eastAsia="Times New Roman" w:cs="Arial"/>
          <w:lang w:val="sr-Latn-RS"/>
        </w:rPr>
      </w:pPr>
      <w:r w:rsidRPr="004B415C">
        <w:rPr>
          <w:rFonts w:eastAsia="Times New Roman" w:cs="Arial"/>
        </w:rPr>
        <w:t>U našem društvu postoje ukorenjeni stavovi o neproduktivnosti starijih, da su oni pasivni primaoci pomoći i da uglavnom predstavljaju teret za okolinu. Zbog ovakvih stavova, stariji spadaju u jednu od najčešće diskriminisanih grupa građana. Borba protiv diskriminacije i zlostavljanja starijih, koji su često u uzročno-posledičnoj vezi, podrazumeva i širenje pozitivne slike o starenju, odnosu prema starijim osobama, njihovom ogromnom doprinosu društvu i ulozi koju su imali, a koju i danas imaju, istakla je poverenica u ovom saopštenju povodom Međunarodnog dana borbe protiv nasilja nad starijima. Prema istraživanju koje je sproveo Poverenik za zaštitu ravnopravnosti u saradnji sa Crvenim krstom Srbije, oko 20% starijih doživelo je neki oblik zlostavljanja ili zanemarivanja, koje ne mora biti isključivo fizičko, seksualno ili psihološko, nego i finansijsko, a ono je nažalost u našoj zemlji veoma rasprostranjeno. Da bi se slučajevi nasilja nad starijima brže i lakše rešavali, pored bolje koordinacije nadležnih službi, žrtvama nasilja bi trebalo obezbediti i besplatnu pravnu i socijalnu pomoć. Neophodno je takođe izmeniti i dopuniti zakone koji regulišu pravnu zaštitu od nasilja, pre svega Porodični zakon i Krivični zakonik, i definisati posebno krivično delo zanemarivanja i zlostavljanja starijih, zaključila je poverenica.</w:t>
      </w:r>
    </w:p>
    <w:p w:rsidR="004B415C" w:rsidRDefault="004B415C" w:rsidP="00135D51">
      <w:pPr>
        <w:spacing w:line="276" w:lineRule="auto"/>
        <w:ind w:firstLine="567"/>
        <w:rPr>
          <w:rFonts w:cs="Arial"/>
          <w:lang w:val="sr-Latn-RS"/>
        </w:rPr>
      </w:pPr>
    </w:p>
    <w:p w:rsidR="0011214A" w:rsidRPr="004B415C" w:rsidRDefault="0011214A" w:rsidP="00135D51">
      <w:pPr>
        <w:spacing w:line="276" w:lineRule="auto"/>
        <w:ind w:firstLine="567"/>
        <w:rPr>
          <w:rFonts w:cs="Arial"/>
          <w:lang w:val="sr-Latn-RS"/>
        </w:rPr>
      </w:pPr>
    </w:p>
    <w:p w:rsidR="00135D51" w:rsidRPr="00135D51" w:rsidRDefault="004B415C" w:rsidP="00D93153">
      <w:pPr>
        <w:pStyle w:val="ListParagraph"/>
        <w:numPr>
          <w:ilvl w:val="2"/>
          <w:numId w:val="13"/>
        </w:numPr>
        <w:tabs>
          <w:tab w:val="center" w:pos="851"/>
        </w:tabs>
        <w:spacing w:after="100" w:afterAutospacing="1" w:line="276" w:lineRule="auto"/>
        <w:ind w:left="567" w:hanging="425"/>
        <w:outlineLvl w:val="0"/>
        <w:rPr>
          <w:rFonts w:ascii="Arial" w:hAnsi="Arial" w:cs="Arial"/>
          <w:b/>
        </w:rPr>
      </w:pPr>
      <w:bookmarkStart w:id="74" w:name="_Toc477248633"/>
      <w:bookmarkStart w:id="75" w:name="_Toc477251758"/>
      <w:r>
        <w:rPr>
          <w:rStyle w:val="Heading3Char"/>
          <w:rFonts w:eastAsia="Calibri"/>
          <w:lang w:val="sr-Latn-RS"/>
        </w:rPr>
        <w:t>Diskriminacija na osnovu nacionalne pripadnosti</w:t>
      </w:r>
      <w:bookmarkEnd w:id="74"/>
      <w:bookmarkEnd w:id="75"/>
      <w:r w:rsidR="00135D51" w:rsidRPr="00135D51">
        <w:rPr>
          <w:rStyle w:val="Heading3Char"/>
          <w:rFonts w:eastAsia="Calibri"/>
        </w:rPr>
        <w:t xml:space="preserve"> </w:t>
      </w:r>
    </w:p>
    <w:p w:rsidR="00757251" w:rsidRPr="00757251" w:rsidRDefault="00757251" w:rsidP="00757251">
      <w:pPr>
        <w:pStyle w:val="NoSpacing"/>
        <w:rPr>
          <w:rFonts w:ascii="Arial" w:hAnsi="Arial" w:cs="Arial"/>
          <w:lang w:val="sr-Cyrl-CS"/>
        </w:rPr>
      </w:pPr>
      <w:r w:rsidRPr="00757251">
        <w:rPr>
          <w:rFonts w:ascii="Arial" w:hAnsi="Arial" w:cs="Arial"/>
          <w:lang w:val="sr-Cyrl-CS"/>
        </w:rPr>
        <w:t xml:space="preserve">U Republici Srbiji postoji dobar zakonodavni i institucionalni okvir za zaštitu prava nacionalnih manjina. Ipak, na osnovu istraživanja međunarodnih i domaćih organizacija, ali i na osnovu saznanja koje Poverenik ima iz postupaka po pritužbama, u određenim oblastima društvenog života uočava se izvesna etnička distanca prema pripadnicima nacionalnih manjina. </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Upitani za prvu slobodnu asocijaciju o najdiskriminisanijoj grupi u Srbiji, učesnici istraživanja „Odnos građana i građanki prema diskriminaciji u Srbiji“</w:t>
      </w:r>
      <w:r w:rsidR="00956AF8">
        <w:rPr>
          <w:rStyle w:val="FootnoteReference"/>
          <w:rFonts w:ascii="Arial" w:hAnsi="Arial" w:cs="Arial"/>
          <w:lang w:val="sr-Cyrl-CS"/>
        </w:rPr>
        <w:footnoteReference w:id="209"/>
      </w:r>
      <w:r w:rsidRPr="00757251">
        <w:rPr>
          <w:rFonts w:ascii="Arial" w:hAnsi="Arial" w:cs="Arial"/>
          <w:lang w:val="sr-Cyrl-CS"/>
        </w:rPr>
        <w:t xml:space="preserve"> , naveli su pripadnike romske nacionalne manjine (23%). Ovi podaci jasno oslikavaju položaj Roma u društvu, a odgovaraju i broju pritužbi koje su, zbog diskriminacije po ovom osnovu, podnete Povereniku. U ukupnom broju pritužbi zbog diskriminacije na osnovu nacionalne pripadnosti i etničkog porekla, više od 40% se odnosi na diskriminaciju Roma.</w:t>
      </w:r>
    </w:p>
    <w:p w:rsidR="00757251" w:rsidRPr="00757251" w:rsidRDefault="00757251" w:rsidP="00757251">
      <w:pPr>
        <w:pStyle w:val="NoSpacing"/>
        <w:rPr>
          <w:rFonts w:ascii="Arial" w:hAnsi="Arial" w:cs="Arial"/>
          <w:lang w:val="sr-Cyrl-CS"/>
        </w:rPr>
      </w:pPr>
      <w:r w:rsidRPr="00757251">
        <w:rPr>
          <w:rFonts w:ascii="Arial" w:hAnsi="Arial" w:cs="Arial"/>
          <w:lang w:val="sr-Cyrl-CS"/>
        </w:rPr>
        <w:t xml:space="preserve">Etnička distanca je i dalje najizraženija prema građanima albanske nacionalnosti. Tako, prema podacima iz istraživanja Poverenika koje je sprovedeno tokom 2016. godine, 45% ispitanika ne želi da u porodici ima osobu albanske etničke pripadnosti. Prema istraživanju koje je sprovedeno 2013. godine, takav stav imao je veći broj ispitanika, odnosno njih 57%, što ukazuje na pomak ka smanjivanju etničke distance. Etnička i socijalna distanca prema Albancima najviše su izražene u južnoj i istočnoj Srbiji, a najmanje u Vojvodini. Još je intenzivnija povezanost veličine grada i socijalne distance, pri čemu stanovnici manjih gradova (5.000–25.000 stanovnika) imaju značajno izraženiju socijalnu distancu prema ovoj zajednici nego stanovnici ostalih gradova. Kada je u pitanju visok stepen društvene interakcije kao što je brak, osim prema Albancima, velika je distanca i prema Romima (33%), Bošnjacima/muslimanima (26%) i Hrvatima (23%). Rezultati istraživanja pokazuju da 26% ispitanika ne bi želelo Albance za komšije, 16% ne bi želelo Rome, 10% Hrvate i 9% ne želi da im komšije budu Bošnjaci/muslimani. Čak 23% ispitanika ne želi da im kolege na poslu </w:t>
      </w:r>
      <w:r w:rsidRPr="00757251">
        <w:rPr>
          <w:rFonts w:ascii="Arial" w:hAnsi="Arial" w:cs="Arial"/>
          <w:lang w:val="sr-Cyrl-CS"/>
        </w:rPr>
        <w:lastRenderedPageBreak/>
        <w:t xml:space="preserve">budu Albanci. Taj procenat ispitanika je nešto niži kada su u pitanju Romi (9%), Hrvati (9%) i Bošnjaci/muslimani (7%). </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Takođe, pripadnici nacionalnih manjina neretko imaju osećaj da su diskriminisani u mnogim društvenim oblastima, pri čemu je položaj Roma najteži. U pomenutom istraživanju, od ispitanika je zahtevano da ocene od 1 do 5 u kojoj meri su određene društvene grupe diskriminisane. Prema percepciji ispitanika, upravo Romi dolaze na prvo mesto (3,6) kao grupa koja je najviše diskriminisana. Na četvrtom mestu se nalaze Albanci (2,7) a na petom mestu Hrvati (2,4) i Bošnjaci/muslimani (2,4). Kao najmanje diskriminisane građani vide strance (2,1) i Mađare (2,1).</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Izveštaji Evropske unije, međunarodnih organizacija i ugovornih tela, ukazuju na potrebu za daljim delovanjem na polju zaštite od diskriminacije nacionalnih manjina, uprkos pomacima koji postoje u ovoj oblasti. Iako Krivični zakonik prepoznaje kao posebno otežavajuću okolnost izvršenje krivičnih dela iz mržnje zbog pripadnosti rasi, veroispovesti, etničkom poreklu, polu, seksualnoj orijentaciji i rodnom identitetu, praksa ne beleži značajniju primenu ove zakonske odredbe. U Izveštaju Evropske komisije o napretku Srbije u procesu evropskih integracija za 2016. godinu</w:t>
      </w:r>
      <w:r w:rsidR="00956AF8">
        <w:rPr>
          <w:rStyle w:val="FootnoteReference"/>
          <w:rFonts w:ascii="Arial" w:hAnsi="Arial" w:cs="Arial"/>
          <w:lang w:val="sr-Cyrl-CS"/>
        </w:rPr>
        <w:footnoteReference w:id="210"/>
      </w:r>
      <w:r w:rsidRPr="00757251">
        <w:rPr>
          <w:rFonts w:ascii="Arial" w:hAnsi="Arial" w:cs="Arial"/>
          <w:lang w:val="sr-Cyrl-CS"/>
        </w:rPr>
        <w:t>,  navodi se da je potrebno intenzivirati rad na sprovođenju istraga, gonjenju i kažnjavanju za krivična dela motivisana mržnjom, kao i sveobuhvatno pristupiti integraciji nacionalnih manjina kroz puno sprovođenje akcionog plana o nacionalnim manjinama širom zemlje. Komisija posebno ističe neophodnost što bržeg usvajanja akcionog plana za puno sprovođenje nove strategije za inkluziju Roma. Pored toga, u Izveštaju je istaknuto da je postignut izvestan napredak u oblastima politike zapošljavanja, inkluzije Roma, zabrane diskriminacije i rodne ravnopravnosti, ali je dodatno naglašeno da treba delotvorno sprovoditi aktivnosti na promociji ravnopravnosti i obezbeđivanja integracije pripadnika najviše diskriminisanih grupa, među kojima su svakako Romi.</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Komitet UN za ukidanje rasne diskriminacije uzeo je u razmatranje Drugi i Treći periodični izveštaj Republike Srbije o primeni Međunarodne konvencije o ukidanju svih oblika rasne diskriminacije</w:t>
      </w:r>
      <w:r w:rsidR="00235474">
        <w:rPr>
          <w:rStyle w:val="FootnoteReference"/>
          <w:rFonts w:ascii="Arial" w:hAnsi="Arial" w:cs="Arial"/>
          <w:lang w:val="sr-Cyrl-CS"/>
        </w:rPr>
        <w:footnoteReference w:id="211"/>
      </w:r>
      <w:r w:rsidRPr="00757251">
        <w:rPr>
          <w:rFonts w:ascii="Arial" w:hAnsi="Arial" w:cs="Arial"/>
          <w:lang w:val="sr-Cyrl-CS"/>
        </w:rPr>
        <w:t xml:space="preserve"> , koji je Vlada Republike Srbije usvojila na sednici 30. decembra 2015. godine. Izveštaj sadrži pregled zakonodavnih, sudskih, administrativnih i drugih mera koje je država preduzela radi primene odredaba Konvencije i ostvarivanja pune i efektivne ravnopravnosti i zaštite od rasne diskriminacije.</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Primer pokušaja prisilnog iseljavanja Roma iz naselja Grmeč u Beogradu ušao je u izveštaj koji je objavila međunarodna organizacija Amnesty International – Stanje ljudskih prava u svetu</w:t>
      </w:r>
      <w:r w:rsidR="00235474">
        <w:rPr>
          <w:rStyle w:val="FootnoteReference"/>
          <w:rFonts w:ascii="Arial" w:hAnsi="Arial" w:cs="Arial"/>
          <w:lang w:val="sr-Cyrl-CS"/>
        </w:rPr>
        <w:footnoteReference w:id="212"/>
      </w:r>
      <w:r w:rsidRPr="00757251">
        <w:rPr>
          <w:rFonts w:ascii="Arial" w:hAnsi="Arial" w:cs="Arial"/>
          <w:lang w:val="sr-Cyrl-CS"/>
        </w:rPr>
        <w:t>.  Kako se navodi u izveštaju, iseljavanje Roma je zaustavljeno nakon podnošenja zahteva za privremenim merama Evropskom sudu za ljudska prava. Važno je napomenuti da je Poverenik za zaštitu ravnopravnosti u ovom slučaju blagovremeno reagovao i uputio Preporuku mera za ostvarivanje ravnopravnosti Gradskoj opštini Zemun</w:t>
      </w:r>
      <w:r w:rsidR="00CD5CF9">
        <w:rPr>
          <w:rStyle w:val="FootnoteReference"/>
          <w:rFonts w:ascii="Arial" w:hAnsi="Arial" w:cs="Arial"/>
          <w:lang w:val="sr-Cyrl-CS"/>
        </w:rPr>
        <w:footnoteReference w:id="213"/>
      </w:r>
      <w:r w:rsidRPr="00757251">
        <w:rPr>
          <w:rFonts w:ascii="Arial" w:hAnsi="Arial" w:cs="Arial"/>
          <w:lang w:val="sr-Cyrl-CS"/>
        </w:rPr>
        <w:t xml:space="preserve">.  Po preporuci je postupljeno i obustavljen je postupak prinudnog iseljavanja stanovnika i stanovnica romskog naselja Grmeč. U izveštaju je dalje ocenjeno da Predlog zakona o stanovanju, koji bi trebalo da spreči prinudna iseljenja, u velikoj meri zadovoljava međunarodne standarde. Ukazano je </w:t>
      </w:r>
      <w:r w:rsidRPr="00757251">
        <w:rPr>
          <w:rFonts w:ascii="Arial" w:hAnsi="Arial" w:cs="Arial"/>
          <w:lang w:val="sr-Cyrl-CS"/>
        </w:rPr>
        <w:lastRenderedPageBreak/>
        <w:t>i na to da se zakoni koji treba da spreče zločine iz mržnje ne primenjuju u dovoljnoj meri. Romi, Aškalije i Egipćani na Kosovu i dalje trpe institucionalnu diskriminaciju, uključujući i pristup socijalnim i ekonomskim pravima. Veliki broj njih je napustio Kosovo i traži azil u EU.</w:t>
      </w:r>
    </w:p>
    <w:p w:rsidR="00757251" w:rsidRPr="00757251" w:rsidRDefault="00757251" w:rsidP="00757251">
      <w:pPr>
        <w:pStyle w:val="NoSpacing"/>
        <w:rPr>
          <w:rFonts w:ascii="Arial" w:hAnsi="Arial" w:cs="Arial"/>
          <w:lang w:val="sr-Cyrl-CS"/>
        </w:rPr>
      </w:pPr>
      <w:r w:rsidRPr="00757251">
        <w:rPr>
          <w:rFonts w:ascii="Arial" w:hAnsi="Arial" w:cs="Arial"/>
          <w:lang w:val="sr-Cyrl-CS"/>
        </w:rPr>
        <w:t>Izveštaji i istraživanja domaćih institucija i organizacija takođe prepoznaju romsku nacionalnu manjinu kao najviše diskriminisanu, ali beleže i određene pomake u postizanju ravnopravnosti.</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U Izveštaju Ministarstva pravde o sprovođenju Akcionog plana za poglavlje 23 u pristupnim pregovorima za članstvo u Evropskoj uniji</w:t>
      </w:r>
      <w:r w:rsidR="00CD5CF9">
        <w:rPr>
          <w:rStyle w:val="FootnoteReference"/>
          <w:rFonts w:ascii="Arial" w:hAnsi="Arial" w:cs="Arial"/>
          <w:lang w:val="sr-Cyrl-CS"/>
        </w:rPr>
        <w:footnoteReference w:id="214"/>
      </w:r>
      <w:r w:rsidRPr="00757251">
        <w:rPr>
          <w:rFonts w:ascii="Arial" w:hAnsi="Arial" w:cs="Arial"/>
          <w:lang w:val="sr-Cyrl-CS"/>
        </w:rPr>
        <w:t>,  navedeno je da je u prethodnom periodu donet Pravilnik o merilima i postupku za upis učenika – pripadnika romske nacionalne manjine u srednju školu pod povoljnijim uslovima radi postizanja pune ravnopravnosti</w:t>
      </w:r>
      <w:r w:rsidR="00CD5CF9">
        <w:rPr>
          <w:rStyle w:val="FootnoteReference"/>
          <w:rFonts w:ascii="Arial" w:hAnsi="Arial" w:cs="Arial"/>
          <w:lang w:val="sr-Cyrl-CS"/>
        </w:rPr>
        <w:footnoteReference w:id="215"/>
      </w:r>
      <w:r w:rsidRPr="00757251">
        <w:rPr>
          <w:rFonts w:ascii="Arial" w:hAnsi="Arial" w:cs="Arial"/>
          <w:lang w:val="sr-Cyrl-CS"/>
        </w:rPr>
        <w:t xml:space="preserve"> , što je dalo zavidne rezultate. U školskoj 2016/17. godini upisano je 1.512 učenika, u odnosu na prethodnu godinu, kada je upisano 420 romskih đaka. Takođe, usvojen je i Pravilnik o merilima i postupku za upis polaznika koji su završili program osnovnog obrazovanja odraslih u srednju školu pod povoljnijim uslovima radi postizanja pune ravnopravnosti</w:t>
      </w:r>
      <w:r w:rsidR="00CD5CF9">
        <w:rPr>
          <w:rStyle w:val="FootnoteReference"/>
          <w:rFonts w:ascii="Arial" w:hAnsi="Arial" w:cs="Arial"/>
          <w:lang w:val="sr-Cyrl-CS"/>
        </w:rPr>
        <w:footnoteReference w:id="216"/>
      </w:r>
      <w:r w:rsidRPr="00757251">
        <w:rPr>
          <w:rFonts w:ascii="Arial" w:hAnsi="Arial" w:cs="Arial"/>
          <w:lang w:val="sr-Cyrl-CS"/>
        </w:rPr>
        <w:t>.  Međutim, Analiza primene afirmativnih mera u oblasti obrazovanja Roma i Romkinja i preporuke za unapređenje mera iz juna 2016. godine</w:t>
      </w:r>
      <w:r w:rsidR="00CD5CF9">
        <w:rPr>
          <w:rStyle w:val="FootnoteReference"/>
          <w:rFonts w:ascii="Arial" w:hAnsi="Arial" w:cs="Arial"/>
          <w:lang w:val="sr-Cyrl-CS"/>
        </w:rPr>
        <w:footnoteReference w:id="217"/>
      </w:r>
      <w:r w:rsidRPr="00757251">
        <w:rPr>
          <w:rFonts w:ascii="Arial" w:hAnsi="Arial" w:cs="Arial"/>
          <w:lang w:val="sr-Cyrl-CS"/>
        </w:rPr>
        <w:t xml:space="preserve">  pokazale su da je diskriminacija romskih učenika još uvek prisutna u školama u Srbiji i da je to i dalje prvi problem koji treba rešiti kako bi se potom polako i spontano prešlo na veću individualizaciju nastave, kao i da bi se napustila praksa zadržavanja istih kriterijuma ocenjivanja ili diskriminišućeg smanjenja kriterijuma</w:t>
      </w:r>
      <w:r w:rsidR="00CD5CF9">
        <w:rPr>
          <w:rStyle w:val="FootnoteReference"/>
          <w:rFonts w:ascii="Arial" w:hAnsi="Arial" w:cs="Arial"/>
          <w:lang w:val="sr-Cyrl-CS"/>
        </w:rPr>
        <w:footnoteReference w:id="218"/>
      </w:r>
      <w:r w:rsidRPr="00757251">
        <w:rPr>
          <w:rFonts w:ascii="Arial" w:hAnsi="Arial" w:cs="Arial"/>
          <w:lang w:val="sr-Cyrl-CS"/>
        </w:rPr>
        <w:t xml:space="preserve">.  </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U Posebnom izveštaju Zaštitnika građana o informisanju na jezicima nacionalnih manjina</w:t>
      </w:r>
      <w:r w:rsidR="00CD5CF9">
        <w:rPr>
          <w:rStyle w:val="FootnoteReference"/>
          <w:rFonts w:ascii="Arial" w:hAnsi="Arial" w:cs="Arial"/>
          <w:lang w:val="sr-Cyrl-CS"/>
        </w:rPr>
        <w:footnoteReference w:id="219"/>
      </w:r>
      <w:r w:rsidRPr="00757251">
        <w:rPr>
          <w:rFonts w:ascii="Arial" w:hAnsi="Arial" w:cs="Arial"/>
          <w:lang w:val="sr-Cyrl-CS"/>
        </w:rPr>
        <w:t xml:space="preserve">  ocenjeno je da je nakon privatizacije medija samo romskoj zajednici omogućeno da prati programske celine na svom jeziku. Iako je prema saznanjima Zaštitnika Radio televizija Srbije (RTS) planirala uvođenje više medijskih sadržaja na jezicima nacionalnih manjina, emitovanje novih sadržaja na manjinskim jezicima još nije započeto</w:t>
      </w:r>
      <w:r w:rsidR="00CD5CF9">
        <w:rPr>
          <w:rStyle w:val="FootnoteReference"/>
          <w:rFonts w:ascii="Arial" w:hAnsi="Arial" w:cs="Arial"/>
          <w:lang w:val="sr-Cyrl-CS"/>
        </w:rPr>
        <w:footnoteReference w:id="220"/>
      </w:r>
      <w:r w:rsidRPr="00757251">
        <w:rPr>
          <w:rFonts w:ascii="Arial" w:hAnsi="Arial" w:cs="Arial"/>
          <w:lang w:val="sr-Cyrl-CS"/>
        </w:rPr>
        <w:t xml:space="preserve">.  S druge strane, Radio televizija Vojvodina (RTV) je, i pored svih poznatih problema u radu javnih servisa, uspela da u proteklih godinu dana čak značajno poveća udeo programa na jezicima nacionalnih manjina – uvođenjem novih emisija, povećanjem broja repriza, kupovinom programa, pa i kupovinom emisija nezavisne produkcije. Zaštitnik građana navodi da RTS odlaganjem ispunjavanja obaveze javnog medijskog servisa ne samo krši zakon već se tako i dodatno produbljuju postojeće razlike u informisanju nacionalnih manjina u zavisnosti od toga da li žive na teritoriji Vojvodine ili centralne Srbije. U izveštaju se navodi i to da je prilikom svih dosadašnjih reformi propušteno da se sistemski i sveobuhvatno reši pitanje medija koje osnivaju nacionalni saveti. Važećim normativnim rešenjima, kako je navedeno, propuštena je i prilika da se reši pitanje održivosti manjinskih novina koje će u budućnosti </w:t>
      </w:r>
      <w:r w:rsidRPr="00757251">
        <w:rPr>
          <w:rFonts w:ascii="Arial" w:hAnsi="Arial" w:cs="Arial"/>
          <w:lang w:val="sr-Cyrl-CS"/>
        </w:rPr>
        <w:lastRenderedPageBreak/>
        <w:t>osnivati nacionalni saveti, radi otklanjanja postojećih razlika, tj. radi informisanja na jezicima koji sada nisu zastupljeni u štampanim medijima</w:t>
      </w:r>
      <w:r w:rsidR="003358D4">
        <w:rPr>
          <w:rStyle w:val="FootnoteReference"/>
          <w:rFonts w:ascii="Arial" w:hAnsi="Arial" w:cs="Arial"/>
          <w:lang w:val="sr-Cyrl-CS"/>
        </w:rPr>
        <w:footnoteReference w:id="221"/>
      </w:r>
      <w:r w:rsidRPr="00757251">
        <w:rPr>
          <w:rFonts w:ascii="Arial" w:hAnsi="Arial" w:cs="Arial"/>
          <w:lang w:val="sr-Cyrl-CS"/>
        </w:rPr>
        <w:t xml:space="preserve">. </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U pisanim komentarima Komitetu za prava deteta, Evropski centar za prava Roma (ERRC) i NVO Praksis naveli su da i pored odredbi Zakona o osnovnom obrazovanju koje nalažu školama da razdvajaju i prate podatke o učenicima, mnoge škole ne prikupljaju podatke o nacionalnoj pripadnosti / etničkom poreklu. S obzirom na manjkavosti odredbi pomenutog zakona, prikupljanje podataka nije regulisano, niti se sprovodi na uniformisan i sistematičan način, što otvara mogućnost za potencijalne zloupotrebe i arbitrernost</w:t>
      </w:r>
      <w:r w:rsidR="003358D4">
        <w:rPr>
          <w:rStyle w:val="FootnoteReference"/>
          <w:rFonts w:ascii="Arial" w:hAnsi="Arial" w:cs="Arial"/>
          <w:lang w:val="sr-Cyrl-CS"/>
        </w:rPr>
        <w:footnoteReference w:id="222"/>
      </w:r>
      <w:r w:rsidRPr="00757251">
        <w:rPr>
          <w:rFonts w:ascii="Arial" w:hAnsi="Arial" w:cs="Arial"/>
          <w:lang w:val="sr-Cyrl-CS"/>
        </w:rPr>
        <w:t>.  Ovo onemogućuje praćenje ostvarivanja prava na obrazovanje pripadnika nacionalnih manjina i otežava njihovo socijalno uključivanje u školski sistem</w:t>
      </w:r>
      <w:r w:rsidR="003358D4">
        <w:rPr>
          <w:rStyle w:val="FootnoteReference"/>
          <w:rFonts w:ascii="Arial" w:hAnsi="Arial" w:cs="Arial"/>
          <w:lang w:val="sr-Cyrl-CS"/>
        </w:rPr>
        <w:footnoteReference w:id="223"/>
      </w:r>
      <w:r w:rsidRPr="00757251">
        <w:rPr>
          <w:rFonts w:ascii="Arial" w:hAnsi="Arial" w:cs="Arial"/>
          <w:lang w:val="sr-Cyrl-CS"/>
        </w:rPr>
        <w:t>.  Veliki broj romske dece i dalje ne pohađa redovne škole i biva prebačen iz redovnih u „specijalne škole“. Nalazi izveštaja ERRC pokazuju da je sistem geografske podele oblasti na osnovu kojeg deca stiču mogućnost pohađanja škole, zastareo, i da ne prati demografske promene, što vodi segregaciji romske dece blizu neformalnih naselja. Pored toga, u odeljenjima u kojima su integrisani, romski učenici su uglavnom predodređeni da pohađaju nastavu po individualnom planu obrazovanja, što školama daje mogućnost da smanje veličine odeljenja</w:t>
      </w:r>
      <w:r w:rsidR="003358D4">
        <w:rPr>
          <w:rStyle w:val="FootnoteReference"/>
          <w:rFonts w:ascii="Arial" w:hAnsi="Arial" w:cs="Arial"/>
          <w:lang w:val="sr-Cyrl-CS"/>
        </w:rPr>
        <w:footnoteReference w:id="224"/>
      </w:r>
      <w:r w:rsidRPr="00757251">
        <w:rPr>
          <w:rFonts w:ascii="Arial" w:hAnsi="Arial" w:cs="Arial"/>
          <w:lang w:val="sr-Cyrl-CS"/>
        </w:rPr>
        <w:t xml:space="preserve">. </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Takođe, u izveštaju je navedeno da raste trend prihvatanja romske dece u starateljskim porodicama, što pospešuje proces deinstitucionalizacije ove dece, ali da je proces vrlo spor. Na osnovu dostupnih podataka ocenjuje se da je između 30% i 50% dece romskog porekla u institucijama</w:t>
      </w:r>
      <w:r w:rsidR="003358D4">
        <w:rPr>
          <w:rStyle w:val="FootnoteReference"/>
          <w:rFonts w:ascii="Arial" w:hAnsi="Arial" w:cs="Arial"/>
          <w:lang w:val="sr-Cyrl-CS"/>
        </w:rPr>
        <w:footnoteReference w:id="225"/>
      </w:r>
      <w:r w:rsidRPr="00757251">
        <w:rPr>
          <w:rFonts w:ascii="Arial" w:hAnsi="Arial" w:cs="Arial"/>
          <w:lang w:val="sr-Cyrl-CS"/>
        </w:rPr>
        <w:t>.  U izveštaju je istaknuto da ne postoje tačni podaci, ali da ima indicija da pojedini matičari odbijaju da upišu činjenice rođenja romske dece u matične knjige, uglavnom zbog toga što nedostaju podaci o roditeljima. S tim u vezi, u februaru 2016. godine Praksis i ERRC podneli su inicijativu za ocenu ustavnosti odredaba Zakona o matičnim knjigama koje omogućavaju odlaganje upisa činjenice rođenja</w:t>
      </w:r>
      <w:r w:rsidR="003358D4">
        <w:rPr>
          <w:rStyle w:val="FootnoteReference"/>
          <w:rFonts w:ascii="Arial" w:hAnsi="Arial" w:cs="Arial"/>
          <w:lang w:val="sr-Cyrl-CS"/>
        </w:rPr>
        <w:footnoteReference w:id="226"/>
      </w:r>
      <w:r w:rsidRPr="00757251">
        <w:rPr>
          <w:rFonts w:ascii="Arial" w:hAnsi="Arial" w:cs="Arial"/>
          <w:lang w:val="sr-Cyrl-CS"/>
        </w:rPr>
        <w:t xml:space="preserve">. </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Zbog diskriminacije na osnovu nacionalne pripadnosti i etničkog porekla, Povereniku je podneto 60 pritužbi, što čini 9,4% od ukupnog broja pritužbi koje su podnete u 2016. godini. Ovaj osnov diskriminacije dolazi na četvrto mesto po broju pritužbi, iza invaliditeta, pola i starosnog doba kao osnova diskriminacije. Primetan je pad broja pritužbi koje su podnete zbog diskriminacije na osnovu nacionalne pripadnosti i etničkog porekla, u odnosu na prethodne godine. Tokom 2015. godine, ovaj osnov diskriminacije zauzimao je drugo mesto po broju podnetih pritužbi, sa učešćem od 18,4% od ukupnog broja pritužbi. U 2014. godini, ovaj osnov diskriminacije bio je na prvom mestu.</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t>Najveći broj pritužbi podnet je zbog diskriminacije Roma (23), što čini 38,3% od svih pritužbi koje su podnete zbog diskriminacije na osnovu nacionalne pripadnosti i etničkog porekla. Znatno je manje pritužbi podneto zbog pripadnosti drugim nacionalnim manjinama – hrvatskoj (7), albanskoj (6), rumunskoj (4), vlaškoj (4), mađarskoj (3), bošnjačkoj (2), grčkoj (1), makedonskoj (1), slovačkoj (1) i drugim nacionalnim manjinama (8).</w:t>
      </w:r>
    </w:p>
    <w:p w:rsidR="00757251" w:rsidRDefault="00757251" w:rsidP="00757251">
      <w:pPr>
        <w:pStyle w:val="NoSpacing"/>
        <w:rPr>
          <w:rFonts w:ascii="Arial" w:hAnsi="Arial" w:cs="Arial"/>
          <w:lang w:val="sr-Latn-RS"/>
        </w:rPr>
      </w:pPr>
    </w:p>
    <w:p w:rsidR="00757251" w:rsidRPr="00757251" w:rsidRDefault="00757251" w:rsidP="00757251">
      <w:pPr>
        <w:pStyle w:val="NoSpacing"/>
        <w:rPr>
          <w:rFonts w:ascii="Arial" w:hAnsi="Arial" w:cs="Arial"/>
          <w:lang w:val="sr-Cyrl-CS"/>
        </w:rPr>
      </w:pPr>
      <w:r w:rsidRPr="00757251">
        <w:rPr>
          <w:rFonts w:ascii="Arial" w:hAnsi="Arial" w:cs="Arial"/>
          <w:lang w:val="sr-Cyrl-CS"/>
        </w:rPr>
        <w:lastRenderedPageBreak/>
        <w:t xml:space="preserve">Od ukupnog broja pritužbi po ovom osnovu, najveći broj pritužbi odnosio se na oblast rada i zapošljavanja (22). U postupcima pred organima javne vlasti, zbog diskriminacije na osnovu nacionalne pripadnosti podneto je 14 pritužbi. Kada je u pitanju oblast pružanja usluga tokom 2016. godine, podneto je šest pritužbi zbog diskriminacije po ovom osnovu, a u oblasti javnog informisanja i medija pet pritužbi. Najveći broj pritužbi zbog diskriminacije na osnovu nacionalne pripadnosti u oblasti medija i javnog informisanja odnose se na pripadnost romskoj nacionalnoj manjini. U dva sprovedena postupka utvrđena je diskriminacija u oblasti medija i javnog informisanja po osnovu pripadnosti romskoj nacionalnoj manjini i date su preporuke da se ne emituju prilozi kojima se vređa dostojanstvo pripadnika i pripadnica ove nacionalne manjine, već da se emisijama i prilozima doprinese promeni obrazaca, običaja i prakse koji uslovljavaju stereotipe, predrasude i diskriminaciju u odnosu na pripadnike i pripadnice ove nacionalne manjine. Posebno je zabrinjavajuće isticanje nacionalne pripadnosti osumnjičenih za krivična dela u situacijama kada nacionalnost tih lica nije ni u kakvoj vezi s učinjenim delom, niti objavljivanje ove informacije doprinosi boljem razumevanju događaja. Na taj način se pažnja usmerava na pripadnike te nacionalne manjine (uglavnom romske), oni se etiketiraju kao osobe sklone vršenju krivičnih dela, što za posledicu ima učvršćivanje negativnih stereotipa i diskriminatornog odnosa. </w:t>
      </w:r>
    </w:p>
    <w:p w:rsidR="00757251" w:rsidRPr="00757251" w:rsidRDefault="00757251" w:rsidP="00757251">
      <w:pPr>
        <w:pStyle w:val="NoSpacing"/>
        <w:rPr>
          <w:rFonts w:ascii="Arial" w:hAnsi="Arial" w:cs="Arial"/>
          <w:lang w:val="sr-Cyrl-CS"/>
        </w:rPr>
      </w:pPr>
      <w:r w:rsidRPr="00757251">
        <w:rPr>
          <w:rFonts w:ascii="Arial" w:hAnsi="Arial" w:cs="Arial"/>
          <w:lang w:val="sr-Cyrl-CS"/>
        </w:rPr>
        <w:t>Najveći broj pritužbi zbog diskriminacije na osnovu nacionalne pripadnosti i etničkog porekla podnela su fizička lica (38), a od toga 23 muškarca i 15 žena. Različite organizacije podnele su 15 pritužbi po ovom osnovu, dok su pravna lica podnela šest pritužbi, a jednu pritužbu je podnela grupa lica.</w:t>
      </w:r>
    </w:p>
    <w:p w:rsidR="00757251" w:rsidRDefault="00757251" w:rsidP="00757251">
      <w:pPr>
        <w:pStyle w:val="NoSpacing"/>
        <w:rPr>
          <w:rFonts w:ascii="Arial" w:hAnsi="Arial" w:cs="Arial"/>
          <w:lang w:val="sr-Latn-RS"/>
        </w:rPr>
      </w:pPr>
    </w:p>
    <w:p w:rsidR="00135D51" w:rsidRDefault="00757251" w:rsidP="00757251">
      <w:pPr>
        <w:pStyle w:val="NoSpacing"/>
        <w:rPr>
          <w:rFonts w:ascii="Arial" w:hAnsi="Arial" w:cs="Arial"/>
          <w:lang w:val="sr-Latn-RS"/>
        </w:rPr>
      </w:pPr>
      <w:r w:rsidRPr="00757251">
        <w:rPr>
          <w:rFonts w:ascii="Arial" w:hAnsi="Arial" w:cs="Arial"/>
          <w:lang w:val="sr-Cyrl-CS"/>
        </w:rPr>
        <w:t>Kao i prethodnih godina, najveći broj pritužbi na osnovu nacionalne pripadnosti podnet je zbog diskriminacije pripadnika romske nacionalne manjine. Takav podatak u skladu je i s rezultatima istraživanja „Odnos građana i građanki prema diskriminaciji u Srbiji“</w:t>
      </w:r>
      <w:r w:rsidR="004047ED">
        <w:rPr>
          <w:rStyle w:val="FootnoteReference"/>
          <w:rFonts w:ascii="Arial" w:hAnsi="Arial" w:cs="Arial"/>
          <w:lang w:val="sr-Cyrl-CS"/>
        </w:rPr>
        <w:footnoteReference w:id="227"/>
      </w:r>
      <w:r w:rsidRPr="00757251">
        <w:rPr>
          <w:rFonts w:ascii="Arial" w:hAnsi="Arial" w:cs="Arial"/>
          <w:lang w:val="sr-Cyrl-CS"/>
        </w:rPr>
        <w:t xml:space="preserve"> , koje je sprovedeno tokom 2016. godine. Prema dobijenim rezultatima, čak 39% ispitanika smatra da su Romi društvena grupa koja je najviše izložena diskriminaciji. Diskriminacija u postupku zapošljavanja ili na poslu jeste društvena oblast u kojoj se u najvećem broju pojavljuju pritužbe, kao i u postupcima pred organima javne vlasti.</w:t>
      </w:r>
    </w:p>
    <w:p w:rsidR="0011214A" w:rsidRPr="0011214A" w:rsidRDefault="0011214A" w:rsidP="00757251">
      <w:pPr>
        <w:pStyle w:val="NoSpacing"/>
        <w:rPr>
          <w:rFonts w:ascii="Arial" w:hAnsi="Arial" w:cs="Arial"/>
          <w:lang w:val="sr-Latn-RS"/>
        </w:rPr>
      </w:pPr>
    </w:p>
    <w:p w:rsidR="00757251" w:rsidRPr="00757251" w:rsidRDefault="00757251" w:rsidP="00757251">
      <w:pPr>
        <w:pStyle w:val="NoSpacing"/>
        <w:rPr>
          <w:sz w:val="20"/>
          <w:lang w:val="sr-Latn-RS"/>
        </w:rPr>
      </w:pPr>
    </w:p>
    <w:p w:rsidR="00135D51" w:rsidRPr="00135D51" w:rsidRDefault="00F56EC2" w:rsidP="00D93153">
      <w:pPr>
        <w:pStyle w:val="ListParagraph"/>
        <w:numPr>
          <w:ilvl w:val="0"/>
          <w:numId w:val="16"/>
        </w:numPr>
        <w:tabs>
          <w:tab w:val="left" w:pos="709"/>
          <w:tab w:val="center" w:pos="851"/>
        </w:tabs>
        <w:spacing w:after="100" w:afterAutospacing="1" w:line="276" w:lineRule="auto"/>
        <w:ind w:left="851" w:hanging="567"/>
        <w:outlineLvl w:val="0"/>
        <w:rPr>
          <w:rStyle w:val="Heading3Char"/>
          <w:rFonts w:eastAsia="Calibri"/>
          <w:b w:val="0"/>
          <w:bCs w:val="0"/>
        </w:rPr>
      </w:pPr>
      <w:bookmarkStart w:id="76" w:name="_Toc477248634"/>
      <w:bookmarkStart w:id="77" w:name="_Toc477251759"/>
      <w:r>
        <w:rPr>
          <w:rStyle w:val="Heading3Char"/>
          <w:rFonts w:eastAsia="Calibri"/>
          <w:b w:val="0"/>
          <w:lang w:val="sr-Latn-RS"/>
        </w:rPr>
        <w:t>Mišljenja i preporuke</w:t>
      </w:r>
      <w:bookmarkEnd w:id="76"/>
      <w:bookmarkEnd w:id="77"/>
    </w:p>
    <w:p w:rsidR="00135D51" w:rsidRPr="00F56EC2" w:rsidRDefault="00F56EC2" w:rsidP="00135D51">
      <w:pPr>
        <w:shd w:val="clear" w:color="auto" w:fill="75E5FB"/>
        <w:spacing w:after="100" w:afterAutospacing="1" w:line="276" w:lineRule="auto"/>
        <w:rPr>
          <w:rFonts w:cs="Arial"/>
          <w:i/>
          <w:lang w:val="sr-Latn-RS"/>
        </w:rPr>
      </w:pPr>
      <w:r w:rsidRPr="00F56EC2">
        <w:rPr>
          <w:rFonts w:cs="Arial"/>
          <w:i/>
        </w:rPr>
        <w:t xml:space="preserve">Voditelj televizijske emisije svojim „smislom za humor“ širio negativne stereotipe o Romima i Romkinjama i povredio njihovo </w:t>
      </w:r>
      <w:r>
        <w:rPr>
          <w:rFonts w:cs="Arial"/>
          <w:i/>
          <w:lang w:val="sr-Latn-RS"/>
        </w:rPr>
        <w:t>dostojanstvo</w:t>
      </w:r>
    </w:p>
    <w:p w:rsidR="00F56EC2" w:rsidRPr="00F56EC2" w:rsidRDefault="00F56EC2" w:rsidP="00F56EC2">
      <w:pPr>
        <w:spacing w:after="100" w:afterAutospacing="1" w:line="276" w:lineRule="auto"/>
        <w:rPr>
          <w:rStyle w:val="Emphasis"/>
          <w:rFonts w:cs="Arial"/>
          <w:i w:val="0"/>
          <w:color w:val="000000"/>
        </w:rPr>
      </w:pPr>
      <w:r w:rsidRPr="00F56EC2">
        <w:rPr>
          <w:rStyle w:val="Emphasis"/>
          <w:rFonts w:cs="Arial"/>
          <w:i w:val="0"/>
          <w:color w:val="000000"/>
        </w:rPr>
        <w:t xml:space="preserve">Pritužba je podneta povodom izjava voditelja dveju emisija, emitovanih 20. i 23. novembra 2015. godine. U pritužbi je navedeno da je u emisiji emitovanoj 20. novembra 2015. godine voditelj izjavio: „Obrazovanje Roma je ključ u rešavanju njihovog problema, rekla je ministarka Zorana Mihajlović – ne zanima Rome ključ, nego poklopac od šahta!“, te da je u emisiji emitovanoj 23. novembra 2015. godine uputio izvinjenje romskoj populaciji na sledeći način: „… imao sam pogrešnu informaciju da Romi kradu poklopce od šahtova i one poklopčiće od bandera i kablove, one bakarne... i ja im se sto puta izvinjavam...“ </w:t>
      </w:r>
    </w:p>
    <w:p w:rsidR="00F56EC2" w:rsidRPr="00F56EC2" w:rsidRDefault="00F56EC2" w:rsidP="00F56EC2">
      <w:pPr>
        <w:spacing w:after="100" w:afterAutospacing="1" w:line="276" w:lineRule="auto"/>
        <w:rPr>
          <w:rStyle w:val="Emphasis"/>
          <w:rFonts w:cs="Arial"/>
          <w:i w:val="0"/>
          <w:color w:val="000000"/>
        </w:rPr>
      </w:pPr>
      <w:r w:rsidRPr="00F56EC2">
        <w:rPr>
          <w:rStyle w:val="Emphasis"/>
          <w:rFonts w:cs="Arial"/>
          <w:i w:val="0"/>
          <w:color w:val="000000"/>
        </w:rPr>
        <w:t xml:space="preserve">U izjašnjenju televizijske kuće navedeno je da su ove emisije humorističkog karaktera, žanrovski pripadaju zabavnom programu i predstavljaju tzv. stand up comedy show, kao i da televiziji i autoru emisija nije bila namera da javno podstiču mržnju i diskriminaciju po bilo kom osnovu. </w:t>
      </w:r>
    </w:p>
    <w:p w:rsidR="00F56EC2" w:rsidRPr="00F56EC2" w:rsidRDefault="00F56EC2" w:rsidP="00F56EC2">
      <w:pPr>
        <w:spacing w:after="100" w:afterAutospacing="1" w:line="276" w:lineRule="auto"/>
        <w:rPr>
          <w:rStyle w:val="Emphasis"/>
          <w:rFonts w:cs="Arial"/>
          <w:i w:val="0"/>
          <w:color w:val="000000"/>
        </w:rPr>
      </w:pPr>
      <w:r w:rsidRPr="00F56EC2">
        <w:rPr>
          <w:rStyle w:val="Emphasis"/>
          <w:rFonts w:cs="Arial"/>
          <w:i w:val="0"/>
          <w:color w:val="000000"/>
        </w:rPr>
        <w:lastRenderedPageBreak/>
        <w:t xml:space="preserve">U toku postupka utvrđeno je da je voditelj izjavom u emisiji od 20. novembra 2015. godine aludirao na to da pripadnicima romske nacionalne manjine nije potrebno obrazovanje, jer zarađuju za život baveći se kriminalnim aktivnostima. Što se tiče „izvinjenja“ voditelja u emisiji emitovanoj 23. novembra 2015. godine, utvrđeno je da se voditelj nije izvinio pripadnicima romske nacionalne manjine, već je zapravo pokazao da ne shvata težinu širenja predrasuda i posledice koje ovakve izjave ostavljaju na živote osoba koje su već marginalizovane u društvu. </w:t>
      </w:r>
    </w:p>
    <w:p w:rsidR="00F56EC2" w:rsidRPr="00F56EC2" w:rsidRDefault="00F56EC2" w:rsidP="00F56EC2">
      <w:pPr>
        <w:spacing w:after="100" w:afterAutospacing="1" w:line="276" w:lineRule="auto"/>
        <w:rPr>
          <w:rStyle w:val="Emphasis"/>
          <w:rFonts w:cs="Arial"/>
          <w:i w:val="0"/>
          <w:color w:val="000000"/>
          <w:lang w:val="sr-Latn-RS"/>
        </w:rPr>
      </w:pPr>
      <w:r w:rsidRPr="00F56EC2">
        <w:rPr>
          <w:rStyle w:val="Emphasis"/>
          <w:rFonts w:cs="Arial"/>
          <w:i w:val="0"/>
          <w:color w:val="000000"/>
        </w:rPr>
        <w:t>Poverenica za zaštitu ravnopravnosti dala je mišljenje da je izjavom voditelja da Romima nije potrebno obrazovanje, već poklopac od šahta, kao i njegovim „izvinjenjem“ zbog sporne izjave, povređeno dostojanstvo pripadnika i pripadnica romske nacionalne manjine, čime su prekršene odredbe Zakona o zabrani diskriminacije. Zbog toga je voditelju i Prvoj srpskoj televiziji, protiv koje je pritužba podneta, preporučeno da u sledećoj emisiji upute javno izvinjenje svim pripadnicima i pripadnicama romske nacionalne manjine, da ubuduće ne emituju priloge kojima se vređa dostojanstvo pripadnika i pripadnica romske nacionalne manjine, kao i da emisijama i prilozima doprinose izmeni obrazaca, običaja i prakse koji uslovljavaju stereotipe, predrasude i diskriminaciju u odnosu na pripadnike i pripadnice ove nacionalne manjine. Po ovoj preporuci nije postupljeno.</w:t>
      </w:r>
    </w:p>
    <w:p w:rsidR="00135D51" w:rsidRPr="00135D51" w:rsidRDefault="00F56EC2" w:rsidP="0032797E">
      <w:pPr>
        <w:shd w:val="clear" w:color="auto" w:fill="75E5FB"/>
        <w:spacing w:before="360" w:after="100" w:afterAutospacing="1"/>
        <w:outlineLvl w:val="0"/>
        <w:rPr>
          <w:rStyle w:val="Emphasis"/>
          <w:rFonts w:cs="Arial"/>
          <w:color w:val="000000"/>
        </w:rPr>
      </w:pPr>
      <w:bookmarkStart w:id="78" w:name="_Toc476904355"/>
      <w:bookmarkStart w:id="79" w:name="_Toc476908707"/>
      <w:bookmarkStart w:id="80" w:name="_Toc477248635"/>
      <w:bookmarkStart w:id="81" w:name="_Toc477250766"/>
      <w:bookmarkStart w:id="82" w:name="_Toc477251760"/>
      <w:r>
        <w:rPr>
          <w:rStyle w:val="Emphasis"/>
          <w:rFonts w:cs="Arial"/>
          <w:color w:val="000000"/>
          <w:lang w:val="sr-Latn-RS"/>
        </w:rPr>
        <w:t>Nacionalna pripadnost je stavljena u kontekst događaja</w:t>
      </w:r>
      <w:bookmarkEnd w:id="78"/>
      <w:bookmarkEnd w:id="79"/>
      <w:bookmarkEnd w:id="80"/>
      <w:bookmarkEnd w:id="81"/>
      <w:bookmarkEnd w:id="82"/>
    </w:p>
    <w:p w:rsidR="00F56EC2" w:rsidRPr="00F56EC2"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Diskriminacija po osnovu nacionalne pripadnosti u oblasti informisanja bila je tema postupka po pritužbi organizacije civilnog društva protiv autorke i voditeljke jedne televizijske emisije. U pritužbi je navedeno da je voditeljka tokom emisije emitovane u dva dela, 28. oktobra i 4. novembra 2015. godine, navodeći „nacionalnost maloletnog lica, klasifikujući ga kao malog nasilnika jer je bio u grupi dece koja su pokazala nasilno ponašanje, a čija se nacionalnost ne navodi, dozvolila generalizaciju kojom se romskoj zajednici pripisuje divljačko ponašanje, svojstveno njima“. </w:t>
      </w:r>
    </w:p>
    <w:p w:rsidR="00F56EC2" w:rsidRPr="00F56EC2"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U izjašnjenju televizije koja je emitovala predmetnu emisiju navedeno je da jedini kontekst u kome se u okviru emisije spominje pridev „romsko“ nije nacionalna pripadnost već opisivanje određenog događaja koji se desio u romskom naselju, gde je pridev naveden isključivo sa aspekta opisivanja činjenica i hronologije događaja. </w:t>
      </w:r>
    </w:p>
    <w:p w:rsidR="00F56EC2" w:rsidRPr="00F56EC2"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U toku postupka utvrđeno je da nacionalna pripadnost izvršilaca nasilja nad maloletnim detetom nije direktno navedena, već da se nacionalna pripadnost jednog od maloletnika mogla naslutiti kada su pomenuti njegova majka, baba i rođaci koji žive u romskom naselju, te da je voditeljka svojim pitanjima, komentarima i izjavama isticala svoj negativan stav o nasilničkom ponašanju uopšte, kao i da nacionalna pripadnost učesnika u nasilju nije bila relevantna. </w:t>
      </w:r>
    </w:p>
    <w:p w:rsidR="00F56EC2" w:rsidRDefault="00F56EC2" w:rsidP="00F56EC2">
      <w:pPr>
        <w:spacing w:after="100" w:afterAutospacing="1" w:line="276" w:lineRule="auto"/>
        <w:rPr>
          <w:rFonts w:eastAsia="SimSun" w:cs="Arial"/>
          <w:color w:val="000000"/>
          <w:kern w:val="3"/>
          <w:lang w:val="sr-Latn-RS" w:eastAsia="zh-CN" w:bidi="hi-IN"/>
        </w:rPr>
      </w:pPr>
      <w:r w:rsidRPr="00F56EC2">
        <w:rPr>
          <w:rFonts w:eastAsia="SimSun" w:cs="Arial"/>
          <w:color w:val="000000"/>
          <w:kern w:val="3"/>
          <w:lang w:eastAsia="zh-CN" w:bidi="hi-IN"/>
        </w:rPr>
        <w:t>Na osnovu analize pritužbe i izjašnjenja, kao i uvidom u predmetnu emisiju, utvrđeno je da autorka i voditeljka emisije nije izvršila akt diskriminacije, odnosno, svojim komentarima i izjavama nije pripisala „divljačko ponašanje“ pripadnicima romske nacionalnosti i time izazvala povredu dostojanstva na osnovu njihovog ličnog svojstva. Poverenica za zaštitu ravnopravnosti dala je mišljenje da voditeljka svojim izjavama i komentarima nije prekršila odredbe Zakona o zabrani diskriminacije.</w:t>
      </w:r>
    </w:p>
    <w:p w:rsidR="00135D51" w:rsidRPr="00F56EC2" w:rsidRDefault="00F56EC2" w:rsidP="00135D51">
      <w:pPr>
        <w:shd w:val="clear" w:color="auto" w:fill="75E5FB"/>
        <w:spacing w:after="100" w:afterAutospacing="1" w:line="276" w:lineRule="auto"/>
        <w:rPr>
          <w:rFonts w:eastAsia="SimSun" w:cs="Arial"/>
          <w:i/>
          <w:kern w:val="3"/>
          <w:lang w:val="sr-Latn-RS" w:eastAsia="zh-CN" w:bidi="hi-IN"/>
        </w:rPr>
      </w:pPr>
      <w:r w:rsidRPr="00F56EC2">
        <w:rPr>
          <w:rFonts w:eastAsia="SimSun" w:cs="Arial"/>
          <w:i/>
          <w:kern w:val="3"/>
          <w:lang w:val="sr-Latn-RS" w:eastAsia="zh-CN" w:bidi="hi-IN"/>
        </w:rPr>
        <w:lastRenderedPageBreak/>
        <w:t>Nije utvrđena diskriminacija radnika romske nacionalne pripadnosti i islamske veroispovesti u javnom komunalnom preduzeću</w:t>
      </w:r>
    </w:p>
    <w:p w:rsidR="00F56EC2" w:rsidRPr="00F56EC2"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Pritužba je podneta u ime radnika jednog javnog preduzeća zbog okolnosti da s njim od 2009. godine nije zaključen ugovor o radu, već se njegov angažman zasniva na nekom od ugovora van radnog odnosa. Razlog zbog kojeg od početka njegovog angažmana do momenta podnošenja pritužbe nije došlo do zaključenja ugovora o radu, prema podnosiocu pritužbe, leži u činjenici da je ovo lice romske nacionalnosti i islamske veroispovesti. </w:t>
      </w:r>
    </w:p>
    <w:p w:rsidR="00F56EC2" w:rsidRPr="00F56EC2"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U izjašnjenju javnog komunalnog preduzeća navedeno je da s ovim licem nije zaključen ugovor o radu, međutim, ta činjenica je, prema navodima iz izjašnjenja, povezana s procesom racionalizacije u ovom preduzeću. Navedeno je da ovo lice nije jedini radnik s takvim statusom, te da je u 2014. godini bilo angažovano 60 izvršilaca na privremenim i povremenim poslovima, a tokom 2015. godine je bilo 82 izvršioca. Takođe, kako se dalje navodi, od trenutka njegovog angažovanja na poslovima automehaničara, samo jedno lice je primljeno u radni odnos, koje je imalo duži staž angažovanja kod poslodavca i ostvarivalo je bolje rezultate rada, što predstavlja jedini kriterijum za prijem u radni odnos. </w:t>
      </w:r>
    </w:p>
    <w:p w:rsidR="00F56EC2" w:rsidRPr="00F56EC2"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Iz saglasnih pisanih iskaza utvrđeno je da svedoci nemaju saznanja o drugačijem tretmanu ovog lica u odnosu na druge radnike u istoj ili sličnoj situaciji. Iz svega navedenog proizlazi da izjašnjenje javnog komunalnog preduzeća nije u suprotnosti sa iskazima svedoka, kao ni sa zakonskim regulativama koje se odnose na optimizaciju broja zaposlenih u javnim preduzećima, a koje su na snazi u relevantnom periodu za odlučivanje o pravima iz radnog odnosa ovog lica. </w:t>
      </w:r>
    </w:p>
    <w:p w:rsidR="00135D51" w:rsidRPr="00135D51" w:rsidRDefault="00F56EC2" w:rsidP="00F56EC2">
      <w:pPr>
        <w:spacing w:after="100" w:afterAutospacing="1" w:line="276" w:lineRule="auto"/>
        <w:rPr>
          <w:rFonts w:eastAsia="SimSun" w:cs="Arial"/>
          <w:color w:val="000000"/>
          <w:kern w:val="3"/>
          <w:lang w:eastAsia="zh-CN" w:bidi="hi-IN"/>
        </w:rPr>
      </w:pPr>
      <w:r w:rsidRPr="00F56EC2">
        <w:rPr>
          <w:rFonts w:eastAsia="SimSun" w:cs="Arial"/>
          <w:color w:val="000000"/>
          <w:kern w:val="3"/>
          <w:lang w:eastAsia="zh-CN" w:bidi="hi-IN"/>
        </w:rPr>
        <w:t xml:space="preserve">S obzirom na to da ne postoje dokazi koji bi osporili navode iz izjašnjenja javnog komunalnog preduzeća u pogledu razloga zbog kojih u ovom slučaju nije zaključen ugovor o radu, ne može se u konkretnom slučaju utvrditi da je razlog zbog kojeg s ovim licem nije zaključen ugovor o radu u vezi s njegovom nacionalnom pripadnošću i veroispovešću. Imajući sve ovo u vidu, poverenica smatra da u konkretnom slučaju nije utvrđeno da ovo lice nije primljeno u radni odnos zbog svoje nacionalne pripadnosti i/ili veroispovesti.  </w:t>
      </w:r>
      <w:r w:rsidR="00135D51" w:rsidRPr="00135D51">
        <w:rPr>
          <w:rFonts w:eastAsia="SimSun" w:cs="Arial"/>
          <w:color w:val="000000"/>
          <w:kern w:val="3"/>
          <w:lang w:eastAsia="zh-CN" w:bidi="hi-IN"/>
        </w:rPr>
        <w:t xml:space="preserve"> </w:t>
      </w:r>
    </w:p>
    <w:p w:rsidR="00135D51" w:rsidRPr="00847DA0" w:rsidRDefault="00847DA0" w:rsidP="0032797E">
      <w:pPr>
        <w:shd w:val="clear" w:color="auto" w:fill="75E5FB"/>
        <w:spacing w:before="360" w:after="100" w:afterAutospacing="1" w:line="276" w:lineRule="auto"/>
        <w:rPr>
          <w:rFonts w:eastAsia="Times New Roman" w:cs="Arial"/>
          <w:i/>
          <w:lang w:val="sr-Latn-RS"/>
        </w:rPr>
      </w:pPr>
      <w:r w:rsidRPr="00847DA0">
        <w:rPr>
          <w:rFonts w:cs="Arial"/>
          <w:i/>
          <w:lang w:val="sr-Latn-RS"/>
        </w:rPr>
        <w:t>Udruženje građana svojim saopštenjem izrazilo je uznemirujuće stavove kojima se vređa dostojanstvo pripadnika hrvatske nacionalnosti</w:t>
      </w:r>
    </w:p>
    <w:p w:rsidR="00847DA0" w:rsidRPr="00847DA0" w:rsidRDefault="00847DA0" w:rsidP="00847DA0">
      <w:pPr>
        <w:spacing w:after="100" w:afterAutospacing="1" w:line="276" w:lineRule="auto"/>
        <w:rPr>
          <w:rFonts w:cs="Arial"/>
        </w:rPr>
      </w:pPr>
      <w:r w:rsidRPr="00847DA0">
        <w:rPr>
          <w:rFonts w:cs="Arial"/>
        </w:rPr>
        <w:t xml:space="preserve">Poverenica za zaštitu ravnopravnosti razmatrala je pritužbu podnetu protiv udruženja građana Ekološki pokret Novog Sada i zastupnika ovog udruženja, a povodom diskriminacije na osnovu nacionalne pripadnosti. Pritužba je podneta zbog Saopštenja za javnost o novom napadu na ovo udruženje i ličnost zastupnika ovog udruženja, objavljenog na internet stranici udruženja i društvenoj mreži fejsbuk. Prema navodima iz pritužbe, saopštenje predstavlja reakciju udruženja na presudu Višeg suda u Novom Sadu kojom je utvrđeno da su udruženje građana i zastupnik ovog udruženja diskriminisali podnosioca pritužbe po osnovu njegove pripadnosti hrvatskoj nacionalnoj manjini. U pritužbi je dalje navedeno da se podnosilac pritužbe u saopštenju naziva „trovačem“, „okupatorom“, „bahatim hrvatskim privrednikom“, licem koje je odgovorno za nastanak malignih oboljenja kod građana, vlasnikom „trovačkog pogona“, licem koje „truje i ubija građane Novog Sada“, te da se sve ove kvalifikacije dovode u vezu s njegovom pripadnošću hrvatskoj nacionalnoj manjini. Iako mu je zahtev za izjašnjenje na navode iz pritužbe uredno dostavljen, zastupnik udruženja građana se u </w:t>
      </w:r>
      <w:r w:rsidRPr="00847DA0">
        <w:rPr>
          <w:rFonts w:cs="Arial"/>
        </w:rPr>
        <w:lastRenderedPageBreak/>
        <w:t>ostavljenom roku nije izjasnio, pa su poverenici za zaštitu ravnopravnosti bili dostupni navodi iz pritužbe i dostavljeni dokazi.</w:t>
      </w:r>
    </w:p>
    <w:p w:rsidR="00847DA0" w:rsidRPr="00847DA0" w:rsidRDefault="00847DA0" w:rsidP="00847DA0">
      <w:pPr>
        <w:spacing w:after="100" w:afterAutospacing="1" w:line="276" w:lineRule="auto"/>
        <w:rPr>
          <w:rFonts w:cs="Arial"/>
        </w:rPr>
      </w:pPr>
      <w:r w:rsidRPr="00847DA0">
        <w:rPr>
          <w:rFonts w:cs="Arial"/>
        </w:rPr>
        <w:t>U toku postupka je utvrđeno da se stavovi izneti u saopštenju za javnost udruženja građana odnose na podnosioca pritužbe, iako nije naveden imenom i prezimenom, s obzirom da se iz sadržine saopštenja za javnost nesumnjivo može utvrditi da je u pitanju ovo lice.</w:t>
      </w:r>
    </w:p>
    <w:p w:rsidR="00847DA0" w:rsidRDefault="00847DA0" w:rsidP="00847DA0">
      <w:pPr>
        <w:spacing w:after="100" w:afterAutospacing="1" w:line="276" w:lineRule="auto"/>
        <w:rPr>
          <w:rFonts w:cs="Arial"/>
          <w:lang w:val="sr-Latn-RS"/>
        </w:rPr>
      </w:pPr>
      <w:r w:rsidRPr="00847DA0">
        <w:rPr>
          <w:rFonts w:cs="Arial"/>
        </w:rPr>
        <w:t>Poverenica za zaštitu ravnopravnosti dala je mišljenje da su udruženje građana Ekološki pokret Novog Sada i njegov zastupnik saopštenjem za javnost u kojem su izražene ideje i stavovi koji su uznemirujući i ponižavajući i kojima se vređa dostojanstvo podnosioca pritužbe na osnovu nacionalne pripadnosti, prekršili odredbe Zakona o zabrani diskriminacije. Zbog toga je zastupniku udruženja preporučeno da na internet stranici ovog udruženja objavi pisano izvinjenje podnosiocu pritužbe povodom stavova iznetih u tekstu saopštenja za javnost, u roku od 15 dana od dana prijema mišljenja s preporukom, kao i da ubuduće ne daje saopštenja i izjave kojima se vređa dostojanstvo pripadnika i pripadnica hrvatske ili bilo koje druge nacionalne manjine. Po ovoj preporuci nije postupljeno.</w:t>
      </w:r>
    </w:p>
    <w:p w:rsidR="00135D51" w:rsidRPr="00135D51" w:rsidRDefault="002B7B39" w:rsidP="00135D51">
      <w:pPr>
        <w:shd w:val="clear" w:color="auto" w:fill="75E5FB"/>
        <w:spacing w:after="100" w:afterAutospacing="1" w:line="276" w:lineRule="auto"/>
        <w:rPr>
          <w:rFonts w:cs="Arial"/>
          <w:color w:val="17365D"/>
        </w:rPr>
      </w:pPr>
      <w:r w:rsidRPr="002B7B39">
        <w:rPr>
          <w:rStyle w:val="Emphasis"/>
          <w:rFonts w:cs="Arial"/>
          <w:lang w:val="sr-Latn-RS"/>
        </w:rPr>
        <w:t xml:space="preserve">Dnevni list izvršio akt diskriminacije isticanjem nacionalne pripadnosti osumnjičene </w:t>
      </w:r>
      <w:r w:rsidR="00135D51" w:rsidRPr="00135D51">
        <w:rPr>
          <w:rStyle w:val="Emphasis"/>
          <w:rFonts w:cs="Arial"/>
        </w:rPr>
        <w:t xml:space="preserve"> </w:t>
      </w:r>
    </w:p>
    <w:p w:rsidR="002B7B39" w:rsidRPr="002B7B39" w:rsidRDefault="002B7B39" w:rsidP="0011214A">
      <w:pPr>
        <w:pStyle w:val="NoSpacing"/>
        <w:spacing w:line="276" w:lineRule="auto"/>
        <w:jc w:val="both"/>
        <w:rPr>
          <w:rStyle w:val="Emphasis"/>
          <w:rFonts w:ascii="Arial" w:hAnsi="Arial" w:cs="Arial"/>
          <w:i w:val="0"/>
          <w:lang w:val="sr-Cyrl-CS"/>
        </w:rPr>
      </w:pPr>
      <w:r w:rsidRPr="002B7B39">
        <w:rPr>
          <w:rStyle w:val="Emphasis"/>
          <w:rFonts w:ascii="Arial" w:hAnsi="Arial" w:cs="Arial"/>
          <w:i w:val="0"/>
          <w:lang w:val="sr-Cyrl-CS"/>
        </w:rPr>
        <w:t xml:space="preserve">Mišljenje je doneto u postupku po pritužbi protiv jednog dnevnog lista, povodom diskriminacije na osnovu nacionalne pripadnosti i zdravstvenog stanja u tekstu objavljenom u njegovom elektronskom izdanju. U pritužbi je navedeno da je u crnoj hronici ovog lista objavljen tekst sa senzacionalističkim prizvukom, u kojem se pominje da je protagonistkinja priče Romkinja, boja kože dece koja su navedena kao žrtve krivičnog dela – „deca bele puti, tamne puti“, te da nema potrebe naglašavati nacionalnu pripadnost osobe koja je pod istragom, s obzirom na to da pripadnost nacionalnoj ili etničkoj grupi nije od važnosti za događaj o kojem se izveštava. </w:t>
      </w:r>
    </w:p>
    <w:p w:rsidR="00135D51" w:rsidRDefault="002B7B39" w:rsidP="0011214A">
      <w:pPr>
        <w:pStyle w:val="NoSpacing"/>
        <w:spacing w:line="276" w:lineRule="auto"/>
        <w:jc w:val="both"/>
        <w:rPr>
          <w:rStyle w:val="Emphasis"/>
          <w:rFonts w:ascii="Arial" w:hAnsi="Arial" w:cs="Arial"/>
          <w:i w:val="0"/>
          <w:lang w:val="sr-Latn-RS"/>
        </w:rPr>
      </w:pPr>
      <w:r w:rsidRPr="002B7B39">
        <w:rPr>
          <w:rStyle w:val="Emphasis"/>
          <w:rFonts w:ascii="Arial" w:hAnsi="Arial" w:cs="Arial"/>
          <w:i w:val="0"/>
          <w:lang w:val="sr-Cyrl-CS"/>
        </w:rPr>
        <w:t>U toku postupka utvrđeno je da nacionalna pripadnost osumnjičene, u konkretnom slučaju, nije ni u kakvoj vezi s počinjenim delom, niti objavljivanje ove informacije doprinosi boljem razumevanju događaja, zbog čega nije bilo nikakvog razloga da se nacionalna pripadnost navodi. Isticanjem nacionalne pripadnosti osumnjičene pažnja se usmerava na pripadnike nacionalne manjine, oni se etiketiraju kao osobe sklone vršenju krivičnih dela, što za posledicu ima učvršćivanje stereotipa i diskriminatornog odnosa prema Romima. Poverenica za zaštitu ravnopravnosti dala je mišljenje da su isticanjem nacionalne pripadnosti osumnjičene u tekstu koji je objavljen u elektronskom izdanju ovog dnevnog lista iznete ideje i stavovi koji su uznemirujući i ponižavajući i kojima se vređa dostojanstvo pripadnika romske nacionalne manjine, čime su prekršene odredbe Zakona o zabrani diskriminacije. Zbog toga je dnevnom listu preporučeno da ubuduće ne objavljuje, odnosno ne preuzima tekstove kojima se podržavaju predrasude prema nacionalnim manjinama, te da svojim tekstovima doprinosi izmeni obrazaca, običaja i prakse koji uslovljavaju stereotipe, predrasude i diskriminaciju u odnosu na romsku nacionalnu manjinu, kao i da ubuduće vodi računa da u okviru svojih redovnih poslova i aktivnosti ne krši zakonske propise o zabrani diskriminacije. Po ovoj preporuci je postupljeno.</w:t>
      </w:r>
    </w:p>
    <w:p w:rsidR="002B7B39" w:rsidRDefault="002B7B39" w:rsidP="002B7B39">
      <w:pPr>
        <w:pStyle w:val="NoSpacing"/>
        <w:rPr>
          <w:lang w:val="sr-Latn-RS"/>
        </w:rPr>
      </w:pPr>
    </w:p>
    <w:p w:rsidR="0011214A" w:rsidRPr="002B7B39" w:rsidRDefault="0011214A" w:rsidP="002B7B39">
      <w:pPr>
        <w:pStyle w:val="NoSpacing"/>
        <w:rPr>
          <w:lang w:val="sr-Latn-RS"/>
        </w:rPr>
      </w:pPr>
    </w:p>
    <w:p w:rsidR="00135D51" w:rsidRPr="00135D51" w:rsidRDefault="002B7B39" w:rsidP="00D93153">
      <w:pPr>
        <w:pStyle w:val="Heading3"/>
        <w:numPr>
          <w:ilvl w:val="0"/>
          <w:numId w:val="16"/>
        </w:numPr>
      </w:pPr>
      <w:bookmarkStart w:id="83" w:name="_Toc477248636"/>
      <w:bookmarkStart w:id="84" w:name="_Toc477251761"/>
      <w:r>
        <w:rPr>
          <w:lang w:val="sr-Latn-RS"/>
        </w:rPr>
        <w:lastRenderedPageBreak/>
        <w:t>Saopštenja</w:t>
      </w:r>
      <w:bookmarkEnd w:id="83"/>
      <w:bookmarkEnd w:id="84"/>
    </w:p>
    <w:p w:rsidR="00135D51" w:rsidRPr="00135D51" w:rsidRDefault="000F0584" w:rsidP="0032797E">
      <w:pPr>
        <w:shd w:val="clear" w:color="auto" w:fill="75E5FB"/>
        <w:spacing w:after="100" w:afterAutospacing="1"/>
        <w:rPr>
          <w:rStyle w:val="Emphasis"/>
          <w:rFonts w:cs="Arial"/>
        </w:rPr>
      </w:pPr>
      <w:r>
        <w:rPr>
          <w:rStyle w:val="Emphasis"/>
          <w:rFonts w:cs="Arial"/>
          <w:lang w:val="sr-Latn-RS"/>
        </w:rPr>
        <w:t xml:space="preserve">Saopštenje povodom Svetskog dana Roma, </w:t>
      </w:r>
      <w:r w:rsidR="00135D51" w:rsidRPr="00135D51">
        <w:rPr>
          <w:rStyle w:val="Emphasis"/>
          <w:rFonts w:cs="Arial"/>
        </w:rPr>
        <w:t xml:space="preserve">8. </w:t>
      </w:r>
      <w:r>
        <w:rPr>
          <w:rStyle w:val="Emphasis"/>
          <w:rFonts w:cs="Arial"/>
          <w:lang w:val="sr-Latn-RS"/>
        </w:rPr>
        <w:t>april</w:t>
      </w:r>
      <w:r w:rsidR="00135D51" w:rsidRPr="00135D51">
        <w:rPr>
          <w:rStyle w:val="Emphasis"/>
          <w:rFonts w:cs="Arial"/>
        </w:rPr>
        <w:t xml:space="preserve"> 2016.</w:t>
      </w:r>
    </w:p>
    <w:p w:rsidR="000F0584" w:rsidRPr="000F0584" w:rsidRDefault="000F0584" w:rsidP="00135D51">
      <w:pPr>
        <w:spacing w:after="100" w:afterAutospacing="1" w:line="276" w:lineRule="auto"/>
        <w:rPr>
          <w:rFonts w:cs="Arial"/>
          <w:lang w:val="sr-Latn-RS"/>
        </w:rPr>
      </w:pPr>
      <w:r w:rsidRPr="000F0584">
        <w:rPr>
          <w:rFonts w:cs="Arial"/>
        </w:rPr>
        <w:t>Povodom 8. aprila, Svetskog dana Roma, poverenica za zaštitu ravnopravnosti izrazila je zabrinutost zbog činjenice da od ukupnog broja pritužbi zbog diskriminacije na osnovu nacionalne pripadnosti, najviše njih se odnosi na romsku nacionalnu manjinu – gotovo svaka druga, i što je alarmantno, ovakva statistika ponavlja se iz godine u godinu. Poverenica je istakla da je posebno zabrinjavajući odnos pojedinih predstavnika organa javne vlasti prema Romima i Romkinjama i da su česte pritužbe gde diskriminišu upravo oni na čiju podršku treba da računaju. Zato je neophodna promena odnosa društva i preduzimanje adekvatnog niza mera kao odgovor države, da bi se romskoj nacionalnoj manjini obezbedio ravnopravan i dostojanstven život. Svetski dan Roma ne sme da ima samo simboličan značaj, nego je dobra prilika da se još jednom upozori na njihov izuzetno težak društveni i ekonomski položaj.</w:t>
      </w:r>
    </w:p>
    <w:p w:rsidR="00135D51" w:rsidRPr="000F0584" w:rsidRDefault="000F0584" w:rsidP="0032797E">
      <w:pPr>
        <w:shd w:val="clear" w:color="auto" w:fill="75E5FB"/>
        <w:spacing w:after="100" w:afterAutospacing="1"/>
        <w:rPr>
          <w:rStyle w:val="Emphasis"/>
          <w:rFonts w:cs="Arial"/>
          <w:lang w:val="sr-Latn-RS"/>
        </w:rPr>
      </w:pPr>
      <w:r w:rsidRPr="000F0584">
        <w:rPr>
          <w:rStyle w:val="Emphasis"/>
          <w:rFonts w:cs="Arial"/>
          <w:lang w:val="sr-Latn-RS"/>
        </w:rPr>
        <w:t>Saopštenje povodom Međunarodnog dana sećanja na Holokaust, 27. januar 2016.</w:t>
      </w:r>
    </w:p>
    <w:p w:rsidR="00135D51" w:rsidRDefault="000F0584" w:rsidP="00135D51">
      <w:pPr>
        <w:tabs>
          <w:tab w:val="left" w:pos="709"/>
          <w:tab w:val="center" w:pos="1134"/>
        </w:tabs>
        <w:spacing w:line="276" w:lineRule="auto"/>
        <w:rPr>
          <w:rFonts w:cs="Arial"/>
          <w:lang w:val="sr-Latn-RS"/>
        </w:rPr>
      </w:pPr>
      <w:r w:rsidRPr="000F0584">
        <w:rPr>
          <w:rFonts w:cs="Arial"/>
        </w:rPr>
        <w:t>Međunarodni dan sećanja na Holokaust mora biti opomena za sve o tome koliko je diskriminacija opasna i do kakvih katastrofalnih posledica može dovesti. Poštovanje ljudskih prava i različitosti, zaštita ravnopravnosti i tolerancija civilizacijski su koraci koji svi moraju da čine s ciljem sprečavanja svih vidova diskriminacije i mržnje prema drugima i drugačijima. Ključnu ulogu u tome mora da ima obrazovanje i obrazovni sistem koji bi trebalo da gaje kulturu sećanja na sve žrtve Holokausta i nedvosmislenu osudu bilo kakvog rasizma i antisemitizma, navela je poverenica za zaštitu ravnopravnosti povodom obeležavanja Međunarodnog dana sećanja na Holokaust.</w:t>
      </w:r>
    </w:p>
    <w:p w:rsidR="000F0584" w:rsidRPr="000F0584" w:rsidRDefault="000F0584" w:rsidP="00135D51">
      <w:pPr>
        <w:tabs>
          <w:tab w:val="left" w:pos="709"/>
          <w:tab w:val="center" w:pos="1134"/>
        </w:tabs>
        <w:spacing w:line="276" w:lineRule="auto"/>
        <w:rPr>
          <w:rFonts w:cs="Arial"/>
          <w:lang w:val="sr-Latn-RS"/>
        </w:rPr>
      </w:pPr>
    </w:p>
    <w:p w:rsidR="00135D51" w:rsidRPr="00135D51" w:rsidRDefault="003E0C9E" w:rsidP="00D93153">
      <w:pPr>
        <w:pStyle w:val="Heading3"/>
        <w:numPr>
          <w:ilvl w:val="2"/>
          <w:numId w:val="13"/>
        </w:numPr>
        <w:ind w:left="2552" w:hanging="992"/>
      </w:pPr>
      <w:bookmarkStart w:id="85" w:name="_Toc477248637"/>
      <w:bookmarkStart w:id="86" w:name="_Toc477251762"/>
      <w:r>
        <w:rPr>
          <w:lang w:val="sr-Latn-RS"/>
        </w:rPr>
        <w:t>Diskriminacija na osnovu zdravstvenog stanja</w:t>
      </w:r>
      <w:bookmarkEnd w:id="85"/>
      <w:bookmarkEnd w:id="86"/>
      <w:r w:rsidR="00135D51" w:rsidRPr="00135D51">
        <w:t xml:space="preserve"> </w:t>
      </w: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Neopravdano pravljenje razlike među ljudima s obzirom na njihovo fizičko i mentalno zdravstveno stanje i dalje je prisutno. Na potrebu za razvijanjem programa smanjenja stigme i diskriminacije u ovoj oblasti upućuju i izveštaji EU, međunarodnih, nevladinih i državnih tela.</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 xml:space="preserve">Stručne analize aktuelnog sistema zdravstvene zaštite u oblasti psihijatrije u Srbiji pokazale su da sistem nije adekvatan, zasniva se na zastarelim parametrima, te ne pruža odgovor na potrebe kako obolelih, tako i zajednice. Ova situacija neminovno vodi ka degradaciji kapaciteta ličnosti i porodice, kao i društva u celini. Zastareli model sistema za zaštitu mentalnog zdravlja već napuštaju države u razvoju kako bi dostigle modele koje su ekonomski i institucionalno napredne države već razvile. Novi model zaštite mentalnog zdravlja, koji promovišu Svetska zdravstvena organizacija, institucije Evropske unije i relevantne stručne organizacije, usmeren je ka potrebama pacijenata, uključujući i njihovu psihosocijalnu rehabilitaciju. Sagledavanjem funkcionisanja novog pristupa zaštiti mentalnog zdravlja u naprednim državama i potencijala kojima raspolaže sistem zdravstvene zaštite u Srbiji, može se zaključiti da nema razloga za odlaganjem sistematske i efikasne reforme psihijatrije kod nas. Krajnji ishod reforme bila bi bolja briga za mentalno obolele, poštovanje i </w:t>
      </w:r>
      <w:r w:rsidRPr="00A654D2">
        <w:rPr>
          <w:rFonts w:ascii="Arial" w:hAnsi="Arial" w:cs="Arial"/>
          <w:lang w:val="sr-Cyrl-CS"/>
        </w:rPr>
        <w:lastRenderedPageBreak/>
        <w:t>zaštita njihovih prava, kao i pomoć porodicama koje su pogođene bolešću, što bi vodilo boljem i humanijem društvu u celini</w:t>
      </w:r>
      <w:r w:rsidR="003C4211">
        <w:rPr>
          <w:rStyle w:val="FootnoteReference"/>
          <w:rFonts w:ascii="Arial" w:hAnsi="Arial" w:cs="Arial"/>
          <w:lang w:val="sr-Cyrl-CS"/>
        </w:rPr>
        <w:footnoteReference w:id="228"/>
      </w:r>
      <w:r w:rsidRPr="00A654D2">
        <w:rPr>
          <w:rFonts w:ascii="Arial" w:hAnsi="Arial" w:cs="Arial"/>
          <w:lang w:val="sr-Cyrl-CS"/>
        </w:rPr>
        <w:t xml:space="preserve">. </w:t>
      </w:r>
    </w:p>
    <w:p w:rsidR="00A654D2" w:rsidRDefault="00A654D2" w:rsidP="00A654D2">
      <w:pPr>
        <w:pStyle w:val="NoSpacing"/>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Publikacija Društveni i pravni položaj osoba sa retkim bolestima i njihovih porodica u Srbiji navodi niz prepreka s kojima se ove osobe suočavaju pri pokušajima da ostvare osnovna prava u oblasti zdravstva u našoj zemlji</w:t>
      </w:r>
      <w:r w:rsidR="003C4211">
        <w:rPr>
          <w:rStyle w:val="FootnoteReference"/>
          <w:rFonts w:ascii="Arial" w:hAnsi="Arial" w:cs="Arial"/>
          <w:lang w:val="sr-Cyrl-CS"/>
        </w:rPr>
        <w:footnoteReference w:id="229"/>
      </w:r>
      <w:r w:rsidRPr="00A654D2">
        <w:rPr>
          <w:rFonts w:ascii="Arial" w:hAnsi="Arial" w:cs="Arial"/>
          <w:lang w:val="sr-Cyrl-CS"/>
        </w:rPr>
        <w:t>.  Prema multidisciplinarnim analizama problema s kojima se suočavaju oboleli od retkih bolesti i njihove porodice, ove osobe često ne uspevaju da dobiju odgovarajuću dijagnozu, pa prema tome ni odgovarajući tretman bolesti, niti medikamentne terapije ili ortopedska pomagala</w:t>
      </w:r>
      <w:r w:rsidR="003C4211">
        <w:rPr>
          <w:rStyle w:val="FootnoteReference"/>
          <w:rFonts w:ascii="Arial" w:hAnsi="Arial" w:cs="Arial"/>
          <w:lang w:val="sr-Cyrl-CS"/>
        </w:rPr>
        <w:footnoteReference w:id="230"/>
      </w:r>
      <w:r w:rsidRPr="00A654D2">
        <w:rPr>
          <w:rFonts w:ascii="Arial" w:hAnsi="Arial" w:cs="Arial"/>
          <w:lang w:val="sr-Cyrl-CS"/>
        </w:rPr>
        <w:t>.  Problemi su prouzrokovani nedovoljno razvijenom zakonskom regulativom, nedostacima u sistemu organizovanja zdravstvene zaštite u ovoj sferi, otežanim stručnim osposobljavanjem lekarskog kadra, nedostatkom finansijskih sredstava i drugim faktorima. Kao posledica ove situacije oboleli od retkih bolesti se, pored nedostatka odgovarajuće lekarske nege, suočavaju i s nizom društvenih i institucionalnih izazova pri pokušaju ostvarivanja prava u oblasti socijalne zaštite, obrazovanja, zapošljavanja i dr</w:t>
      </w:r>
      <w:r w:rsidR="006F0E29">
        <w:rPr>
          <w:rStyle w:val="FootnoteReference"/>
          <w:rFonts w:ascii="Arial" w:hAnsi="Arial" w:cs="Arial"/>
          <w:lang w:val="sr-Cyrl-CS"/>
        </w:rPr>
        <w:footnoteReference w:id="231"/>
      </w:r>
      <w:r w:rsidRPr="00A654D2">
        <w:rPr>
          <w:rFonts w:ascii="Arial" w:hAnsi="Arial" w:cs="Arial"/>
          <w:lang w:val="sr-Cyrl-CS"/>
        </w:rPr>
        <w:t xml:space="preserve">.  Zbog strukturalnih nedostatka u zdravstvenom sistemu ova grupa pacijenata ostaje nevidljiva, a ta nevidljivost se dalje proteže na sve strukture društva, te je život i njima i njihovim porodicama veoma otežan.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Zbog ozbiljnih vidova zanemarivanja, diskriminacije, nevidljivosti, kao i ozbiljnih posledica ovih praksi, grupu obolelih od retkih bolesti potrebno je u tretmanu izdvojiti od ostatka populacije, posvetiti im više pažnje u gotovo svim sferama života, dobro se upoznati s njihovim potrebama i izazovima s kojima se suočavaju, te preduzeti sve potrebne i efikasne mere s ciljem zaštite života i zdravlja, dostojanstva i socijalne sigurnosti, kao i opšte ravnopravnosti s drugim grupama pacijenata. Za to nisu dovoljne postojeće mere i pristupi, i posebno je važno stvoriti uslove kako bi se sprečila diskriminacija ove izrazito ranjive grupe</w:t>
      </w:r>
      <w:r w:rsidR="006F0E29">
        <w:rPr>
          <w:rStyle w:val="FootnoteReference"/>
          <w:rFonts w:ascii="Arial" w:hAnsi="Arial" w:cs="Arial"/>
          <w:lang w:val="sr-Cyrl-CS"/>
        </w:rPr>
        <w:footnoteReference w:id="232"/>
      </w:r>
      <w:r w:rsidRPr="00A654D2">
        <w:rPr>
          <w:rFonts w:ascii="Arial" w:hAnsi="Arial" w:cs="Arial"/>
          <w:lang w:val="sr-Cyrl-CS"/>
        </w:rPr>
        <w:t xml:space="preserve">. </w:t>
      </w:r>
    </w:p>
    <w:p w:rsidR="006F0E29" w:rsidRDefault="006F0E29"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U prethodnih nekoliko decenija diskriminaciji lica s obzirom na njihovo zdravstveno stanje naročito je doprinela epidemija HIV infekcije, koja je otvorila brojna osetljiva pitanja usklađivanja potrebe za efikasnim merama suzbijanja bolesti i zaštite javnog zdravlja, te jednako važne potrebe poštovanja ljudskih prava, navodi se u Strategiji prevencije i zaštite od diskriminacije</w:t>
      </w:r>
      <w:r w:rsidR="00D77464">
        <w:rPr>
          <w:rStyle w:val="FootnoteReference"/>
          <w:rFonts w:ascii="Arial" w:hAnsi="Arial" w:cs="Arial"/>
          <w:lang w:val="sr-Cyrl-CS"/>
        </w:rPr>
        <w:footnoteReference w:id="233"/>
      </w:r>
      <w:r w:rsidRPr="00A654D2">
        <w:rPr>
          <w:rFonts w:ascii="Arial" w:hAnsi="Arial" w:cs="Arial"/>
          <w:lang w:val="sr-Cyrl-CS"/>
        </w:rPr>
        <w:t xml:space="preserve">.  I poslednja istraživanja Poverenika pokazuju da kod građana i građanki Srbije i dalje postoji velika socijalna distanca prema osobama koje žive sa HIV-om. Primera </w:t>
      </w:r>
      <w:r w:rsidRPr="00A654D2">
        <w:rPr>
          <w:rFonts w:ascii="Arial" w:hAnsi="Arial" w:cs="Arial"/>
          <w:lang w:val="sr-Cyrl-CS"/>
        </w:rPr>
        <w:lastRenderedPageBreak/>
        <w:t>radi, 61% ispitanih osoba izjavilo je da se protivi da one lično ili njihovi potomci budu u braku sa osobom obolelom od HIV/AIDS-a</w:t>
      </w:r>
      <w:r w:rsidR="00D77464">
        <w:rPr>
          <w:rStyle w:val="FootnoteReference"/>
          <w:rFonts w:ascii="Arial" w:hAnsi="Arial" w:cs="Arial"/>
          <w:lang w:val="sr-Cyrl-CS"/>
        </w:rPr>
        <w:footnoteReference w:id="234"/>
      </w:r>
      <w:r w:rsidRPr="00A654D2">
        <w:rPr>
          <w:rFonts w:ascii="Arial" w:hAnsi="Arial" w:cs="Arial"/>
          <w:lang w:val="sr-Cyrl-CS"/>
        </w:rPr>
        <w:t xml:space="preserve">. </w:t>
      </w:r>
    </w:p>
    <w:p w:rsidR="00A654D2" w:rsidRDefault="00A654D2" w:rsidP="00A654D2">
      <w:pPr>
        <w:pStyle w:val="NoSpacing"/>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Izveštaj Dobrotvorne fondacije Srpske pravoslavne crkve „Čovekoljublje“ na temu Monitoring ljudskih prava osoba koje žive sa HIV/sidom u Republici Srbiji, objavljen u aprilu 2016. godine, prepoznaje kršenje prava osoba koje žive sa HIV-om zbog njihovog pozitivnog HIV statusa</w:t>
      </w:r>
      <w:r w:rsidR="00D77464">
        <w:rPr>
          <w:rStyle w:val="FootnoteReference"/>
          <w:rFonts w:ascii="Arial" w:hAnsi="Arial" w:cs="Arial"/>
          <w:lang w:val="sr-Cyrl-CS"/>
        </w:rPr>
        <w:footnoteReference w:id="235"/>
      </w:r>
      <w:r w:rsidRPr="00A654D2">
        <w:rPr>
          <w:rFonts w:ascii="Arial" w:hAnsi="Arial" w:cs="Arial"/>
          <w:lang w:val="sr-Cyrl-CS"/>
        </w:rPr>
        <w:t>.  Kako se u izveštaju navodi, stigma i diskriminacija mogu da ometaju njihov pristup lečenju, ali i da utiču na njihovo zapošljavanje, obrazovanje i druga prava. HIV stigma i diskriminacija obeshrabruju osobe koje žive sa HIV/sidom u pristupu zdravstvenim i socijalnim uslugama</w:t>
      </w:r>
      <w:r w:rsidR="00D77464">
        <w:rPr>
          <w:rStyle w:val="FootnoteReference"/>
          <w:rFonts w:ascii="Arial" w:hAnsi="Arial" w:cs="Arial"/>
          <w:lang w:val="sr-Cyrl-CS"/>
        </w:rPr>
        <w:footnoteReference w:id="236"/>
      </w:r>
      <w:r w:rsidRPr="00A654D2">
        <w:rPr>
          <w:rFonts w:ascii="Arial" w:hAnsi="Arial" w:cs="Arial"/>
          <w:lang w:val="sr-Cyrl-CS"/>
        </w:rPr>
        <w:t xml:space="preserve">.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Najnovija zakonska rešenja iz 2016. godine značajna za oblast HIV-a, Zakon o zaštiti stanovništva od zaraznih bolesti i Zakon o javnom zdravlju, prema oceni Dobrotvorne fondacije nisu donela očekivane promene koje su se odnosile na olakšavanje prevencije HIV-a i poštovanje ljudskih prava osoba koje žive sa HIV/sidom, uprkos značajnom učešću PLHIV (osobe koje žive sa HIV-om) organizacija u procesu javne rasprave</w:t>
      </w:r>
      <w:r w:rsidR="00D77464">
        <w:rPr>
          <w:rStyle w:val="FootnoteReference"/>
          <w:rFonts w:ascii="Arial" w:hAnsi="Arial" w:cs="Arial"/>
          <w:lang w:val="sr-Cyrl-CS"/>
        </w:rPr>
        <w:footnoteReference w:id="237"/>
      </w:r>
      <w:r w:rsidRPr="00A654D2">
        <w:rPr>
          <w:rFonts w:ascii="Arial" w:hAnsi="Arial" w:cs="Arial"/>
          <w:lang w:val="sr-Cyrl-CS"/>
        </w:rPr>
        <w:t xml:space="preserve">. </w:t>
      </w:r>
    </w:p>
    <w:p w:rsidR="00D77464" w:rsidRDefault="00D77464"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U Izveštaju Evropske komisije o napretku Republike Srbije u procesu evropskih integracija za 2016. godinu</w:t>
      </w:r>
      <w:r w:rsidR="00D77464">
        <w:rPr>
          <w:rStyle w:val="FootnoteReference"/>
          <w:rFonts w:ascii="Arial" w:hAnsi="Arial" w:cs="Arial"/>
          <w:lang w:val="sr-Cyrl-CS"/>
        </w:rPr>
        <w:footnoteReference w:id="238"/>
      </w:r>
      <w:r w:rsidRPr="00A654D2">
        <w:rPr>
          <w:rFonts w:ascii="Arial" w:hAnsi="Arial" w:cs="Arial"/>
          <w:lang w:val="sr-Cyrl-CS"/>
        </w:rPr>
        <w:t xml:space="preserve">  navodi se da je potrebno uložiti dalje kontinuirane napore kako bi se poboljšao položaj lica koja pripadaju najviše diskriminisanim grupama, uključujući i osobe koje žive sa HIV/AIDS-om</w:t>
      </w:r>
      <w:r w:rsidR="00D77464">
        <w:rPr>
          <w:rStyle w:val="FootnoteReference"/>
          <w:rFonts w:ascii="Arial" w:hAnsi="Arial" w:cs="Arial"/>
          <w:lang w:val="sr-Cyrl-CS"/>
        </w:rPr>
        <w:footnoteReference w:id="239"/>
      </w:r>
      <w:r w:rsidRPr="00A654D2">
        <w:rPr>
          <w:rFonts w:ascii="Arial" w:hAnsi="Arial" w:cs="Arial"/>
          <w:lang w:val="sr-Cyrl-CS"/>
        </w:rPr>
        <w:t xml:space="preserve">.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 xml:space="preserve">U novembru 2016. godine u Narodnoj skupštini Republike Srbije održan je okrugli sto na temu „Budućnost Srbije u borbi protiv AIDS-a“. Okrugli sto je okupio oko 60 predstavnika najviših državnih organa, institucija i nezavisnih tela Srbije, zatim međunarodnih organizacija, kao i organizacija civilnog društva i osoba koje žive sa HIV/AIDS-om, a organizovan je od strane Unije organizacija Srbije koje se bave zaštitom osoba koje žive sa HIV/AIDS-om. Učesnici okruglog stola bili su saglasni da je HIV danas sve više opštedruštveni problem, koji zahteva zajedničko ozbiljnije angažovanje državnih institucija i organizacija civilnog društva na usaglašenim aktivnostima prevencije HIV-a, rad na povećanju kvaliteta lečenja, zaštite i </w:t>
      </w:r>
      <w:r w:rsidRPr="00A654D2">
        <w:rPr>
          <w:rFonts w:ascii="Arial" w:hAnsi="Arial" w:cs="Arial"/>
          <w:lang w:val="sr-Cyrl-CS"/>
        </w:rPr>
        <w:lastRenderedPageBreak/>
        <w:t>pružanja pomoći, kao i smanjenje stigme i diskriminacije prema osobama koje žive sa HIV/AIDS-om</w:t>
      </w:r>
      <w:r w:rsidR="00CE4C1F">
        <w:rPr>
          <w:rStyle w:val="FootnoteReference"/>
          <w:rFonts w:ascii="Arial" w:hAnsi="Arial" w:cs="Arial"/>
          <w:lang w:val="sr-Cyrl-CS"/>
        </w:rPr>
        <w:footnoteReference w:id="240"/>
      </w:r>
      <w:r w:rsidRPr="00A654D2">
        <w:rPr>
          <w:rFonts w:ascii="Arial" w:hAnsi="Arial" w:cs="Arial"/>
          <w:lang w:val="sr-Cyrl-CS"/>
        </w:rPr>
        <w:t xml:space="preserve">.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 xml:space="preserve">Praksa Poverenika za zaštitu ravnopravnosti pokazuje da osobe koje žive sa HIV-om i dalje imaju poteškoća u pogledu dostupnosti zdravstvene zaštite u Srbiji. U 2016. godini sprovedeno je situaciono testiranje u 64 ustanove zdravstvene zaštite  u okviru projekta „Monitoring ljudskih prava osoba koje žive sa HIV/sidom“, koji sprovode „Čovekoljublje“ i Centar za orijentaciju društva. Ovu projektnu aktivnost izvelo je „Čovekoljublje“ uz podršku članova osam PLHIV asocijacija (AID+, AS, Žena+ i USOP iz Beograda, Nova+ iz Pančeva, Crvena linija iz Novog Sada, Sunce iz Niša i STAV+ iz Subotice) kako bi se neposredno proverilo da li zaposleni u zdravstvenim ustanovama poštuju pravila o zabrani diskriminacije prilikom pružanja zdravstvenih usluga osobama koje žive sa HIV/AIDS-om.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 xml:space="preserve">Pored toga, u 2016. godini u oblasti zdravstvene zaštite Povereniku je podnet veći broj pritužbi nego što je to bio slučaj ranijih godina. Neke od pritužbi podnete su zbog diskriminacije po jednom ili više osnova diskriminacije (pol, starosno doba, zdravstveno stanje i sl.), o čemu će više biti reči u narednom delu ovog izveštaja.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 xml:space="preserve">U 2016. godini podneto je 55 pritužbi na osnovu zdravstvenog stanja, što čini 8,6% od ukupnog broja pritužbi i svrstava ih na peto mesto po brojnosti. Broj pritužbi po ovom osnovu veći je u odnosu na 2015, a na taj rezultat svakako je uticalo situaciono testiranje sprovedeno tokom 2016. godine. Naime, nakon sprovođenja pomenutog situacionog testiranja jedna organizacija civilnog društva podnela je pet pritužbi Povereniku za zaštitu ravnopravnosti zbog odbijanja zdravstvenih ustanova da pruže uslugu osobama koje žive sa HIV-om. U četiri slučaja utvrđena je diskriminacija, te je zdravstvenim ustanovama upućeno mišljenje s preporukom da ubuduće ne odbijaju pružanje zdravstvenih usluga osobama koje žive sa HIV-om, kao i da u okviru obavljanja poslova iz svoje nadležnosti postupaju u skladu s antidiskriminacionim propisima. Po ovim preporukama poverenice je postupljeno. U jednom slučaju postupak je obustavljen budući da podnosilac pritužbe nije učinio verovatnim postojanje uzročno-posledične veze između ličnog svojstva (zdravstvenog stanja) dobrovoljnog ispitivača diskriminacije i postupanja zdravstvene ustanove. Ovim situacionim testiranjem obuhvaćene su 64 ustanove i podneto pet pritužbi, za razliku od prethodnih godina, kada je, primera radi, situacionim testiranjem bilo obuhvaćeno 300 zubarskih ordinacija i Povereniku podnete 64 pritužbe, od čega je u 63 doneto mišljenje i utvrđena diskriminacija. Kada se uporedi obim ovog situacionog testiranja sprovedenog u 2016. godini i obim situacionih testiranja koja su vršena prethodnih godina po istom osnovu, a s ciljem ispitivanja postojanja diskriminacije u pružanju usluga osobama koje žive sa HIV-om, može se zaključiti da je postignut izvestan pomak, što ne potvrđuju i nalazi istraživanja Poverenika o stavovima javnog mnjenja „Odnos građana i građanki prema diskriminaciji u Srbiji“. Naime, prema ovom istraživanju, i opšti pregled dobijenih nalaza ukazuje da postoji najveća socijalna distanca prema LGBT i HIV pozitivnim osobama. Kod HIV pozitivnih osoba uočen je porast distance u svim mernim segmentima odnosa, a najviše u segmentu koji se odnosi na brak i porodicu, gde 85% ispitanika pokazuje distancu. </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lastRenderedPageBreak/>
        <w:t>Od 55 pritužbi koje su podnete zbog diskriminacije na osnovu zdravstvenog stanja, najviše je podneto u oblasti zdravstvene zaštite (19), u postupku pred organima javne vlasti (13), zatim slede pritužbe zbog diskriminacije u oblasti rada i zapošljavanja (10) i u oblasti obrazovanja i stručnog usavršavanja (4).</w:t>
      </w:r>
    </w:p>
    <w:p w:rsidR="00A654D2" w:rsidRDefault="00A654D2" w:rsidP="00A654D2">
      <w:pPr>
        <w:pStyle w:val="NoSpacing"/>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Pored toga, u 2016. godini u oblasti zdravstvene zaštite Povereniku je podnet veći broj pritužbi (31 pritužba) nego što je to bio slučaj ranijih godina, što ovu oblast stavlja na peto mesto po broju pritužbi po oblastima diskriminacije. Neke od pritužbi podnete su zbog diskriminacije po jednom ili više osnova diskriminacije (pol, starosno doba, zdravstveno stanje, invaliditet i sl.). S tim u vezi, kada je jedno lice diskriminisano na osnovu više ličnih svojstava, odnosno osnova diskriminacije, to dovodi do postojanja višestruke diskriminacije, koja predstavlja težak oblik diskriminacije jer su negativne posledice koje izaziva mnogo veće. U postupanju po pritužbama uočeno je da se zdravstveno stanje, kao jedan od osnova diskriminacije, najčešće javlja kod višestruke diskriminacije, i to najčešće u kombinaciji sa starosnim dobom, invaliditetom ili polom kao osnovom diskriminacije, a ponekad i s drugim osnovima diskriminacije.</w:t>
      </w:r>
    </w:p>
    <w:p w:rsidR="00A654D2" w:rsidRDefault="00A654D2" w:rsidP="00D0375D">
      <w:pPr>
        <w:pStyle w:val="NoSpacing"/>
        <w:spacing w:line="276" w:lineRule="auto"/>
        <w:jc w:val="both"/>
        <w:rPr>
          <w:rFonts w:ascii="Arial" w:hAnsi="Arial" w:cs="Arial"/>
          <w:lang w:val="sr-Latn-RS"/>
        </w:rPr>
      </w:pPr>
    </w:p>
    <w:p w:rsidR="00A654D2" w:rsidRPr="00A654D2" w:rsidRDefault="00A654D2" w:rsidP="00D0375D">
      <w:pPr>
        <w:pStyle w:val="NoSpacing"/>
        <w:spacing w:line="276" w:lineRule="auto"/>
        <w:jc w:val="both"/>
        <w:rPr>
          <w:rFonts w:ascii="Arial" w:hAnsi="Arial" w:cs="Arial"/>
          <w:lang w:val="sr-Cyrl-CS"/>
        </w:rPr>
      </w:pPr>
      <w:r w:rsidRPr="00A654D2">
        <w:rPr>
          <w:rFonts w:ascii="Arial" w:hAnsi="Arial" w:cs="Arial"/>
          <w:lang w:val="sr-Cyrl-CS"/>
        </w:rPr>
        <w:t>Tako je, primera radi, tokom 2016. godine, zbog diskriminacije na osnovu zdravstvenog stanja i nacionalne pripadnosti, poverenica za zaštitu ravnopravnosti podnela i krivičnu prijavu koja će biti predstavljena u delu izveštaja „Sudski postupci“.</w:t>
      </w:r>
    </w:p>
    <w:p w:rsidR="00135D51" w:rsidRDefault="00A654D2" w:rsidP="00D0375D">
      <w:pPr>
        <w:pStyle w:val="NoSpacing"/>
        <w:spacing w:line="276" w:lineRule="auto"/>
        <w:jc w:val="both"/>
        <w:rPr>
          <w:rFonts w:ascii="Arial" w:hAnsi="Arial" w:cs="Arial"/>
          <w:lang w:val="sr-Latn-RS"/>
        </w:rPr>
      </w:pPr>
      <w:r w:rsidRPr="00A654D2">
        <w:rPr>
          <w:rFonts w:ascii="Arial" w:hAnsi="Arial" w:cs="Arial"/>
          <w:lang w:val="sr-Cyrl-CS"/>
        </w:rPr>
        <w:t>U toku 2016. godine Poverenik za zaštitu ravnopravnosti uputio je preporuku mera Ministarstvu prosvete, nauke i tehnološkog razvoja, a povodom uslova predviđenog konkursom za dodelu stipendija koji se odnosio na posedovanje uverenja o zdravstvenom stanju kandidata. Ministarstvo nije postupilo po ovoj preporuci.</w:t>
      </w:r>
    </w:p>
    <w:p w:rsidR="00A654D2" w:rsidRDefault="00A654D2" w:rsidP="00A654D2">
      <w:pPr>
        <w:pStyle w:val="NoSpacing"/>
        <w:rPr>
          <w:rFonts w:ascii="Arial" w:hAnsi="Arial" w:cs="Arial"/>
          <w:lang w:val="sr-Latn-RS"/>
        </w:rPr>
      </w:pPr>
    </w:p>
    <w:p w:rsidR="00A654D2" w:rsidRPr="00A654D2" w:rsidRDefault="00A654D2" w:rsidP="00A654D2">
      <w:pPr>
        <w:pStyle w:val="NoSpacing"/>
        <w:rPr>
          <w:sz w:val="16"/>
          <w:lang w:val="sr-Latn-RS"/>
        </w:rPr>
      </w:pPr>
    </w:p>
    <w:p w:rsidR="00135D51" w:rsidRPr="00135D51" w:rsidRDefault="005F298A" w:rsidP="00D93153">
      <w:pPr>
        <w:pStyle w:val="Heading3"/>
        <w:numPr>
          <w:ilvl w:val="0"/>
          <w:numId w:val="17"/>
        </w:numPr>
      </w:pPr>
      <w:bookmarkStart w:id="87" w:name="_Toc477248638"/>
      <w:bookmarkStart w:id="88" w:name="_Toc477251763"/>
      <w:r>
        <w:rPr>
          <w:lang w:val="sr-Latn-RS"/>
        </w:rPr>
        <w:t>Mišljenja i preporuke</w:t>
      </w:r>
      <w:bookmarkEnd w:id="87"/>
      <w:bookmarkEnd w:id="88"/>
    </w:p>
    <w:p w:rsidR="00135D51" w:rsidRPr="00135D51" w:rsidRDefault="005F298A" w:rsidP="00135D51">
      <w:pPr>
        <w:shd w:val="clear" w:color="auto" w:fill="75E5FB"/>
        <w:spacing w:after="100" w:afterAutospacing="1" w:line="276" w:lineRule="auto"/>
        <w:rPr>
          <w:rFonts w:cs="Arial"/>
          <w:i/>
        </w:rPr>
      </w:pPr>
      <w:r>
        <w:rPr>
          <w:rFonts w:cs="Arial"/>
          <w:i/>
          <w:lang w:val="sr-Latn-RS"/>
        </w:rPr>
        <w:t>Zdravstvene ustanove odbijaju da pruže zdravstvenu uslugu osobama koje žive sa HIV-om</w:t>
      </w:r>
    </w:p>
    <w:p w:rsidR="005F298A" w:rsidRPr="005F298A" w:rsidRDefault="005F298A" w:rsidP="005F298A">
      <w:pPr>
        <w:spacing w:after="100" w:afterAutospacing="1" w:line="276" w:lineRule="auto"/>
        <w:rPr>
          <w:rFonts w:cs="Arial"/>
        </w:rPr>
      </w:pPr>
      <w:r w:rsidRPr="005F298A">
        <w:rPr>
          <w:rFonts w:cs="Arial"/>
        </w:rPr>
        <w:t xml:space="preserve">Organizacija koja se bavi zaštitom ljudskih prava sprovela je situaciono testiranje u oblasti dostupnosti zdravstvene zaštite i usluga. Testiranje je vršeno telefonskim putem i obuhvatilo je 12 državnih i 42 privatne klinike u četiri grada u Republici Srbiji, s ciljem da se neposredno proveri primena pravila o zabrani diskriminacije prilikom pružanja zdravstvenih usluga. </w:t>
      </w:r>
    </w:p>
    <w:p w:rsidR="005F298A" w:rsidRPr="005F298A" w:rsidRDefault="005F298A" w:rsidP="005F298A">
      <w:pPr>
        <w:spacing w:after="100" w:afterAutospacing="1" w:line="276" w:lineRule="auto"/>
        <w:rPr>
          <w:rFonts w:cs="Arial"/>
        </w:rPr>
      </w:pPr>
      <w:r w:rsidRPr="005F298A">
        <w:rPr>
          <w:rFonts w:cs="Arial"/>
        </w:rPr>
        <w:t xml:space="preserve">Imajući u vidu činjenicu da su pritužbe podnete na osnovu situacionog testiranja diskriminacije, potrebno je detaljnije pojasniti smisao situacionog testiranja diskriminacije i propise kojima je testiranje regulisano. Zakon o zabrani diskriminacije uvodi u pravni sistem Republike Srbije institut dobrovoljnog ispitivača diskriminacije (tester). U pitanju je osoba koja se svesno izložila diskriminatornom postupanju u nameri da u konkretnom slučaju neposredno proveri primenu pravila o zabrani diskriminacije. S obzirom na to da u sudskom i u drugim postupcima dokazivanje diskriminacije standardnim dokaznim sredstvima često ne daje zadovoljavajuće rezultate, zakonom je uspostavljen poseban metod dobrovoljnog ispitivanja diskriminacije (situacionog testiranja), koji olakšava dokazivanje diskriminacije. Situaciono testiranje koristi se s ciljem da se diskriminacija utvrdi „na licu mesta“, kako bi se dokazalo nejednako (nepovoljnije) tretiranje lica ili grupe lica zasnovano na nekom ličnom svojstvu, odnosno, kako bi se učinile vidljivim diskriminatorne prakse. Ovaj metod/mehanizam omogućava otkrivanje diskriminacije koja je često „prikrivena“ i pravda se </w:t>
      </w:r>
      <w:r w:rsidRPr="005F298A">
        <w:rPr>
          <w:rFonts w:cs="Arial"/>
        </w:rPr>
        <w:lastRenderedPageBreak/>
        <w:t>različitim izgovorima. Situaciono testiranje je poseban mehanizam, koji podrazumeva kreiranje određene situacije, u kojoj je osoba (potencijalni diskriminator) dovedena u poziciju da može da se ponaša/postupa diskriminatorno bez bojazni da je neko posmatra, a testeri su oni koji se izlažu postupanju potencijalnog diskriminatora i proveravaju da li se on u datoj situaciji diskriminatorno ponaša. Situaciona testiranja imaju veliki potencijal za ojačavanje dokaza diskriminatornog postupanja u pojedinačnim slučajevima, a koriste se i za podizanje svesti javnosti i razvoj javnih politika.</w:t>
      </w:r>
    </w:p>
    <w:p w:rsidR="005F298A" w:rsidRPr="005F298A" w:rsidRDefault="005F298A" w:rsidP="005F298A">
      <w:pPr>
        <w:spacing w:after="100" w:afterAutospacing="1" w:line="276" w:lineRule="auto"/>
        <w:rPr>
          <w:rFonts w:cs="Arial"/>
        </w:rPr>
      </w:pPr>
      <w:r w:rsidRPr="005F298A">
        <w:rPr>
          <w:rFonts w:cs="Arial"/>
        </w:rPr>
        <w:t>U svim ovim slučajevima na osnovu kojih su protiv zdravstvenih ustanova podnete pritužbe, tester je najpre pozvao zdravstvenu ustanovu, zakazao uslugu, pa tek nakon toga obavestio osobu zaposlenu u ustanovi o svom HIV pozitivnom statusu. Nakon obaveštavanja o HIV virusu, odbijana mu je već zakazana zdravstvena usluga iz razloga nedostatka uslova za pružanje iste.</w:t>
      </w:r>
    </w:p>
    <w:p w:rsidR="00135D51" w:rsidRDefault="005F298A" w:rsidP="005F298A">
      <w:pPr>
        <w:spacing w:after="100" w:afterAutospacing="1" w:line="276" w:lineRule="auto"/>
        <w:rPr>
          <w:rFonts w:cs="Arial"/>
          <w:lang w:val="sr-Latn-RS"/>
        </w:rPr>
      </w:pPr>
      <w:r w:rsidRPr="005F298A">
        <w:rPr>
          <w:rFonts w:cs="Arial"/>
        </w:rPr>
        <w:t>U ovim postupcima je utvrđeno da je prema testeru nejednako postupano na osnovu njegovog zdravstvenog stanja, te je poverenica za zaštitu ravnopravnosti dala mišljenje da su zdravstvene ustanove izvršile akt neposredne diskriminacije jer su neopravdano odbile da pruže zdravstvenu uslugu osobi koja živi sa HIV-om. Zbog toga je zdravstvenim ustanovama preporučeno da ubuduće ne odbijaju pružanje zdravstvene usluge osobama koje žive sa HIV-om, kao i da im pružaju obaveštenja koja su im potrebna kako bi doneli odluku da pristanu ili ne pristanu na predloženu medicinsku meru, odnosno obaveštenja koja obuhvataju kratak opis, cilj i korist predložene medicinske mere, vreme trajanja i moguće posledice preduzimanja odnosno nepreduzimanja predložene medicinske mere, vrstu i verovatnoću mogućih rizika, bolne i druge sporedne ili trajne posledice, alternativne metode lečenja, moguće promene pacijentovog stanja posle preduzimanja predložene medicinske mere, kao i da ubuduće, u okviru obavljanja poslova iz svoje nadležnosti, postupaju u skladu s antidiskriminacionim propisima. Po ovim preporukama je postupljeno.</w:t>
      </w:r>
    </w:p>
    <w:p w:rsidR="005F298A" w:rsidRPr="005F298A" w:rsidRDefault="005F298A" w:rsidP="005F298A">
      <w:pPr>
        <w:spacing w:after="100" w:afterAutospacing="1" w:line="276" w:lineRule="auto"/>
        <w:rPr>
          <w:rFonts w:cs="Arial"/>
          <w:sz w:val="18"/>
          <w:lang w:val="sr-Latn-RS"/>
        </w:rPr>
      </w:pPr>
    </w:p>
    <w:p w:rsidR="00135D51" w:rsidRPr="00135D51" w:rsidRDefault="005F298A" w:rsidP="00D93153">
      <w:pPr>
        <w:pStyle w:val="Heading3"/>
        <w:numPr>
          <w:ilvl w:val="0"/>
          <w:numId w:val="17"/>
        </w:numPr>
      </w:pPr>
      <w:bookmarkStart w:id="89" w:name="_Toc477248639"/>
      <w:bookmarkStart w:id="90" w:name="_Toc477251764"/>
      <w:r>
        <w:rPr>
          <w:lang w:val="sr-Latn-RS"/>
        </w:rPr>
        <w:t>Preporuke mera za ostvarivanje ravnopravnosti</w:t>
      </w:r>
      <w:bookmarkEnd w:id="89"/>
      <w:bookmarkEnd w:id="90"/>
    </w:p>
    <w:p w:rsidR="00135D51" w:rsidRPr="005F298A" w:rsidRDefault="005F298A" w:rsidP="00135D51">
      <w:pPr>
        <w:shd w:val="clear" w:color="auto" w:fill="75E5FB"/>
        <w:spacing w:before="100" w:beforeAutospacing="1" w:after="100" w:afterAutospacing="1" w:line="276" w:lineRule="auto"/>
        <w:rPr>
          <w:rFonts w:cs="Arial"/>
          <w:i/>
          <w:lang w:val="sr-Latn-RS"/>
        </w:rPr>
      </w:pPr>
      <w:r w:rsidRPr="005F298A">
        <w:rPr>
          <w:rFonts w:cs="Arial"/>
          <w:i/>
          <w:lang w:val="sr-Latn-RS"/>
        </w:rPr>
        <w:t>Preporuka mera Ministarstvu prosvete, nauke i tehnološkog razvoja da uskladi tekst Poziva za prijavljivanje za dodelu stipendija s antidiskriminacionim propisima</w:t>
      </w:r>
    </w:p>
    <w:p w:rsidR="005F298A" w:rsidRPr="005F298A" w:rsidRDefault="005F298A" w:rsidP="005F298A">
      <w:pPr>
        <w:spacing w:after="100" w:afterAutospacing="1" w:line="276" w:lineRule="auto"/>
        <w:rPr>
          <w:rFonts w:cs="Arial"/>
        </w:rPr>
      </w:pPr>
      <w:r w:rsidRPr="005F298A">
        <w:rPr>
          <w:rFonts w:cs="Arial"/>
        </w:rPr>
        <w:t xml:space="preserve">U pozivu za prijavljivanje za dodelu stipendija za školsku 2016/17. godinu, a koji je objavljen na sajtu Ministarstva prosvete, nauke i tehnološkog razvoja, precizirani su i uslovi za dobijanje stipendije. Pod tačkom 2. naveden je sledeći uslov: „Kandidat mora da poseduje lekarsko uverenje ne starije od šest meseci kojim se potvrđuje da kandidat ne boluje od neke zarazne bolesti (uključujući i HIV test)“. </w:t>
      </w:r>
    </w:p>
    <w:p w:rsidR="005F298A" w:rsidRPr="005F298A" w:rsidRDefault="005F298A" w:rsidP="005F298A">
      <w:pPr>
        <w:spacing w:after="100" w:afterAutospacing="1" w:line="276" w:lineRule="auto"/>
        <w:rPr>
          <w:rFonts w:cs="Arial"/>
        </w:rPr>
      </w:pPr>
      <w:r w:rsidRPr="005F298A">
        <w:rPr>
          <w:rFonts w:cs="Arial"/>
        </w:rPr>
        <w:t xml:space="preserve">Poverenica za zaštitu ravnopravnosti ukazala je da ovakav način propisivanja uslova za ostvarivanje prava na stipendiju, koji zahteva lekarsko uverenje kojim se potvrđuje da kandidat ne boluje od neke zarazne bolesti, uključujući i HIV test, predstavlja kršenje antidiskriminacionih propisa. Na taj način su osobe koje žive sa HIV-om neposredno diskriminisane na osnovu njihovog ličnog svojstva – zdravstvenog stanja, i to u jednoj od temeljnih oblasti života svakog pojedinca i svakog društva, u oblasti obrazovanja. Adekvatnom primenom važećih propisa, kako u oblasti zdravstva, tako i u oblasti </w:t>
      </w:r>
      <w:r w:rsidRPr="005F298A">
        <w:rPr>
          <w:rFonts w:cs="Arial"/>
        </w:rPr>
        <w:lastRenderedPageBreak/>
        <w:t xml:space="preserve">obrazovanja, istovremeno se štite bezbednost i zdravlje stanovništva, ali i dostojanstvo i integritet osoba koje žive sa HIV-om. Svako drugačije ponašanje, kao što je i eventualno uskraćivanje prava osobama koje žive sa HIV-om na obrazovanje, akademsko usavršavanje i uključivanje u redovne životne tokove, nema utemeljenje u važećim pravnim propisima, niti medicinskim saznanjima. Naprotiv, takvo ponašanje podržava stereotipe i predrasude koji dodatno pogoršavaju položaj ove veoma osetljive grupe. </w:t>
      </w:r>
    </w:p>
    <w:p w:rsidR="00135D51" w:rsidRPr="00135D51" w:rsidRDefault="005F298A" w:rsidP="005F298A">
      <w:pPr>
        <w:spacing w:after="100" w:afterAutospacing="1" w:line="276" w:lineRule="auto"/>
        <w:rPr>
          <w:rFonts w:cs="Arial"/>
        </w:rPr>
      </w:pPr>
      <w:r w:rsidRPr="005F298A">
        <w:rPr>
          <w:rFonts w:cs="Arial"/>
        </w:rPr>
        <w:t>Zbog toga je Ministarstvu prosvete, nauke i tehnološkog razvoja upućena preporuka mera za ostvarivanje ravnopravnosti. Preporučeno je da Ministarstvo prosvete, nauke i tehnološkog razvoja preduzme sve neophodne mere i uskladi tekst Poziva za prijavljivanje za dodelu stipendija za školsku 2016/17. godinu s antidiskriminacionim propisima, izostavljanjem spornog uslova i otklanjanjem posledica dejstva tog uslova. Po ovoj preporuci nije postupljeno.</w:t>
      </w:r>
    </w:p>
    <w:p w:rsidR="00135D51" w:rsidRPr="0032797E" w:rsidRDefault="00135D51" w:rsidP="00135D51">
      <w:pPr>
        <w:spacing w:after="100" w:afterAutospacing="1" w:line="276" w:lineRule="auto"/>
        <w:ind w:firstLine="567"/>
        <w:rPr>
          <w:rFonts w:cs="Arial"/>
          <w:sz w:val="12"/>
        </w:rPr>
      </w:pPr>
    </w:p>
    <w:p w:rsidR="00135D51" w:rsidRPr="00135D51" w:rsidRDefault="009D6D5F" w:rsidP="00D93153">
      <w:pPr>
        <w:pStyle w:val="Heading3"/>
        <w:numPr>
          <w:ilvl w:val="0"/>
          <w:numId w:val="17"/>
        </w:numPr>
      </w:pPr>
      <w:bookmarkStart w:id="91" w:name="_Toc477248640"/>
      <w:bookmarkStart w:id="92" w:name="_Toc477251765"/>
      <w:r>
        <w:rPr>
          <w:lang w:val="sr-Latn-RS"/>
        </w:rPr>
        <w:t>Saopštenja</w:t>
      </w:r>
      <w:bookmarkEnd w:id="91"/>
      <w:bookmarkEnd w:id="92"/>
    </w:p>
    <w:p w:rsidR="00135D51" w:rsidRPr="009D6D5F" w:rsidRDefault="009D6D5F" w:rsidP="0032797E">
      <w:pPr>
        <w:shd w:val="clear" w:color="auto" w:fill="44DCFA"/>
        <w:spacing w:after="100" w:afterAutospacing="1"/>
        <w:jc w:val="left"/>
        <w:rPr>
          <w:rFonts w:cs="Arial"/>
          <w:i/>
          <w:lang w:val="sr-Latn-RS"/>
        </w:rPr>
      </w:pPr>
      <w:r w:rsidRPr="009D6D5F">
        <w:rPr>
          <w:rFonts w:cs="Arial"/>
          <w:i/>
          <w:lang w:val="sr-Latn-RS"/>
        </w:rPr>
        <w:t>Saopštenje povodom Svetskog dana borbe protiv HIV/AIDS-a, 1. decembar 2016.</w:t>
      </w:r>
    </w:p>
    <w:p w:rsidR="009D6D5F" w:rsidRPr="009D6D5F" w:rsidRDefault="009D6D5F" w:rsidP="009D6D5F">
      <w:pPr>
        <w:tabs>
          <w:tab w:val="left" w:pos="709"/>
          <w:tab w:val="center" w:pos="1134"/>
        </w:tabs>
        <w:spacing w:line="276" w:lineRule="auto"/>
        <w:rPr>
          <w:rFonts w:cs="Arial"/>
        </w:rPr>
      </w:pPr>
      <w:r w:rsidRPr="009D6D5F">
        <w:rPr>
          <w:rFonts w:cs="Arial"/>
        </w:rPr>
        <w:t>Ovim saopštenjem povodom Svetskog dana borbe protiv AIDS-a, poverenica za zaštitu ravnopravnosti skrenula je pažnju javnosti da je i dalje svakodnevni život osoba sa HIV-om i AIDS-om u najvećem broju slučajeva pod teretom stigme i suočavanja s diskriminacijom u svim oblastima života, od obrazovanja i zapošljavanja, do zdravstvene i socijalne zaštite. Nerazumevanje i nepoznavanje bolesti i odbijanje kontakata neretko ih teraju da kriju svoje zdravstveno stanje, a strah od diskriminacije i odbacivanja sredine dovodi do samoizolacije. Svi dostupni rezultati istraživanja javnog mnjenja pokazuju da je prema ovoj marginalizovanoj grupi velika socijalna distanca i da ih većina građana i građanki neće za prijatelje i ne želi na poslu. Zabrinjavajuće je i to što pojedini zdravstveni radnici i radnice, zbog svojih predrasuda, diskriminišu osobe koje žive sa HIV-om i AIDS-om prilikom pružanja medicinske pomoći. Zato treba raditi na edukaciji zaposlenih u zdravstvu. Usluge zdravstvene zaštite i lečenje moraju se pružiti svima, bez diskriminacije i pod istim uslovima.</w:t>
      </w:r>
    </w:p>
    <w:p w:rsidR="00135D51" w:rsidRDefault="009D6D5F" w:rsidP="009D6D5F">
      <w:pPr>
        <w:tabs>
          <w:tab w:val="left" w:pos="709"/>
          <w:tab w:val="center" w:pos="1134"/>
        </w:tabs>
        <w:spacing w:line="276" w:lineRule="auto"/>
        <w:rPr>
          <w:rFonts w:cs="Arial"/>
          <w:lang w:val="sr-Latn-RS"/>
        </w:rPr>
      </w:pPr>
      <w:r w:rsidRPr="009D6D5F">
        <w:rPr>
          <w:rFonts w:cs="Arial"/>
        </w:rPr>
        <w:t>Poverenica je na kraju zaključila da je potrebno informisati i obrazovati najširu javnost kako bi se smanjila stigmatizacija i netrpeljivost prema osobama koje žive sa HIV-om, zato što se u korenu takvog diskriminatornog odnosa najčešće nalazi neznanje.</w:t>
      </w:r>
    </w:p>
    <w:p w:rsidR="009D6D5F" w:rsidRDefault="009D6D5F" w:rsidP="009D6D5F">
      <w:pPr>
        <w:tabs>
          <w:tab w:val="left" w:pos="709"/>
          <w:tab w:val="center" w:pos="1134"/>
        </w:tabs>
        <w:spacing w:line="276" w:lineRule="auto"/>
        <w:rPr>
          <w:rFonts w:cs="Arial"/>
          <w:lang w:val="sr-Latn-RS"/>
        </w:rPr>
      </w:pPr>
    </w:p>
    <w:p w:rsidR="009D6D5F" w:rsidRPr="009D6D5F" w:rsidRDefault="009D6D5F" w:rsidP="009D6D5F">
      <w:pPr>
        <w:tabs>
          <w:tab w:val="left" w:pos="709"/>
          <w:tab w:val="center" w:pos="1134"/>
        </w:tabs>
        <w:spacing w:line="276" w:lineRule="auto"/>
        <w:rPr>
          <w:rFonts w:cs="Arial"/>
          <w:b/>
          <w:lang w:val="sr-Latn-RS"/>
        </w:rPr>
      </w:pPr>
    </w:p>
    <w:p w:rsidR="00135D51" w:rsidRPr="00A833B2" w:rsidRDefault="009D6D5F" w:rsidP="00D93153">
      <w:pPr>
        <w:pStyle w:val="Heading3"/>
        <w:numPr>
          <w:ilvl w:val="2"/>
          <w:numId w:val="13"/>
        </w:numPr>
        <w:ind w:left="2127" w:hanging="1134"/>
        <w:rPr>
          <w:rStyle w:val="Heading3Char"/>
          <w:rFonts w:eastAsia="Calibri"/>
          <w:b/>
          <w:i/>
        </w:rPr>
      </w:pPr>
      <w:bookmarkStart w:id="93" w:name="_Toc477248641"/>
      <w:bookmarkStart w:id="94" w:name="_Toc477251766"/>
      <w:r w:rsidRPr="00A833B2">
        <w:rPr>
          <w:rStyle w:val="Heading3Char"/>
          <w:rFonts w:eastAsia="Calibri"/>
          <w:b/>
          <w:i/>
          <w:lang w:val="sr-Latn-RS"/>
        </w:rPr>
        <w:t>Diskriminacija na osnovu seksualne orijentacije</w:t>
      </w:r>
      <w:bookmarkEnd w:id="93"/>
      <w:bookmarkEnd w:id="94"/>
      <w:r w:rsidR="00135D51" w:rsidRPr="00A833B2">
        <w:rPr>
          <w:rStyle w:val="Heading3Char"/>
          <w:rFonts w:eastAsia="Calibri"/>
          <w:b/>
          <w:i/>
        </w:rPr>
        <w:t xml:space="preserve"> </w:t>
      </w:r>
    </w:p>
    <w:p w:rsidR="009D6D5F" w:rsidRPr="009D6D5F" w:rsidRDefault="009D6D5F" w:rsidP="009D6D5F">
      <w:pPr>
        <w:spacing w:after="100" w:afterAutospacing="1" w:line="276" w:lineRule="auto"/>
        <w:rPr>
          <w:rFonts w:cs="Arial"/>
        </w:rPr>
      </w:pPr>
      <w:r w:rsidRPr="009D6D5F">
        <w:rPr>
          <w:rFonts w:cs="Arial"/>
        </w:rPr>
        <w:t xml:space="preserve">Učesnici u već pomenutom istraživanju „Odnos građana i građanki prema diskriminaciji u Srbiji“ navode pripadnike LGBT populacije kao najdiskriminisaniju grupu (12%), odmah iza pripadnika romske nacionalne manjine. Ovakva percepcija građana u korelaciji je s rezultatima dobijenim merenjem socijalne distance, koja je najizraženija takođe prema LGBT osobama. </w:t>
      </w:r>
    </w:p>
    <w:p w:rsidR="009D6D5F" w:rsidRPr="009D6D5F" w:rsidRDefault="009D6D5F" w:rsidP="009D6D5F">
      <w:pPr>
        <w:spacing w:after="100" w:afterAutospacing="1" w:line="276" w:lineRule="auto"/>
        <w:rPr>
          <w:rFonts w:cs="Arial"/>
        </w:rPr>
      </w:pPr>
      <w:r w:rsidRPr="009D6D5F">
        <w:rPr>
          <w:rFonts w:cs="Arial"/>
        </w:rPr>
        <w:lastRenderedPageBreak/>
        <w:t xml:space="preserve">Percepcija o zastupljenosti diskriminacije ispitana je i tako što se od građana tražilo da ocenama od 1 do 5 ocene u kojoj meri su različite društvene grupe diskriminisane, gde su pripadnici LGBT populacije, s prosečnom ocenom 3,4, takođe na drugom mestu. </w:t>
      </w:r>
    </w:p>
    <w:p w:rsidR="009D6D5F" w:rsidRPr="009D6D5F" w:rsidRDefault="009D6D5F" w:rsidP="009D6D5F">
      <w:pPr>
        <w:spacing w:after="100" w:afterAutospacing="1" w:line="276" w:lineRule="auto"/>
        <w:rPr>
          <w:rFonts w:cs="Arial"/>
        </w:rPr>
      </w:pPr>
      <w:r w:rsidRPr="009D6D5F">
        <w:rPr>
          <w:rFonts w:cs="Arial"/>
        </w:rPr>
        <w:t>Ukoliko se posmatra relativan položaj navedenih grupa u odnosu na istraživanje iz 2013. godine, može se zaključiti da je percepcija građana o stepenu njihove izloženosti diskriminaciji slična. Razlika se javlja u tome što građani Rome i LGBT osobe vide kao češće izložene diskriminaciji nego pre tri godine, dok istovremeno starije osobe i žene vide kao manje diskriminisane u odnosu na prethodno istraživanje.</w:t>
      </w:r>
    </w:p>
    <w:p w:rsidR="009D6D5F" w:rsidRPr="009D6D5F" w:rsidRDefault="009D6D5F" w:rsidP="009D6D5F">
      <w:pPr>
        <w:spacing w:after="100" w:afterAutospacing="1" w:line="276" w:lineRule="auto"/>
        <w:rPr>
          <w:rFonts w:cs="Arial"/>
        </w:rPr>
      </w:pPr>
      <w:r w:rsidRPr="009D6D5F">
        <w:rPr>
          <w:rFonts w:cs="Arial"/>
        </w:rPr>
        <w:t>Veća socijalna distanca prema pojedinim društvenim grupama pokazatelj je niskog nivoa socijalne komunikacije i interakcije, a samim tim predstavlja potencijalnu opasnost za diskriminaciju pripadnika tih grupa. Četvrtina ispitanika (27%) ne želi da im pripadnici LGBT populacije budu kolege, trećina (34%) ne želi da se s njima druži, polovina (47%) ne želi da LGBT osobe budu vaspitači njihove dece, dok bi 63% ispitanika imalo nešto protiv da oni sami ili njihova deca budu u braku s LGBT osobom. Iako je najizraženija prema pripadnicima LGBT populacije, u većini ispitivanih kategorija dolazi do pada socijalne distance u odnosu na rezultate iz 2013. godine, naročito u pogledu prihvatanja braka i bliskog druženja s LGBT osobama. Tako je u odnosu na 2013. godinu neprihvatanje braka smanjeno za 19%, a neprihvatanje LGBT osobe za prijatelje za 12%, što je ohrabrujuće i predstavlja pomak u pogledu socijalizacije LGBT osoba u društvo.</w:t>
      </w:r>
    </w:p>
    <w:p w:rsidR="009D6D5F" w:rsidRPr="009D6D5F" w:rsidRDefault="009D6D5F" w:rsidP="009D6D5F">
      <w:pPr>
        <w:spacing w:after="100" w:afterAutospacing="1" w:line="276" w:lineRule="auto"/>
        <w:rPr>
          <w:rFonts w:cs="Arial"/>
        </w:rPr>
      </w:pPr>
      <w:r w:rsidRPr="009D6D5F">
        <w:rPr>
          <w:rFonts w:cs="Arial"/>
        </w:rPr>
        <w:t xml:space="preserve">U pogledu informisanja građana o diskriminaciji situacija je drugačija. Prema rezultatima istraživanja, najveći deo medijskog prostora, prema mišljenju građana, posvećuje se ravnopravnosti pripadnika LGBT populacije, u odnosu na druge ugrožene društvene grupe. </w:t>
      </w:r>
    </w:p>
    <w:p w:rsidR="009D6D5F" w:rsidRPr="009D6D5F" w:rsidRDefault="009D6D5F" w:rsidP="009D6D5F">
      <w:pPr>
        <w:spacing w:after="100" w:afterAutospacing="1" w:line="276" w:lineRule="auto"/>
        <w:rPr>
          <w:rFonts w:cs="Arial"/>
        </w:rPr>
      </w:pPr>
      <w:r w:rsidRPr="009D6D5F">
        <w:rPr>
          <w:rFonts w:cs="Arial"/>
        </w:rPr>
        <w:t>U istraživanju „Kako reforma sektora bezbednosti utiče na ljudsku bezbednost u Srbiji? Ponovna procena uticaja reforme sektora bezbednosti na LGBT populaciju“, koje je sproveo Centar za istraživanje javnih politika, navedeno je da iako je u poslednjih pet godina zabeležen izvestan pomak kada je u pitanju bezbednost LGBT osoba, prema mišljenju ispitanika/ispitanica, ti pomaci su slabi, a bezbednost ove populacije je i dalje veoma ugrožena. U istraživanju je takođe navedeno da je Srbija zabeležila napredak u izgradnji zakonskog okvira za poštovanje prava LGBT osoba (Evropska komisija 2016). Tome su pre svega doprineli usvajanje Strategije prevencije i zaštite od diskriminacije 2013–2018, kao i izmene Krivičnog zakonika i Zakona o policiji. Povlačenje Zakona o ravnopravnosti muškaraca i žena iz procedure 2016. godine predstavlja primer dobre prakse delovanja nezavisnih institucija, Ženske parlamentarne mreže i nevladinih organizacija. Kada je reč o praktičnoj primeni zagarantovanih prava, najčešće obrađivan slučaj jeste nepoštovanje prava na mirno okupljanje pripadnika LGBT zajednice. Uprkos održavanju Parade ponosa protekle tri godine, percepcija LGBT osoba o bezbednosnim pretnjama kao kontinuiranom izvoru nesigurnosti nije promenjena</w:t>
      </w:r>
      <w:r>
        <w:rPr>
          <w:rStyle w:val="FootnoteReference"/>
          <w:rFonts w:cs="Arial"/>
        </w:rPr>
        <w:footnoteReference w:id="241"/>
      </w:r>
      <w:r w:rsidRPr="009D6D5F">
        <w:rPr>
          <w:rFonts w:cs="Arial"/>
        </w:rPr>
        <w:t xml:space="preserve">.  </w:t>
      </w:r>
    </w:p>
    <w:p w:rsidR="009D6D5F" w:rsidRPr="009D6D5F" w:rsidRDefault="009D6D5F" w:rsidP="009D6D5F">
      <w:pPr>
        <w:spacing w:after="100" w:afterAutospacing="1" w:line="276" w:lineRule="auto"/>
        <w:rPr>
          <w:rFonts w:cs="Arial"/>
        </w:rPr>
      </w:pPr>
      <w:r w:rsidRPr="009D6D5F">
        <w:rPr>
          <w:rFonts w:cs="Arial"/>
        </w:rPr>
        <w:lastRenderedPageBreak/>
        <w:t>U Izveštaju Evropske komisije o napretku Srbije u procesu evropskih integracija za 2016. godinu</w:t>
      </w:r>
      <w:r>
        <w:rPr>
          <w:rStyle w:val="FootnoteReference"/>
          <w:rFonts w:cs="Arial"/>
        </w:rPr>
        <w:footnoteReference w:id="242"/>
      </w:r>
      <w:r w:rsidRPr="009D6D5F">
        <w:rPr>
          <w:rFonts w:cs="Arial"/>
        </w:rPr>
        <w:t xml:space="preserve">  navodi se da zakonodavni okvir za zaštitu ljudskih prava postoji, ali se ne sprovodi dosledno. Uočen je nedostatak političke podrške u zaštiti prava najviše diskriminisanih grupa, uključujući i pripadnike LGBTI populacije. Evropska komisija upozorava da je potrebno intenzivirati rad na sprovođenju istraga, gonjenju i kažnjavanju za krivična dela motivisana mržnjom, te delotvorno sprovoditi aktivnosti na promociji ravnopravnosti i obezbeđivanja integracije pripadnika najviše diskriminisanih grupa (Romi, LGBTI osobe, osobe sa invaliditetom, osobe sa HIV/AIDS-om i druge ranjive grupe).</w:t>
      </w:r>
    </w:p>
    <w:p w:rsidR="009D6D5F" w:rsidRPr="009D6D5F" w:rsidRDefault="009D6D5F" w:rsidP="009D6D5F">
      <w:pPr>
        <w:spacing w:after="100" w:afterAutospacing="1" w:line="276" w:lineRule="auto"/>
        <w:rPr>
          <w:rFonts w:cs="Arial"/>
        </w:rPr>
      </w:pPr>
      <w:r w:rsidRPr="009D6D5F">
        <w:rPr>
          <w:rFonts w:cs="Arial"/>
        </w:rPr>
        <w:t xml:space="preserve">Pozitivno su ocenjene pojedine aktivnosti Srbije na promovisanju prava LGBTI populacije, ali se i podseća da se LGBTI osobe i aktivisti i dalje suočavaju s govorom mržnje, pretnjama, a ponekad i s fizičkim nasiljem, kao i da ne postoji centralizovana evidencija zvaničnih podataka o broju krivičnih dela motivisanih homofobijom i transfobijom. U izveštaju je navedeno da je potrebna veća politička posvećenost unapređenju kulture poštovanja prava LGBTI osoba i obezbeđivanju zabrane diskriminacije na poslu, u sektoru zdravstva i u sistemu obrazovanja. Nivo predrasuda o LGBTI osobama i dalje je relativno visok i treba se baviti ovim pitanjem. </w:t>
      </w:r>
    </w:p>
    <w:p w:rsidR="009D6D5F" w:rsidRPr="009D6D5F" w:rsidRDefault="009D6D5F" w:rsidP="009D6D5F">
      <w:pPr>
        <w:spacing w:after="100" w:afterAutospacing="1" w:line="276" w:lineRule="auto"/>
        <w:rPr>
          <w:rFonts w:cs="Arial"/>
        </w:rPr>
      </w:pPr>
      <w:r w:rsidRPr="009D6D5F">
        <w:rPr>
          <w:rFonts w:cs="Arial"/>
        </w:rPr>
        <w:t>U izveštaju međunarodne organizacije Amnesty International, Stanje ljudskih prava u svetu</w:t>
      </w:r>
      <w:r>
        <w:rPr>
          <w:rStyle w:val="FootnoteReference"/>
          <w:rFonts w:cs="Arial"/>
        </w:rPr>
        <w:footnoteReference w:id="243"/>
      </w:r>
      <w:r w:rsidRPr="009D6D5F">
        <w:rPr>
          <w:rFonts w:cs="Arial"/>
        </w:rPr>
        <w:t xml:space="preserve"> , u pozitivnom kontekstu se govori o Paradi ponosa, koja je i 2016. godine održana bez incidenata. Međutim, kao i u drugim izveštajima, navodi se da su zločini iz mržnje i napadi na pripadnike i pripadnice LGBT zajednice još uvek prisutni. Na određene trendove zločina iz mržnje i govora mržnje prema LGBT osobama ukazuje i analitički izveštaj Komiteta pravnika za ljudska prava YUCOM</w:t>
      </w:r>
      <w:r>
        <w:rPr>
          <w:rStyle w:val="FootnoteReference"/>
          <w:rFonts w:cs="Arial"/>
        </w:rPr>
        <w:footnoteReference w:id="244"/>
      </w:r>
      <w:r w:rsidRPr="009D6D5F">
        <w:rPr>
          <w:rFonts w:cs="Arial"/>
        </w:rPr>
        <w:t xml:space="preserve"> . U izveštaju je ocenjeno da uprkos pozitivnim pomacima, još uvek postoje slučajevi zločina iz mržnje, u kojima policija s pripadnicima LGBT postupa bez osnovnog poštovanja prema njihovom ljudskom dostojanstvu, te da deo prijavljenih slučajeva zbog različitih razloga nije zaveden u policijskoj evidenciji. Podaci navode na zaključak da LGBT osobe nemaju poverenje u rad institucija i tužilaštva, kao i da postoji vidna disproporcija između broja prijavljenih slučajeva diskriminacije i njihovog realnog broja. Tome doprinosi i nedostatak državne statistike po ovom pitanju.</w:t>
      </w:r>
    </w:p>
    <w:p w:rsidR="009D6D5F" w:rsidRPr="009D6D5F" w:rsidRDefault="009D6D5F" w:rsidP="009D6D5F">
      <w:pPr>
        <w:spacing w:after="100" w:afterAutospacing="1" w:line="276" w:lineRule="auto"/>
        <w:rPr>
          <w:rFonts w:cs="Arial"/>
        </w:rPr>
      </w:pPr>
      <w:r w:rsidRPr="009D6D5F">
        <w:rPr>
          <w:rFonts w:cs="Arial"/>
        </w:rPr>
        <w:t xml:space="preserve">Analiza medijskog izveštavanja o LGBT osobama, koja je sastavni deo YUCOM-ovog izveštaja, pokazala je da je trend izveštavanja o LGBT zajednici pozitivan, da se kreće u dobrom pravcu, da je sve manje negativnih prikaza i korišćenja neadekvatnog rečnika. Preovladavaju neutralni medijski izveštaji sa 71,9% od ukupno 64 analiziranih priloga. Afirmativni tekstovi činili su 23,4% analiziranih priloga, a negativni 4,7%, koji su bili zastupljeni u medijima koji imaju izuzetno veliku čitanost ili gledanost i koriste terminologiju koja je uvredljiva za LGBT osobe. </w:t>
      </w:r>
    </w:p>
    <w:p w:rsidR="009D6D5F" w:rsidRPr="009D6D5F" w:rsidRDefault="009D6D5F" w:rsidP="009D6D5F">
      <w:pPr>
        <w:spacing w:after="100" w:afterAutospacing="1" w:line="276" w:lineRule="auto"/>
        <w:rPr>
          <w:rFonts w:cs="Arial"/>
        </w:rPr>
      </w:pPr>
      <w:r w:rsidRPr="009D6D5F">
        <w:rPr>
          <w:rFonts w:cs="Arial"/>
        </w:rPr>
        <w:lastRenderedPageBreak/>
        <w:t>S posebnom pažnjom treba ukazati na činjenicu da je Narodna skupština Republike Srbije 23. novembra 2016. godine donela Zakon o izmenama i dopunama Krivičnog zakonika, prema kojima se krivično delo povreda ravnopravnosti (član 128), može izvršiti ako se nekom licu, zbog seksualne orijentacije ili rodnog identiteta, ograniče ili uskrate prava čoveka i građanina. S tim u vezi Poverenik za zaštitu ravnopravnosti konstatuje da je učinjen korak u pravcu zaštite LGBT populacije, da u tom pravcu treba dalje nastaviti, a prevashodno ohrabriti pripadnike LGBT populacije da slučajeve diskriminacije prijavljuju nadležnim organima i institucijama.</w:t>
      </w:r>
    </w:p>
    <w:p w:rsidR="009D6D5F" w:rsidRPr="009D6D5F" w:rsidRDefault="009D6D5F" w:rsidP="009D6D5F">
      <w:pPr>
        <w:spacing w:after="100" w:afterAutospacing="1" w:line="276" w:lineRule="auto"/>
        <w:rPr>
          <w:rFonts w:cs="Arial"/>
        </w:rPr>
      </w:pPr>
      <w:r w:rsidRPr="009D6D5F">
        <w:rPr>
          <w:rFonts w:cs="Arial"/>
        </w:rPr>
        <w:t>Nisu ispunjene ranije preporuke Saveta Evrope, a koje se odnose na donošenje propisa kojima se omogućava registracija istopolnih parova i regulišu dejstva, pravne posledice i načini prestanka registrovanih partnerstava. Važno je istaći da je Odbor za evropske integracije na petoj sednici, održanoj 9. septembra, zajedno s Odborom za ljudska i manjinska prava i ravnopravnost polova doneo Zaključak u kome je konstatovana potreba daljeg kontinuiranog rada svih nadležnih državnih institucija i organa i zainteresovanih subjekata na unapređenju poštovanja osnovnih prava i sloboda građana i postizanju nulte tolerancije na diskriminaciju. Odbori su, između ostalog, pozvali Narodnu skupštinu da usvoji Deklaraciju protiv homofobije, a nadležne institucije Nacionalnu strategiju protiv nasilja</w:t>
      </w:r>
      <w:r w:rsidR="00FA4DF1">
        <w:rPr>
          <w:rStyle w:val="FootnoteReference"/>
          <w:rFonts w:cs="Arial"/>
        </w:rPr>
        <w:footnoteReference w:id="245"/>
      </w:r>
      <w:r w:rsidRPr="009D6D5F">
        <w:rPr>
          <w:rFonts w:cs="Arial"/>
        </w:rPr>
        <w:t xml:space="preserve">. </w:t>
      </w:r>
    </w:p>
    <w:p w:rsidR="009D6D5F" w:rsidRPr="009D6D5F" w:rsidRDefault="009D6D5F" w:rsidP="009D6D5F">
      <w:pPr>
        <w:spacing w:after="100" w:afterAutospacing="1" w:line="276" w:lineRule="auto"/>
        <w:rPr>
          <w:rFonts w:cs="Arial"/>
        </w:rPr>
      </w:pPr>
      <w:r w:rsidRPr="009D6D5F">
        <w:rPr>
          <w:rFonts w:cs="Arial"/>
        </w:rPr>
        <w:t>Pored toga, još uvek nisu doneta adekvatna zakonska rešenja koja bi štitila prava transrodnih osoba i omogućila jasnu i brzu promenu ličnih dokumenata, o čemu je bilo reči i u ranijim izveštajima Poverenika.</w:t>
      </w:r>
    </w:p>
    <w:p w:rsidR="009D6D5F" w:rsidRPr="009D6D5F" w:rsidRDefault="009D6D5F" w:rsidP="009D6D5F">
      <w:pPr>
        <w:spacing w:after="100" w:afterAutospacing="1" w:line="276" w:lineRule="auto"/>
        <w:rPr>
          <w:rFonts w:cs="Arial"/>
        </w:rPr>
      </w:pPr>
      <w:r w:rsidRPr="009D6D5F">
        <w:rPr>
          <w:rFonts w:cs="Arial"/>
        </w:rPr>
        <w:t>Iako se transrodne osobe suočavaju s mnoštvom problema od najranijih faza svog života, upravo su administrativno-birokratske procedure ono što najčešće prijavljuju kao najveću prepreku u ostvarivanju svojih prava. Dosadašnja haotična, neujednačena praksa po ovom pitanju izuzetno je iscrpljivala transrodne osobe, uskraćujući im pravo na rad, direktno ili indirektno, usled dužine trajanja, kao i usled neadekvatnog tretmana od zaposlenih u nadležnim organima uprave</w:t>
      </w:r>
      <w:r w:rsidR="00FA4DF1">
        <w:rPr>
          <w:rStyle w:val="FootnoteReference"/>
          <w:rFonts w:cs="Arial"/>
        </w:rPr>
        <w:footnoteReference w:id="246"/>
      </w:r>
      <w:r w:rsidRPr="009D6D5F">
        <w:rPr>
          <w:rFonts w:cs="Arial"/>
        </w:rPr>
        <w:t xml:space="preserve">. </w:t>
      </w:r>
    </w:p>
    <w:p w:rsidR="009D6D5F" w:rsidRPr="009D6D5F" w:rsidRDefault="009D6D5F" w:rsidP="009D6D5F">
      <w:pPr>
        <w:spacing w:after="100" w:afterAutospacing="1" w:line="276" w:lineRule="auto"/>
        <w:rPr>
          <w:rFonts w:cs="Arial"/>
        </w:rPr>
      </w:pPr>
      <w:r w:rsidRPr="009D6D5F">
        <w:rPr>
          <w:rFonts w:cs="Arial"/>
        </w:rPr>
        <w:t>Od ukupnog broja pritužbi koje su podnete tokom 2016. godine, 26 pritužbi podneto je zbog diskriminacije na osnovu seksualne orijentacije. Imajući u vidu da je broj pritužbi po ovom osnovu u 2015. godini iznosio 31, kao i podatke raznih istraživanja državnih institucija i organizacija civilnog društva u kojima se, na vrhu ili pri samom vrhu, pripadnici LGBT populacije navode kao najugroženija društvena grupa, može se konstatovati da se slučajevi diskriminacije zbog seksualne orijentacije retko prijavljuju. Strah od stigmatizacije i viktimizacije, kao i nepoverenje u rad državnih institucija, i dalje su prisutni među LGBT populacijom, zbog čega je neophodno preduzeti mere za njihovo osnaživanje da prijave slučajeve diskriminacije.</w:t>
      </w:r>
    </w:p>
    <w:p w:rsidR="009D6D5F" w:rsidRPr="009D6D5F" w:rsidRDefault="009D6D5F" w:rsidP="009D6D5F">
      <w:pPr>
        <w:spacing w:after="100" w:afterAutospacing="1" w:line="276" w:lineRule="auto"/>
        <w:rPr>
          <w:rFonts w:cs="Arial"/>
        </w:rPr>
      </w:pPr>
      <w:r w:rsidRPr="009D6D5F">
        <w:rPr>
          <w:rFonts w:cs="Arial"/>
        </w:rPr>
        <w:t xml:space="preserve">Najveći broj pritužbi, više od 70%, zbog diskriminacije na osnovu seksualne orijentacije, podnele su organizacije civilnog društva. U oblasti javnog informisanja i medija od svih </w:t>
      </w:r>
      <w:r w:rsidRPr="009D6D5F">
        <w:rPr>
          <w:rFonts w:cs="Arial"/>
        </w:rPr>
        <w:lastRenderedPageBreak/>
        <w:t xml:space="preserve">podnetih pritužbi po svim osnovima 48,4% odnosi se na diskriminaciju u ovoj oblasti. Potom sledi oblast rada i zapošljavanja, zatim oblast pružanja usluga ili korišćenja javnih površina i objekata.  </w:t>
      </w:r>
    </w:p>
    <w:p w:rsidR="009D6D5F" w:rsidRPr="009D6D5F" w:rsidRDefault="009D6D5F" w:rsidP="009D6D5F">
      <w:pPr>
        <w:spacing w:after="100" w:afterAutospacing="1" w:line="276" w:lineRule="auto"/>
        <w:rPr>
          <w:rFonts w:cs="Arial"/>
        </w:rPr>
      </w:pPr>
      <w:r w:rsidRPr="009D6D5F">
        <w:rPr>
          <w:rFonts w:cs="Arial"/>
        </w:rPr>
        <w:t xml:space="preserve">Analizom sadržine pritužbi može se uočiti socijalna distanca i negativan stav javnosti prema LGBT populaciji, zbog čega je neophodno preduzeti mere za prevazilaženje predrasuda, stereotipa i diskriminatornih stavova prema seksualnim manjinama u svim oblastima, a naročito u oblasti javnog informisanja i medija. Mediji u svakom trenutku moraju biti svesni odgovornosti za objavljeni tekst/vest, kao i obaveze da, pod plaštom slobode govore, ne iznose diskriminatorne stavove prema ranjivim grupama, u koje nesumnjivo spadaju pripadnici/ce LGBT populacije. </w:t>
      </w:r>
    </w:p>
    <w:p w:rsidR="00135D51" w:rsidRDefault="009D6D5F" w:rsidP="009D6D5F">
      <w:pPr>
        <w:spacing w:after="100" w:afterAutospacing="1" w:line="276" w:lineRule="auto"/>
        <w:rPr>
          <w:rFonts w:cs="Arial"/>
          <w:lang w:val="sr-Latn-RS"/>
        </w:rPr>
      </w:pPr>
      <w:r w:rsidRPr="009D6D5F">
        <w:rPr>
          <w:rFonts w:cs="Arial"/>
        </w:rPr>
        <w:t>U 2016. održana je Parade ponosa i Trans prajd bez incidenata, a teme posvećene poštovanju prava LGBT osoba prisutnije su u javnosti.</w:t>
      </w:r>
      <w:r w:rsidR="00135D51" w:rsidRPr="00135D51">
        <w:rPr>
          <w:rFonts w:cs="Arial"/>
        </w:rPr>
        <w:t xml:space="preserve"> </w:t>
      </w:r>
    </w:p>
    <w:p w:rsidR="00A833B2" w:rsidRPr="00A833B2" w:rsidRDefault="00A833B2" w:rsidP="009D6D5F">
      <w:pPr>
        <w:spacing w:after="100" w:afterAutospacing="1" w:line="276" w:lineRule="auto"/>
        <w:rPr>
          <w:rFonts w:cs="Arial"/>
          <w:lang w:val="sr-Latn-RS"/>
        </w:rPr>
      </w:pPr>
    </w:p>
    <w:p w:rsidR="00135D51" w:rsidRPr="00135D51" w:rsidRDefault="00135D51" w:rsidP="00D93153">
      <w:pPr>
        <w:pStyle w:val="Heading3"/>
        <w:numPr>
          <w:ilvl w:val="3"/>
          <w:numId w:val="18"/>
        </w:numPr>
        <w:ind w:left="1701" w:hanging="1275"/>
      </w:pPr>
      <w:bookmarkStart w:id="95" w:name="_Toc477248642"/>
      <w:bookmarkStart w:id="96" w:name="_Toc477251767"/>
      <w:r w:rsidRPr="00135D51">
        <w:t>Мишљења и препоруке</w:t>
      </w:r>
      <w:bookmarkEnd w:id="95"/>
      <w:bookmarkEnd w:id="96"/>
    </w:p>
    <w:p w:rsidR="00135D51" w:rsidRPr="00FA4DF1" w:rsidRDefault="00FA4DF1" w:rsidP="00135D51">
      <w:pPr>
        <w:shd w:val="clear" w:color="auto" w:fill="75E5FB"/>
        <w:spacing w:after="100" w:afterAutospacing="1" w:line="276" w:lineRule="auto"/>
        <w:rPr>
          <w:rFonts w:cs="Arial"/>
          <w:i/>
          <w:lang w:val="sr-Latn-RS"/>
        </w:rPr>
      </w:pPr>
      <w:r w:rsidRPr="00FA4DF1">
        <w:rPr>
          <w:rFonts w:cs="Arial"/>
          <w:i/>
          <w:lang w:val="sr-Latn-RS"/>
        </w:rPr>
        <w:t>Diskriminatorni stavovi odbornika skupštine opštine prema pripadnicima LGBT populacije</w:t>
      </w:r>
    </w:p>
    <w:p w:rsidR="00FA4DF1" w:rsidRPr="00FA4DF1" w:rsidRDefault="00FA4DF1" w:rsidP="00FA4DF1">
      <w:pPr>
        <w:spacing w:after="100" w:afterAutospacing="1" w:line="276" w:lineRule="auto"/>
        <w:rPr>
          <w:rFonts w:cs="Arial"/>
          <w:lang w:eastAsia="sr-Latn-CS"/>
        </w:rPr>
      </w:pPr>
      <w:r w:rsidRPr="00FA4DF1">
        <w:rPr>
          <w:rFonts w:cs="Arial"/>
          <w:lang w:eastAsia="sr-Latn-CS"/>
        </w:rPr>
        <w:t xml:space="preserve">Organizacija koja se bavi zaštitom ljudskih prava podnela je pritužbu protiv Dragana Vilimonovića, odbornika Skupštine opštine Trstenik, povodom izjava koje je dao na skupštinskom zasedanju 5. februara 2016. godine. Tom prilikom odbornik je izjavio: „Ja moram da se prekrstim iz razloga zato što imam informaciju da je iz budžeta opštine finansirana LGBT populacija. Pederi. Moram da pitam ko je normalan ovde dao pederima pare iz budžeta opštine.“ Kako je dalje navedeno u pritužbi, odbornik se nije obazirao na opomene predsednika skupštine, i nastavio: „Gospodo, ja upotrebljavam srpske reči i govorim srpski. I ne govorim turski ni engleski ni nemački, nego srpski, i to LGBT i šta ja znam tamo, se zovu, bato moj, pederi. Ako neko hoće da bude peder i hoće da to finansira, neka to finansira iz svog džepa, a nemoj da to finansira od mojih para i od para građana ove opštine. Ko je bre lud da to uradi, moram da vidim da li je to istina. Ovi ovde se zahvaljuju. Zahvaljuju se opštini na finansiranju.“ Odbornik je izlaganje završio rečima: „Gospodo, ako ste to uradili, to je bre luda kuća. Ko bre, finansira bre pedere? Da li je moguće da su pare iz budžeta date za to? Kakva bre diskriminacija?“ Prema navodima iz pritužbe, odbornik je na ovaj način vređao i diskriminisao LGBT populaciju, pri čemu je poslao jasnu poruku da pripadnike ove populacije treba staviti u neravnopravan položaj u pogledu prava na učešće u budžetu opštine. </w:t>
      </w:r>
    </w:p>
    <w:p w:rsidR="00FA4DF1" w:rsidRPr="00FA4DF1" w:rsidRDefault="00FA4DF1" w:rsidP="00FA4DF1">
      <w:pPr>
        <w:spacing w:after="100" w:afterAutospacing="1" w:line="276" w:lineRule="auto"/>
        <w:rPr>
          <w:rFonts w:cs="Arial"/>
          <w:lang w:val="sr-Latn-RS" w:eastAsia="sr-Latn-CS"/>
        </w:rPr>
      </w:pPr>
      <w:r w:rsidRPr="00FA4DF1">
        <w:rPr>
          <w:rFonts w:cs="Arial"/>
          <w:lang w:eastAsia="sr-Latn-CS"/>
        </w:rPr>
        <w:t>U postupku je utvrđeno da je odbornik na zasedanju Skupštine opštine izneo više diskriminatornih stavova prema pripadnicima LGBT populacije. Zbog toga je poverenica za zaštitu ravnopravnosti dala mišljenje da su izjavom koju je odbornik Dragan Vilimonović dao na sednici Skupštine opštine Trstenik, održanoj 5. februara 2016. godine, a koja se odnosi na LGBT populaciju, prekršene odredbe Zakona o zabrani diskriminacije. Draganu Vilimonoviću je preporučeno da se sastane s predstavnicima jedne LGBT organizacije kako bi se bliže upoznao s problemima te zajednice, u roku od 15 dana od dana prijema ovog mišljenja s preporukom, kao i da se ubuduće suzdrži od kršenja propisa kojima se zabranjuje diskriminacija. Po ovoj preporuci nije postupljeno.</w:t>
      </w:r>
    </w:p>
    <w:p w:rsidR="00135D51" w:rsidRPr="00FA4DF1" w:rsidRDefault="00FA4DF1" w:rsidP="00135D51">
      <w:pPr>
        <w:shd w:val="clear" w:color="auto" w:fill="75E5FB"/>
        <w:spacing w:before="240" w:after="100" w:afterAutospacing="1"/>
        <w:rPr>
          <w:rFonts w:eastAsia="Times New Roman" w:cs="Arial"/>
          <w:i/>
          <w:lang w:val="sr-Latn-RS"/>
        </w:rPr>
      </w:pPr>
      <w:r w:rsidRPr="00FA4DF1">
        <w:rPr>
          <w:rFonts w:eastAsia="Times New Roman" w:cs="Arial"/>
          <w:i/>
          <w:lang w:val="sr-Latn-RS"/>
        </w:rPr>
        <w:lastRenderedPageBreak/>
        <w:t>Predsednik političke stranke u izjavama za medije vređao LGBT populaciju</w:t>
      </w:r>
    </w:p>
    <w:p w:rsidR="00FA4DF1" w:rsidRPr="00FA4DF1" w:rsidRDefault="00FA4DF1" w:rsidP="00FA4DF1">
      <w:pPr>
        <w:spacing w:after="100" w:afterAutospacing="1" w:line="276" w:lineRule="auto"/>
        <w:rPr>
          <w:rFonts w:cs="Arial"/>
          <w:lang w:eastAsia="sr-Latn-CS"/>
        </w:rPr>
      </w:pPr>
      <w:r w:rsidRPr="00FA4DF1">
        <w:rPr>
          <w:rFonts w:cs="Arial"/>
          <w:lang w:eastAsia="sr-Latn-CS"/>
        </w:rPr>
        <w:t>Poverenica za zaštitu ravnopravnosti razmatrala je pritužbu podnetu protiv Jedinstvene Srbije povodom izjava koje je njen predsednik Dragan Marković dao u intervjuu u nedeljniku Afera 13. januara 2016. godine. Pritužba je podneta zbog diskriminacije na osnovu seksualne orijentacije, jer je u intervjuu predsednik ove političke stranke, govoreći o LGBT populaciji, između ostalog izjavio: „Kakva bre populacija? To su grupice ljudi koje od svojih i tuđih zdravstvenih problema prave biznis. Kako da podržim nešto što je protivprirodno…“</w:t>
      </w:r>
    </w:p>
    <w:p w:rsidR="00FA4DF1" w:rsidRPr="00FA4DF1" w:rsidRDefault="00FA4DF1" w:rsidP="00FA4DF1">
      <w:pPr>
        <w:spacing w:after="100" w:afterAutospacing="1" w:line="276" w:lineRule="auto"/>
        <w:rPr>
          <w:rFonts w:cs="Arial"/>
          <w:lang w:eastAsia="sr-Latn-CS"/>
        </w:rPr>
      </w:pPr>
      <w:r w:rsidRPr="00FA4DF1">
        <w:rPr>
          <w:rFonts w:cs="Arial"/>
          <w:lang w:eastAsia="sr-Latn-CS"/>
        </w:rPr>
        <w:t xml:space="preserve">Poverenica je utvrdila da iznošenje ovakvog stava predstavlja akt diskriminacije, jer vređa dostojanstvo osoba istopolne seksualne orijentacije i u odnosu na njih stvara ponižavajuće i uvredljivo okruženje, doprinosi širenju stereotipa i predrasuda, kao i stigmatizaciji i netoleranciji. Istakla je da posebnu odgovornost i težinu ima to što je ovakvu izjavu izneo nosilac javne vlasti, čija je ustavna i zakonska dužnost da poštuje zabranu diskriminacije i ravnopravnost svih građana i građanki. </w:t>
      </w:r>
    </w:p>
    <w:p w:rsidR="00FA4DF1" w:rsidRDefault="00FA4DF1" w:rsidP="00FA4DF1">
      <w:pPr>
        <w:spacing w:after="100" w:afterAutospacing="1" w:line="276" w:lineRule="auto"/>
        <w:rPr>
          <w:rFonts w:cs="Arial"/>
          <w:lang w:val="sr-Latn-RS" w:eastAsia="sr-Latn-CS"/>
        </w:rPr>
      </w:pPr>
      <w:r w:rsidRPr="00FA4DF1">
        <w:rPr>
          <w:rFonts w:cs="Arial"/>
          <w:lang w:eastAsia="sr-Latn-CS"/>
        </w:rPr>
        <w:t>Zbog toga je dato mišljenje da je predsednik Jedinstvene Srbije Dragan Marković svojim izjavama prekršio odredbe Zakona o zabrani diskriminacije. Preporučeno mu je da uputi izvinjenje pripadnicima i pripadnicama LGBT populacije, koje će objaviti u jednom dnevnom listu s nacionalnim tiražom, da ubuduće ne daje izjave kojima se vređa dostojanstvo LGBT populacije i podržavaju stereotipi prema osobama istopolne seksualne orijentacije, te da svojim postupanjem doprinosi smanjenju homofobije, nasilja i diskriminacije i povećanju tolerancije prema ovoj populaciji, kao i svim drugim manjinskim grupama. Po ovoj preporuci nije postupljeno.</w:t>
      </w:r>
    </w:p>
    <w:p w:rsidR="00135D51" w:rsidRPr="00FA4DF1" w:rsidRDefault="00FA4DF1" w:rsidP="00135D51">
      <w:pPr>
        <w:shd w:val="clear" w:color="auto" w:fill="75E5FB"/>
        <w:spacing w:before="240" w:after="100" w:afterAutospacing="1"/>
        <w:outlineLvl w:val="0"/>
        <w:rPr>
          <w:rFonts w:cs="Arial"/>
          <w:i/>
          <w:lang w:val="sr-Latn-RS" w:eastAsia="sr-Latn-CS"/>
        </w:rPr>
      </w:pPr>
      <w:bookmarkStart w:id="97" w:name="_Toc476904363"/>
      <w:bookmarkStart w:id="98" w:name="_Toc476908715"/>
      <w:bookmarkStart w:id="99" w:name="_Toc477248643"/>
      <w:bookmarkStart w:id="100" w:name="_Toc477250774"/>
      <w:bookmarkStart w:id="101" w:name="_Toc477251768"/>
      <w:r w:rsidRPr="00FA4DF1">
        <w:rPr>
          <w:rFonts w:cs="Arial"/>
          <w:i/>
          <w:lang w:val="sr-Latn-RS" w:eastAsia="sr-Latn-CS"/>
        </w:rPr>
        <w:t>Diskriminatorno izveštavanje internet portala o LGBT populaciji</w:t>
      </w:r>
      <w:bookmarkEnd w:id="97"/>
      <w:bookmarkEnd w:id="98"/>
      <w:bookmarkEnd w:id="99"/>
      <w:bookmarkEnd w:id="100"/>
      <w:bookmarkEnd w:id="101"/>
    </w:p>
    <w:p w:rsidR="00FA4DF1" w:rsidRPr="00FA4DF1" w:rsidRDefault="00FA4DF1" w:rsidP="00FA4DF1">
      <w:pPr>
        <w:spacing w:after="100" w:afterAutospacing="1" w:line="276" w:lineRule="auto"/>
        <w:rPr>
          <w:rFonts w:cs="Arial"/>
          <w:lang w:eastAsia="sr-Latn-CS"/>
        </w:rPr>
      </w:pPr>
      <w:r w:rsidRPr="00FA4DF1">
        <w:rPr>
          <w:rFonts w:cs="Arial"/>
          <w:lang w:eastAsia="sr-Latn-CS"/>
        </w:rPr>
        <w:t xml:space="preserve">Objavljivanje tekstova kojima se diskriminiše LGBT populacija bilo je predmet pritužbe podnete protiv izdavača internet portala Srbin.info. U toku postupka utvrđeno je da je prilikom izveštavanja o LGBT populaciji, u tekstovima: „Svaka čast – razbijena gej parada u Moldaviji“, „Sodoma i Gomora u Beogradu“, „Parada srama završena“, „Strašno: Na gej paradi u Beogradu promovisali pedofiliju“, „Homoseksualci stvaraju gej populaciju“, „Homoseksualnost, bolest ili opredeljenje“ i „Satanizacija Srbije i njen politički establišment“, objavljenim na ovom portalu u periodu od maja 2015. do marta 2016. godine, uredništvo portala povredilo dostojanstva lica drugačije seksualne orijentacije i stvorilo strah, neprijateljsko, ponižavajuće i uvredljivo okruženje prema LGBT populaciji. Osobe homoseksualne orijentacije su u ovim tekstovima dovođene u kontekst bolesti, nastranosti, pedofilije. Utvrđeno je da je način izveštavanja portala o LGBT populaciji u navedenim tekstovima neprihvatljiv i suprotan antidiskriminacionim propisima. </w:t>
      </w:r>
    </w:p>
    <w:p w:rsidR="00FA4DF1" w:rsidRDefault="00FA4DF1" w:rsidP="00FA4DF1">
      <w:pPr>
        <w:spacing w:after="100" w:afterAutospacing="1" w:line="276" w:lineRule="auto"/>
        <w:rPr>
          <w:rFonts w:cs="Arial"/>
          <w:lang w:val="sr-Latn-RS" w:eastAsia="sr-Latn-CS"/>
        </w:rPr>
      </w:pPr>
      <w:r w:rsidRPr="00FA4DF1">
        <w:rPr>
          <w:rFonts w:cs="Arial"/>
          <w:lang w:eastAsia="sr-Latn-CS"/>
        </w:rPr>
        <w:t xml:space="preserve">Zbog toga je dato mišljenje da su naslovima ovih tekstova izražene ideje i stavovi koji su uznemirujući i ponižavajući i kojima se vređa dostojanstvo osoba drugačije seksualne orijentacije od heteroseksualne. Uredništvu internet portala je preporučeno da zbog iznošenja diskriminatornih stavova uputi izvinjenje pripadnicima i pripadnicama LGBT populacije, koje će objaviti na ovom portalu, kao i da ubuduće ne objavljuje tekstove kojima se vređa dostojanstvo pripadnika i pripadnica LGBT populacije i podržavaju stereotipi prema osobama istopolne seksualne orijentacije, te da svojim prilozima doprinosi smanjenju </w:t>
      </w:r>
      <w:r w:rsidRPr="00FA4DF1">
        <w:rPr>
          <w:rFonts w:cs="Arial"/>
          <w:lang w:eastAsia="sr-Latn-CS"/>
        </w:rPr>
        <w:lastRenderedPageBreak/>
        <w:t>homofobije, nasilja i diskriminacije i povećanju tolerancije prema ovoj populaciji, kao i svim drugim manjinskim grupama. Po ovoj preporuci nije postupljeno.</w:t>
      </w:r>
    </w:p>
    <w:p w:rsidR="00135D51" w:rsidRPr="00FA4DF1" w:rsidRDefault="00FA4DF1" w:rsidP="00135D51">
      <w:pPr>
        <w:shd w:val="clear" w:color="auto" w:fill="75E5FB"/>
        <w:spacing w:before="240" w:after="100" w:afterAutospacing="1"/>
        <w:outlineLvl w:val="0"/>
        <w:rPr>
          <w:rFonts w:cs="Arial"/>
          <w:i/>
          <w:lang w:val="sr-Latn-RS"/>
        </w:rPr>
      </w:pPr>
      <w:bookmarkStart w:id="102" w:name="_Toc476904364"/>
      <w:bookmarkStart w:id="103" w:name="_Toc476908716"/>
      <w:bookmarkStart w:id="104" w:name="_Toc477248644"/>
      <w:bookmarkStart w:id="105" w:name="_Toc477250775"/>
      <w:bookmarkStart w:id="106" w:name="_Toc477251769"/>
      <w:r w:rsidRPr="00FA4DF1">
        <w:rPr>
          <w:rFonts w:cs="Arial"/>
          <w:i/>
          <w:lang w:val="sr-Latn-RS"/>
        </w:rPr>
        <w:t>Diskriminacija u pružanju usluge izdavanja prostora</w:t>
      </w:r>
      <w:bookmarkEnd w:id="102"/>
      <w:bookmarkEnd w:id="103"/>
      <w:bookmarkEnd w:id="104"/>
      <w:bookmarkEnd w:id="105"/>
      <w:bookmarkEnd w:id="106"/>
    </w:p>
    <w:p w:rsidR="00FA4DF1" w:rsidRPr="00FA4DF1" w:rsidRDefault="00FA4DF1" w:rsidP="00FA4DF1">
      <w:pPr>
        <w:spacing w:after="100" w:afterAutospacing="1" w:line="276" w:lineRule="auto"/>
        <w:rPr>
          <w:rFonts w:cs="Arial"/>
        </w:rPr>
      </w:pPr>
      <w:r w:rsidRPr="00FA4DF1">
        <w:rPr>
          <w:rFonts w:cs="Arial"/>
        </w:rPr>
        <w:t xml:space="preserve">Udruženje građana podnelo je pritužbu protiv jednog kulturnog centra, zbog diskriminacije po osnovu seksualne orijentacije i rodnog identiteta. U pritužbi je navedeno da su podnosioci pritužbe organizovali više tribina po gradovima Republike Srbije pod nazivom „Niko nije slobodan dok svi nismo slobodni“, u okviru projekta „LGBT karavan“. Iako su postojali pregovori u vezi sa zakupom prostora kulturnog centra radi održavanja tribine, direktor ove javne ustanove odbio je da pruži takvu uslugu udruženju građana. Podnosioci pritužbe smatraju da su na navedeni način pretrpeli diskriminaciju zbog seksualne orijentacije i rodnog identiteta. </w:t>
      </w:r>
    </w:p>
    <w:p w:rsidR="00647707" w:rsidRDefault="00FA4DF1" w:rsidP="00FA4DF1">
      <w:pPr>
        <w:spacing w:after="100" w:afterAutospacing="1" w:line="276" w:lineRule="auto"/>
        <w:rPr>
          <w:rFonts w:cs="Arial"/>
          <w:lang w:val="sr-Latn-RS"/>
        </w:rPr>
      </w:pPr>
      <w:r w:rsidRPr="00FA4DF1">
        <w:rPr>
          <w:rFonts w:cs="Arial"/>
        </w:rPr>
        <w:t>U toku postupka, kulturni centar nije pružio dokaze da je uslugu izdavanja prostora odbio da pruži iz bilo kog objektivnog razloga udruženju građana koje je podnelo pritužbu. Imajući u vidu da je podnosilac pritužbe učinio verovatnom diskriminaciju na osnovu seksualne orijentacije i rodnog identiteta, primenom pravila o preraspodeli tereta dokazivanja, utvrđena je dikriminacija u pružanju javnih usluga. Zbog toga je poverenica za zaštitu ravnopravnosti dala mišljenje da je kulturni centar prekršio propise koji zabranjuju diskriminaciju i dala preporuku ovoj javnoj ustanovi da uputi pismo izvinjenja udruženju građana, da ubuduće ne krši antidiskriminacione propise i da svojom delatnošću doprinosi razvijanju tolerancije i društva jednakih, kao i da okači ovo mišljenje na oglasnu tablu. Po ovoj preporuci je postupljeno.</w:t>
      </w:r>
    </w:p>
    <w:p w:rsidR="00135D51" w:rsidRPr="00FA4DF1" w:rsidRDefault="00FA4DF1" w:rsidP="00135D51">
      <w:pPr>
        <w:shd w:val="clear" w:color="auto" w:fill="75E5FB"/>
        <w:spacing w:before="240" w:line="276" w:lineRule="auto"/>
        <w:rPr>
          <w:rStyle w:val="Emphasis"/>
          <w:rFonts w:cs="Arial"/>
          <w:lang w:val="sr-Latn-RS"/>
        </w:rPr>
      </w:pPr>
      <w:r w:rsidRPr="00FA4DF1">
        <w:rPr>
          <w:rStyle w:val="Emphasis"/>
          <w:rFonts w:cs="Arial"/>
          <w:lang w:val="sr-Latn-RS"/>
        </w:rPr>
        <w:t>Naslovima u dnevnim novinama povređeno dostojanstvo pripadnika i pripadnica LGBT populacije</w:t>
      </w:r>
    </w:p>
    <w:p w:rsidR="00FA4DF1" w:rsidRPr="00FA4DF1" w:rsidRDefault="00FA4DF1" w:rsidP="00A833B2">
      <w:pPr>
        <w:pStyle w:val="NoSpacing"/>
        <w:spacing w:line="276" w:lineRule="auto"/>
        <w:jc w:val="both"/>
        <w:rPr>
          <w:rStyle w:val="Emphasis"/>
          <w:rFonts w:ascii="Arial" w:hAnsi="Arial" w:cs="Arial"/>
          <w:i w:val="0"/>
          <w:lang w:val="sr-Cyrl-CS"/>
        </w:rPr>
      </w:pPr>
      <w:r w:rsidRPr="00FA4DF1">
        <w:rPr>
          <w:rStyle w:val="Emphasis"/>
          <w:rFonts w:ascii="Arial" w:hAnsi="Arial" w:cs="Arial"/>
          <w:i w:val="0"/>
          <w:lang w:val="sr-Cyrl-CS"/>
        </w:rPr>
        <w:t xml:space="preserve">Mišljenje je doneto u postupku koji je pokrenut pritužbama dve organizacije civilnog društva, a povodom naslova objavljenih u dnevnim novinama Srpski telegraf 16. i 18. aprila 2016. godine, i to: „Gejevi šire sidu po Srbiji“ i „Patrijarh za Srpski telegraf: Gejevi su bolesni! Taj problem se mora iskoreniti“, kao i povodom naslova tekstova objavljenih u istom izdanju ovih novina: „Gejevi šire sidu po Srbiji“ i „Biti gej je teška bolest, moramo je iskoreniti“. Podnosioci pritužbi smatraju da je takvim naslovima i tekstovima Srpski telegraf diskriminisao građane i građanke Srbije po osnovu seksualne orijentacije. </w:t>
      </w:r>
    </w:p>
    <w:p w:rsidR="00FA4DF1" w:rsidRPr="00FA4DF1" w:rsidRDefault="00FA4DF1" w:rsidP="00A833B2">
      <w:pPr>
        <w:pStyle w:val="NoSpacing"/>
        <w:spacing w:line="276" w:lineRule="auto"/>
        <w:jc w:val="both"/>
        <w:rPr>
          <w:rStyle w:val="Emphasis"/>
          <w:rFonts w:ascii="Arial" w:hAnsi="Arial" w:cs="Arial"/>
          <w:i w:val="0"/>
          <w:lang w:val="sr-Cyrl-CS"/>
        </w:rPr>
      </w:pPr>
      <w:r w:rsidRPr="00FA4DF1">
        <w:rPr>
          <w:rStyle w:val="Emphasis"/>
          <w:rFonts w:ascii="Arial" w:hAnsi="Arial" w:cs="Arial"/>
          <w:i w:val="0"/>
          <w:lang w:val="sr-Cyrl-CS"/>
        </w:rPr>
        <w:t xml:space="preserve">Nakon sprovedenog postupka i utvrđenog činjeničnog stanja, poverenica za zaštitu ravnopravnosti dala je mišljenje da su naslovima „Alarmantno otkriće doktora: Gejevi šire sidu po Srbiji“, tekstom pod naslovom „Gejevi šire HIV po Srbiji“, nadnaslovom ovog teksta: „Analni seks i homoseksualni odnosi krivci za porast broja zaraženih“, fotografijom dva mladića, koji se kreću jedan iza drugog, a mladić koji hoda ispred navodno „izgovara“: „Ti budi vozić, a ja ću lokomotiva!“ i antrfileom „Prečica do seksa“, objavljenim u dnevnim novinama Srpski telegraf 16. aprila 2016. godine, kao i naslovom „Patrijarh za Srpski telegraf: Gejevi su bolesni! Taj problem se mora iskoreniti“, i naslovom teksta „Patrijarh o LGBT udaru na novine – Biti gej je teška bolest, moramo je iskoreniti“, objavljenim u dnevnim novinama Srpski telegraf 18. aprila 2016. godine, izražene ideje i stavovi koji su uznemirujući i ponižavajući i kojima se vređa dostojanstvo osoba drugačije seksualne orijentacije od heteroseksualne, čime su prekršene odredbe Zakona o zabrani diskriminacije. </w:t>
      </w:r>
    </w:p>
    <w:p w:rsidR="00135D51" w:rsidRDefault="00FA4DF1" w:rsidP="00A833B2">
      <w:pPr>
        <w:pStyle w:val="NoSpacing"/>
        <w:spacing w:line="276" w:lineRule="auto"/>
        <w:jc w:val="both"/>
        <w:rPr>
          <w:rStyle w:val="Emphasis"/>
          <w:rFonts w:ascii="Arial" w:hAnsi="Arial" w:cs="Arial"/>
          <w:i w:val="0"/>
          <w:lang w:val="sr-Latn-RS"/>
        </w:rPr>
      </w:pPr>
      <w:r w:rsidRPr="00FA4DF1">
        <w:rPr>
          <w:rStyle w:val="Emphasis"/>
          <w:rFonts w:ascii="Arial" w:hAnsi="Arial" w:cs="Arial"/>
          <w:i w:val="0"/>
          <w:lang w:val="sr-Cyrl-CS"/>
        </w:rPr>
        <w:lastRenderedPageBreak/>
        <w:t>Zbog toga je glavnom i odgovornom uredniku ovih novina preporučeno da pozove na sastanak predstavnike i predstavnice organizacija civilnog društva koje su podnele pritužbu, radi sticanja neposrednog uvida u to s kakvim se problemima LGBT osobe suočavaju u svakodnevnom životu i kako su na njih uticale naslovnice i tekstovi ove sadržine, kao i da ubuduće ne objavljuje priloge kojima se vređa dostojanstvo pripadnika i pripadnica LGBT populacije i podržavaju predrasude prema marginalizivanim društvenim grupama, te da svojim prilozima doprinosi izmeni obrazaca, običaja i prakse koji uslovljavaju stereotipe, predrasude i diskriminaciju LGBT osoba. Po ovoj preporuci nije postupljeno.</w:t>
      </w:r>
    </w:p>
    <w:p w:rsidR="00FA4DF1" w:rsidRDefault="00FA4DF1" w:rsidP="00FA4DF1">
      <w:pPr>
        <w:pStyle w:val="NoSpacing"/>
        <w:rPr>
          <w:rStyle w:val="Emphasis"/>
          <w:rFonts w:ascii="Arial" w:hAnsi="Arial" w:cs="Arial"/>
          <w:i w:val="0"/>
          <w:lang w:val="sr-Latn-RS"/>
        </w:rPr>
      </w:pPr>
    </w:p>
    <w:p w:rsidR="00FA4DF1" w:rsidRPr="00FA4DF1" w:rsidRDefault="00FA4DF1" w:rsidP="00FA4DF1">
      <w:pPr>
        <w:pStyle w:val="NoSpacing"/>
        <w:rPr>
          <w:rStyle w:val="Emphasis"/>
          <w:rFonts w:cs="Arial"/>
          <w:i w:val="0"/>
          <w:sz w:val="2"/>
          <w:lang w:val="sr-Latn-RS"/>
        </w:rPr>
      </w:pPr>
    </w:p>
    <w:p w:rsidR="00135D51" w:rsidRPr="00135D51" w:rsidRDefault="001572F5" w:rsidP="00D93153">
      <w:pPr>
        <w:pStyle w:val="Heading3"/>
        <w:numPr>
          <w:ilvl w:val="3"/>
          <w:numId w:val="18"/>
        </w:numPr>
        <w:ind w:left="1701" w:hanging="1134"/>
      </w:pPr>
      <w:bookmarkStart w:id="107" w:name="_Toc477248645"/>
      <w:bookmarkStart w:id="108" w:name="_Toc477251770"/>
      <w:r>
        <w:rPr>
          <w:lang w:val="sr-Latn-RS"/>
        </w:rPr>
        <w:t>Upozorenja i saopštenja</w:t>
      </w:r>
      <w:bookmarkEnd w:id="107"/>
      <w:bookmarkEnd w:id="108"/>
    </w:p>
    <w:p w:rsidR="00135D51" w:rsidRPr="001572F5" w:rsidRDefault="001572F5" w:rsidP="00135D51">
      <w:pPr>
        <w:shd w:val="clear" w:color="auto" w:fill="75E5FB"/>
        <w:spacing w:after="100" w:afterAutospacing="1"/>
        <w:rPr>
          <w:rFonts w:cs="Arial"/>
          <w:i/>
          <w:lang w:val="sr-Latn-RS"/>
        </w:rPr>
      </w:pPr>
      <w:r w:rsidRPr="001572F5">
        <w:rPr>
          <w:rFonts w:cs="Arial"/>
          <w:i/>
          <w:lang w:val="sr-Latn-RS"/>
        </w:rPr>
        <w:t>Saopštenje povodom Međunarodnog dana ponosa, 28. jun 2016.</w:t>
      </w:r>
    </w:p>
    <w:p w:rsidR="001572F5" w:rsidRPr="001572F5" w:rsidRDefault="001572F5" w:rsidP="001572F5">
      <w:pPr>
        <w:spacing w:after="100" w:afterAutospacing="1" w:line="276" w:lineRule="auto"/>
        <w:rPr>
          <w:rFonts w:cs="Arial"/>
        </w:rPr>
      </w:pPr>
      <w:r w:rsidRPr="001572F5">
        <w:rPr>
          <w:rFonts w:cs="Arial"/>
        </w:rPr>
        <w:t>Ovim saopštenjem poverenica je svim pripadnicima i pripadnicama LGBT populacije u Srbiji čestitala Međunarodni dan ponosa i ujedno istakla da su, i pored pomaka u pravcu poboljšanja njihovog položaja, LGBT osobe i dalje izložene diskriminaciji, napadima i govoru mržnje. Istovremeno, Povereniku za zaštitu ravnopravnosti pritužbe najčešće podnose organizacije civilnog društva, što ukazuje na to da LGBT osobe još uvek žive u atmosferi straha, netrpeljivosti i odbacivanja od okoline. Lična bezbednost i dostojanstven život moraju biti garantovani svakom građaninu i građanki Srbije, zbog čega svi nadležni treba da kontinuirano preduzimaju mere i pružaju punu zaštitu ovoj populaciji. Poverenik za zaštitu ravnopravnosti i dalje će raditi na suzbijanju svih oblika diskriminacije, kao i homofobije i transfobije, uz afirmisanje ideja tolerancije i poštovanja ljudskih prava.</w:t>
      </w:r>
    </w:p>
    <w:p w:rsidR="001572F5" w:rsidRDefault="001572F5" w:rsidP="001572F5">
      <w:pPr>
        <w:spacing w:after="100" w:afterAutospacing="1" w:line="276" w:lineRule="auto"/>
        <w:rPr>
          <w:rFonts w:cs="Arial"/>
          <w:lang w:val="sr-Latn-RS"/>
        </w:rPr>
      </w:pPr>
      <w:r w:rsidRPr="001572F5">
        <w:rPr>
          <w:rFonts w:cs="Arial"/>
        </w:rPr>
        <w:t>Međunarodni dan ponosa obeležava se u znak sećanja na događaj poznat kao Stounvolska revolucija u NJujorku, 1969. godine, i pobunu protiv hapšenja i policijskog ugnjetavanja LGBT osoba, što označava početak savremenog LGBT pokreta.</w:t>
      </w:r>
    </w:p>
    <w:p w:rsidR="00135D51" w:rsidRPr="001572F5" w:rsidRDefault="001572F5" w:rsidP="00135D51">
      <w:pPr>
        <w:shd w:val="clear" w:color="auto" w:fill="75E5FB"/>
        <w:spacing w:before="240" w:after="100" w:afterAutospacing="1" w:line="276" w:lineRule="auto"/>
        <w:rPr>
          <w:rFonts w:cs="Arial"/>
          <w:i/>
          <w:lang w:val="sr-Latn-RS"/>
        </w:rPr>
      </w:pPr>
      <w:r w:rsidRPr="001572F5">
        <w:rPr>
          <w:rFonts w:cs="Arial"/>
          <w:i/>
          <w:lang w:val="sr-Latn-RS"/>
        </w:rPr>
        <w:t>Saopštenje povodom Međunarodnog dana borbe protiv homofobije i transfobije, 17. maj 2016.</w:t>
      </w:r>
      <w:r>
        <w:rPr>
          <w:rFonts w:cs="Arial"/>
          <w:i/>
          <w:lang w:val="sr-Latn-RS"/>
        </w:rPr>
        <w:t xml:space="preserve"> </w:t>
      </w:r>
    </w:p>
    <w:p w:rsidR="001572F5" w:rsidRDefault="001572F5" w:rsidP="00135D51">
      <w:pPr>
        <w:spacing w:after="100" w:afterAutospacing="1" w:line="276" w:lineRule="auto"/>
        <w:rPr>
          <w:rFonts w:cs="Arial"/>
          <w:lang w:val="sr-Latn-RS"/>
        </w:rPr>
      </w:pPr>
      <w:r w:rsidRPr="001572F5">
        <w:rPr>
          <w:rFonts w:cs="Arial"/>
        </w:rPr>
        <w:t>U ovom saopštenju izdatom povodom 17. maja, Međunarodnog dana borbe protiv homofobije i transfobije, poverenica za zaštitu ravnopravnosti podsetila je javnost da je svaka diskriminacija, pa i na osnovu seksualne orijentacije i rodnog identiteta, zabranjena zakonom i da se ne sme tolerisati. Činjenica da su dve Parade ponosa i Trans prajd održane bez incidenata, kao i da su teme posvećene poštovanju prava LGBT osoba prisutnije u javnosti, te da postoji izvestan napredak u poboljšanju položaja ove populacije, ne sme da zavara, jer su homofobija i transfobija i dalje prisutne u našem društvu. Poverenica je kao i u ranijim prilikama apelovala na medije da o transrodnim, transpolnim i svim osobama drugačije seksualne orijentacije, izveštavaju bez senzacionalizma i diskriminatornih stavova, da štite njihovo dostojanstvo i privatnost i ne upotrebljavaju ponižavajuće i uvredljive izraze. Nažalost, u pojedinim medijima je takvo izveštavanje i dalje praksa, pa je i ovaj Dan prilika da se još jednom podsete na odgovornost koju imaju u oblikovanju stavova najšire javnosti.</w:t>
      </w:r>
    </w:p>
    <w:p w:rsidR="006306B6" w:rsidRDefault="006306B6" w:rsidP="00135D51">
      <w:pPr>
        <w:spacing w:after="100" w:afterAutospacing="1" w:line="276" w:lineRule="auto"/>
        <w:rPr>
          <w:rFonts w:cs="Arial"/>
          <w:lang w:val="sr-Latn-RS"/>
        </w:rPr>
      </w:pPr>
    </w:p>
    <w:p w:rsidR="006306B6" w:rsidRPr="006306B6" w:rsidRDefault="006306B6" w:rsidP="00135D51">
      <w:pPr>
        <w:spacing w:after="100" w:afterAutospacing="1" w:line="276" w:lineRule="auto"/>
        <w:rPr>
          <w:rFonts w:cs="Arial"/>
          <w:lang w:val="sr-Latn-RS"/>
        </w:rPr>
      </w:pPr>
    </w:p>
    <w:p w:rsidR="00135D51" w:rsidRPr="00135D51" w:rsidRDefault="001572F5" w:rsidP="0032797E">
      <w:pPr>
        <w:shd w:val="clear" w:color="auto" w:fill="75E5FB"/>
        <w:spacing w:before="0" w:after="100" w:afterAutospacing="1" w:line="480" w:lineRule="auto"/>
        <w:rPr>
          <w:rFonts w:cs="Arial"/>
          <w:i/>
        </w:rPr>
      </w:pPr>
      <w:r>
        <w:rPr>
          <w:rFonts w:cs="Arial"/>
          <w:i/>
          <w:lang w:val="sr-Latn-RS"/>
        </w:rPr>
        <w:lastRenderedPageBreak/>
        <w:t xml:space="preserve">Upozorenje povodom napada na LGBT aktivistu Bobana Stojanovića, </w:t>
      </w:r>
      <w:r w:rsidR="00135D51" w:rsidRPr="00135D51">
        <w:rPr>
          <w:rFonts w:cs="Arial"/>
          <w:i/>
        </w:rPr>
        <w:t xml:space="preserve">24. </w:t>
      </w:r>
      <w:r>
        <w:rPr>
          <w:rFonts w:cs="Arial"/>
          <w:i/>
          <w:lang w:val="sr-Latn-RS"/>
        </w:rPr>
        <w:t>april</w:t>
      </w:r>
      <w:r w:rsidR="00135D51" w:rsidRPr="00135D51">
        <w:rPr>
          <w:rFonts w:cs="Arial"/>
          <w:i/>
        </w:rPr>
        <w:t xml:space="preserve"> 2016.</w:t>
      </w:r>
    </w:p>
    <w:p w:rsidR="001572F5" w:rsidRPr="001572F5" w:rsidRDefault="001572F5" w:rsidP="006306B6">
      <w:pPr>
        <w:spacing w:line="276" w:lineRule="auto"/>
        <w:rPr>
          <w:rFonts w:cs="Arial"/>
        </w:rPr>
      </w:pPr>
      <w:r w:rsidRPr="001572F5">
        <w:rPr>
          <w:rFonts w:cs="Arial"/>
        </w:rPr>
        <w:t>Poverenica za zaštitu ravnopravnosti najoštrije je osudila napad na LGBT aktivistu Bobana Stojanovića i apelovala na nadležne organe da što pre pronađu i kazne počinioce. Svaki vid nasilja, pretnji i govora mržnje prema pripadnicima bilo koje manjinske ili ugrožene grupe, pa i LGBT populacije, mora da bude adekvatno sankcionisan, kako bi osobe različite seksualne orijentacije živele bez straha za svoju bezbednost.</w:t>
      </w:r>
    </w:p>
    <w:p w:rsidR="00135D51" w:rsidRPr="001572F5" w:rsidRDefault="001572F5" w:rsidP="0032797E">
      <w:pPr>
        <w:shd w:val="clear" w:color="auto" w:fill="75E5FB"/>
        <w:spacing w:before="360" w:after="100" w:afterAutospacing="1"/>
        <w:rPr>
          <w:rFonts w:cs="Arial"/>
          <w:i/>
          <w:lang w:val="sr-Latn-RS"/>
        </w:rPr>
      </w:pPr>
      <w:r>
        <w:rPr>
          <w:rFonts w:cs="Arial"/>
          <w:i/>
          <w:lang w:val="sr-Latn-RS"/>
        </w:rPr>
        <w:t xml:space="preserve">Upozorenje povodom homofobije u novinskim tekstovima, </w:t>
      </w:r>
      <w:r w:rsidR="00135D51" w:rsidRPr="00135D51">
        <w:rPr>
          <w:rFonts w:cs="Arial"/>
          <w:i/>
        </w:rPr>
        <w:t xml:space="preserve">18. </w:t>
      </w:r>
      <w:r>
        <w:rPr>
          <w:rFonts w:cs="Arial"/>
          <w:i/>
          <w:lang w:val="sr-Latn-RS"/>
        </w:rPr>
        <w:t>april</w:t>
      </w:r>
      <w:r w:rsidR="00135D51" w:rsidRPr="00135D51">
        <w:rPr>
          <w:rFonts w:cs="Arial"/>
          <w:i/>
        </w:rPr>
        <w:t xml:space="preserve"> 2016.</w:t>
      </w:r>
    </w:p>
    <w:p w:rsidR="001572F5" w:rsidRPr="001572F5" w:rsidRDefault="001572F5" w:rsidP="001572F5">
      <w:pPr>
        <w:spacing w:after="100" w:afterAutospacing="1" w:line="276" w:lineRule="auto"/>
        <w:rPr>
          <w:rFonts w:cs="Arial"/>
        </w:rPr>
      </w:pPr>
      <w:r w:rsidRPr="001572F5">
        <w:rPr>
          <w:rFonts w:cs="Arial"/>
        </w:rPr>
        <w:t>Poverenica za zaštitu ravnopravnosti osudila je uvredljive i omalovažavajuće tekstove prema LGBT osobama koji se objavljuju u pojedinim medijima, kao i nedopustivo senzacionalističko izveštavanje o nasilju nad ženama. Poverenica je istakla da se prilikom izveštavanja o nasilju nad bilo kojom društvenom grupom moraju štititi prava i dostojanstvo žrtava zločina i članova njihovih porodica.</w:t>
      </w:r>
    </w:p>
    <w:p w:rsidR="001572F5" w:rsidRDefault="001572F5" w:rsidP="001572F5">
      <w:pPr>
        <w:spacing w:after="100" w:afterAutospacing="1" w:line="276" w:lineRule="auto"/>
        <w:rPr>
          <w:rFonts w:cs="Arial"/>
          <w:lang w:val="sr-Latn-RS"/>
        </w:rPr>
      </w:pPr>
      <w:r w:rsidRPr="001572F5">
        <w:rPr>
          <w:rFonts w:cs="Arial"/>
        </w:rPr>
        <w:t>Svetska zdravstvena organizacija skinula je homoseksualnost s liste bolesti još 1990. godine, tako da novinski tekstovi u kojima se prenošenje HIV virusa pripisuje homoseksualcima vređaju dostojanstvo i ugrožavaju prava pripadnika LGBT populacije, a štetni su i za osobe koje žive sa HIV-om, čiji se položaj dodatno otežava senzacionalističkim naslovima i širenjem netačnih informacija o načinu prenošenja virusa. Novinarima, urednicima i vlasnicima medija ujedno je upućen i apel da se pridržavaju kodeksa novinara Srbije, u kome jasno stoji da je novinarska profesija nespojiva sa širenjem bilo koje vrste stereotipa i diskriminatornih stavova.</w:t>
      </w:r>
    </w:p>
    <w:p w:rsidR="00135D51" w:rsidRPr="00135D51" w:rsidRDefault="001572F5" w:rsidP="00135D51">
      <w:pPr>
        <w:shd w:val="clear" w:color="auto" w:fill="75E5FB"/>
        <w:spacing w:before="240" w:after="100" w:afterAutospacing="1"/>
        <w:rPr>
          <w:rFonts w:cs="Arial"/>
          <w:i/>
        </w:rPr>
      </w:pPr>
      <w:r w:rsidRPr="001572F5">
        <w:rPr>
          <w:rFonts w:cs="Arial"/>
          <w:i/>
          <w:lang w:val="sr-Latn-RS"/>
        </w:rPr>
        <w:t>Saopštenje povodom Međunarodnog dana vidljivosti transosoba, 31. mart 2016.</w:t>
      </w:r>
      <w:r>
        <w:rPr>
          <w:rFonts w:cs="Arial"/>
          <w:i/>
          <w:lang w:val="sr-Latn-RS"/>
        </w:rPr>
        <w:t xml:space="preserve">  </w:t>
      </w:r>
    </w:p>
    <w:p w:rsidR="0032797E" w:rsidRDefault="001572F5" w:rsidP="00135D51">
      <w:pPr>
        <w:tabs>
          <w:tab w:val="left" w:pos="709"/>
          <w:tab w:val="center" w:pos="1134"/>
        </w:tabs>
        <w:spacing w:after="100" w:afterAutospacing="1" w:line="276" w:lineRule="auto"/>
        <w:rPr>
          <w:rFonts w:cs="Arial"/>
          <w:lang w:val="sr-Latn-RS"/>
        </w:rPr>
      </w:pPr>
      <w:r w:rsidRPr="001572F5">
        <w:rPr>
          <w:rFonts w:cs="Arial"/>
        </w:rPr>
        <w:t>Međunarodni dan vidljivosti transosoba svakako je još jedna prilika da se u Srbiji ukaže na to da transpolne i transrodne osobe spadaju u izrazito marginalizovanu grupu, koja je često izložena različitim vidovima diskriminacije. Saopštenjem na ovaj dan poverenica za zaštitu ravnopravnosti je istakla da se pripadnici ove populacije ne susreću samo s problemima fizičkih i verbalnih napada, diskriminacije i izolacije nego imaju i različite teškoće u vezi s priznanjem rodnog identiteta, pre svega prilikom izrade ličnih dokumenata. Ipak, pozitivni pomaci Srbije u položaju transosoba naznačeni su u izveštaju Visokog komesara UN za ljudska prava, pre svega zbog usvajanja novih i revizije postojećih zakona koji sankcionišu zločine iz mržnje, kao i zbog preduzimanja drugih mera kojima se sprečavaju homofobični i transfobični napadi i nasilje. Međutim, našem društvu i državi predstoji mnogo posla kako bi se poboljšao status i kvalitet života transosoba.</w:t>
      </w:r>
    </w:p>
    <w:p w:rsidR="002650F2" w:rsidRPr="002650F2" w:rsidRDefault="002650F2" w:rsidP="00135D51">
      <w:pPr>
        <w:tabs>
          <w:tab w:val="left" w:pos="709"/>
          <w:tab w:val="center" w:pos="1134"/>
        </w:tabs>
        <w:spacing w:after="100" w:afterAutospacing="1" w:line="276" w:lineRule="auto"/>
        <w:rPr>
          <w:rFonts w:cs="Arial"/>
          <w:b/>
          <w:lang w:val="sr-Latn-RS"/>
        </w:rPr>
      </w:pPr>
    </w:p>
    <w:p w:rsidR="00135D51" w:rsidRPr="00135D51" w:rsidRDefault="002650F2" w:rsidP="00D93153">
      <w:pPr>
        <w:pStyle w:val="Heading3"/>
        <w:numPr>
          <w:ilvl w:val="2"/>
          <w:numId w:val="19"/>
        </w:numPr>
        <w:ind w:left="1560" w:hanging="1276"/>
      </w:pPr>
      <w:bookmarkStart w:id="109" w:name="_Toc477248646"/>
      <w:bookmarkStart w:id="110" w:name="_Toc477251771"/>
      <w:r>
        <w:rPr>
          <w:rFonts w:eastAsia="Calibri"/>
          <w:lang w:val="sr-Latn-RS"/>
        </w:rPr>
        <w:t>Diskriminacija izbeglica, interno raseljenih lica, migranata i tražilaca azila</w:t>
      </w:r>
      <w:bookmarkEnd w:id="109"/>
      <w:bookmarkEnd w:id="110"/>
      <w:r w:rsidR="00135D51" w:rsidRPr="00135D51">
        <w:rPr>
          <w:rFonts w:eastAsia="Calibri"/>
        </w:rPr>
        <w:t xml:space="preserve"> </w:t>
      </w:r>
    </w:p>
    <w:p w:rsidR="00413A32" w:rsidRPr="00413A32" w:rsidRDefault="00413A32" w:rsidP="00312F52">
      <w:pPr>
        <w:tabs>
          <w:tab w:val="left" w:pos="9072"/>
        </w:tabs>
        <w:spacing w:after="240" w:line="276" w:lineRule="auto"/>
        <w:rPr>
          <w:rFonts w:cs="Arial"/>
        </w:rPr>
      </w:pPr>
      <w:r w:rsidRPr="00413A32">
        <w:rPr>
          <w:rFonts w:cs="Arial"/>
        </w:rPr>
        <w:t xml:space="preserve">Na osnovu izveštaja državnih organa i organizacija civilnog društva, može se zaključiti da se Srbija i dalje suočava s migrantskom krizom, ali da su učinjeni određeni pomaci na polju </w:t>
      </w:r>
      <w:r w:rsidRPr="00413A32">
        <w:rPr>
          <w:rFonts w:cs="Arial"/>
        </w:rPr>
        <w:lastRenderedPageBreak/>
        <w:t xml:space="preserve">obezbeđivanja boljih uslova za život ovih ljudi. Imajući u vidu broj izbeglica, migranata i tražilaca azila koji su u toku 2016. godine boravili u Republici Srbiji ili u njoj još uvek borave, i budući da u Zakonu o zabrani diskriminacije nije izričito navedeno ovo lično svojstvo, u ovom delu izveštaja dali smo poseban pregled po ovom osnovu, iako se prema broju pritužbi on ne nalazi u prvih pet osnova u kojima je podneto najviše pritužbi. </w:t>
      </w:r>
    </w:p>
    <w:p w:rsidR="00413A32" w:rsidRPr="00413A32" w:rsidRDefault="00413A32" w:rsidP="00312F52">
      <w:pPr>
        <w:tabs>
          <w:tab w:val="left" w:pos="9072"/>
        </w:tabs>
        <w:spacing w:after="240" w:line="276" w:lineRule="auto"/>
        <w:rPr>
          <w:rFonts w:cs="Arial"/>
        </w:rPr>
      </w:pPr>
      <w:r w:rsidRPr="00413A32">
        <w:rPr>
          <w:rFonts w:cs="Arial"/>
        </w:rPr>
        <w:t>Kao i prethodne godine, u izveštajima vodećih međunarodnih organizacija za zaštitu ljudskih prava u 2016. godini dosta je bilo govora o izbegličkoj krizi i međunarodnim obavezama država u vezi s poštovanjem prava izbeglica.</w:t>
      </w:r>
    </w:p>
    <w:p w:rsidR="00413A32" w:rsidRPr="00413A32" w:rsidRDefault="00413A32" w:rsidP="00312F52">
      <w:pPr>
        <w:tabs>
          <w:tab w:val="left" w:pos="9072"/>
        </w:tabs>
        <w:spacing w:after="240" w:line="276" w:lineRule="auto"/>
        <w:rPr>
          <w:rFonts w:cs="Arial"/>
        </w:rPr>
      </w:pPr>
      <w:r w:rsidRPr="00413A32">
        <w:rPr>
          <w:rFonts w:cs="Arial"/>
        </w:rPr>
        <w:t>Evropska komisija u Izveštaju o napretku Srbije za 2016. godinu navodi da se Srbija i dalje suočava sa izbegličkom i migrantskom krizom, što je dovelo do značajnog opterećenja sistema azila i migracija. Međutim, iako se suočava s povećanim mešovitim migracionim tokovima i velikim brojem zatočenih migranata, Srbija je nastavila da sarađuje sa susednim zemljama i državama članicama, obezbedila je delotvoran sistem registrovanja izbeglica i migranata i ulaže značajne napore da obezbedi smeštaj i humanitarne zalihe, uz međunarodnu podršku i podršku Evropske unije. Postoji pet stalnih prihvatnih centara i tri centra za smeštaj maloletnika bez pratnje, dok je ministar unutrašnjih poslova započeo formalnu prepisku s Evropskom kancelarijom za podršku azilu (EASO) kako bi se postavio širi okvir za saradnju i podršku EASO u Srbiji. Takođe, u izveštaju se navodi da bi Republika Srbija u narednom periodu trebalo da usvoji i sprovede novi zakon o azilu, s posebnim fokusom na ranjive grupe i mere integracije za lica kojima je potrebna međunarodna zaštita. Pored toga, kada je reč o oblasti azila, navedeno je da kriterijumi za označavanje zemlje kao sigurne zemlje porekla ili kao sigurnih trećih zemalja i postupak za revidiranje tih oznaka tek treba da budu u potpunosti usklađeni sa zakonodavstvom Evropske unije, ali i da postoji hitna potreba za kratkoročnim merama za unapređenje postupka obrade zahteva, uključujući i uspostavljanje zaštićenog mehanizma provere u okviru postupka azila (s ciljem da se napravi razlika između lica kojima je potrebna međunarodna zaštita i ostalih lica). Takođe, navedeno je da je broj lica koja su se vratila u zemlju porekla na niskom nivou, iako je Srbija korisnica Programa pomoći za dobrovoljni povratak, koji vodi Međunarodna organizacija za migraciju, te da bi Srbija trebalo da uspostavi stabilan mehanizam povratka lica koja su dobila konačnu odluku o odbijanju zahteva za azil</w:t>
      </w:r>
      <w:r w:rsidR="004C19B0">
        <w:rPr>
          <w:rStyle w:val="FootnoteReference"/>
          <w:rFonts w:cs="Arial"/>
        </w:rPr>
        <w:footnoteReference w:id="247"/>
      </w:r>
      <w:r w:rsidRPr="00413A32">
        <w:rPr>
          <w:rFonts w:cs="Arial"/>
        </w:rPr>
        <w:t xml:space="preserve">.   </w:t>
      </w:r>
    </w:p>
    <w:p w:rsidR="00413A32" w:rsidRPr="00413A32" w:rsidRDefault="00413A32" w:rsidP="00312F52">
      <w:pPr>
        <w:tabs>
          <w:tab w:val="left" w:pos="9072"/>
        </w:tabs>
        <w:spacing w:after="240" w:line="276" w:lineRule="auto"/>
        <w:rPr>
          <w:rFonts w:cs="Arial"/>
        </w:rPr>
      </w:pPr>
      <w:r w:rsidRPr="00413A32">
        <w:rPr>
          <w:rFonts w:cs="Arial"/>
        </w:rPr>
        <w:t>U izveštaju Stanje ljudskih prava u svetu 2015/2016, koji je objavila međunarodna organizacija Amnesty International, u delu koji se odnosi na Republiku Srbiju navedeno je da je preko 600.000 izbeglica i migranata putovalo kroz Srbiju, od kojih je većina imala za cilj traženje azila u zemljama Evropske unije. Takođe, navedeno je da, uprkos napretku u implementaciji Zakona o azilu, organi nisu uspeli da obezbede efikasan pristup međunarodnoj zaštiti</w:t>
      </w:r>
      <w:r w:rsidR="004C19B0">
        <w:rPr>
          <w:rStyle w:val="FootnoteReference"/>
          <w:rFonts w:cs="Arial"/>
        </w:rPr>
        <w:footnoteReference w:id="248"/>
      </w:r>
      <w:r w:rsidRPr="00413A32">
        <w:rPr>
          <w:rFonts w:cs="Arial"/>
        </w:rPr>
        <w:t xml:space="preserve">.  </w:t>
      </w:r>
    </w:p>
    <w:p w:rsidR="00413A32" w:rsidRPr="00413A32" w:rsidRDefault="00413A32" w:rsidP="00312F52">
      <w:pPr>
        <w:tabs>
          <w:tab w:val="left" w:pos="9072"/>
        </w:tabs>
        <w:spacing w:after="240" w:line="276" w:lineRule="auto"/>
        <w:rPr>
          <w:rFonts w:cs="Arial"/>
        </w:rPr>
      </w:pPr>
      <w:r w:rsidRPr="00413A32">
        <w:rPr>
          <w:rFonts w:cs="Arial"/>
        </w:rPr>
        <w:t xml:space="preserve">Beogradski centar za ljudska prava je u saradnji s Ambasadom Kraljevine Holandije u Beogradu i Holandskim savetom za izbeglice u Amsterdamu, tokom 2015. i 2016. godine sproveo projekat pod nazivom „Srbija od zemlje tranzita do zemlje destinacije“. U izveštaju </w:t>
      </w:r>
      <w:r w:rsidRPr="00413A32">
        <w:rPr>
          <w:rFonts w:cs="Arial"/>
        </w:rPr>
        <w:lastRenderedPageBreak/>
        <w:t>objavljenom u junu 2016. godine</w:t>
      </w:r>
      <w:r w:rsidR="004C19B0">
        <w:rPr>
          <w:rStyle w:val="FootnoteReference"/>
          <w:rFonts w:cs="Arial"/>
        </w:rPr>
        <w:footnoteReference w:id="249"/>
      </w:r>
      <w:r w:rsidRPr="00413A32">
        <w:rPr>
          <w:rFonts w:cs="Arial"/>
        </w:rPr>
        <w:t xml:space="preserve">  navodi se da se Srbija trenutno suočava s velikim brojem lica koja traže međunarodnu zaštitu u zemlji i migriraju kroz nju, a da se u samoj zemlji trenutno nalazi manji broj osoba koje su dobile međunarodnu zaštitu i koji ostaju. Ipak, evidentno je da će sve više njih, sa izgradnjom efikasnog sistema azila i integracije izbeglica, izraziti nameru da živi i radi na teritoriji Srbije. Zahtevi približavanja Evropskoj uniji uključuju i potrebu da se stvori transparentan pravni okvir koji bi bio kompatibilan s evropskim standardima kada je reč o integraciji izbeglica, a koji obuhvata oblasti kao što su mehanizmi zaštite, garantovanje i ostvarivanje čitavog seta prava, regulisanje pristupa tržištu rada, obrazovnom sistemu, socijalnim uslugama, naturalizaciji izbeglica i mnoge druge. Istraživanje Indeksa razvijenosti politika integracije migranata (MIPEX studija), koje je dodelilo Srbiji ocenu 41 od maksimalnih 100, zapravo pokazuje da je naša zemlja na donjoj skali umereno povoljnih politika za društvenu integraciju stranaca. U izveštaju se kao bitan nedostatak našeg sistema navodi nepostojanje institucije koja bi se bavila sveobuhvatnom integracijom lica kojima je odobreno pravo na azil, kao i nedostatak zakonskih propisa koji će omogućiti njihovu integraciju, a što bi moglo da dovede do velikih problema u funkcionisanju sistema</w:t>
      </w:r>
      <w:r w:rsidR="004C19B0">
        <w:rPr>
          <w:rStyle w:val="FootnoteReference"/>
          <w:rFonts w:cs="Arial"/>
        </w:rPr>
        <w:footnoteReference w:id="250"/>
      </w:r>
      <w:r w:rsidRPr="00413A32">
        <w:rPr>
          <w:rFonts w:cs="Arial"/>
        </w:rPr>
        <w:t xml:space="preserve">. </w:t>
      </w:r>
    </w:p>
    <w:p w:rsidR="00413A32" w:rsidRPr="00413A32" w:rsidRDefault="00413A32" w:rsidP="00312F52">
      <w:pPr>
        <w:tabs>
          <w:tab w:val="left" w:pos="9072"/>
        </w:tabs>
        <w:spacing w:after="240" w:line="276" w:lineRule="auto"/>
        <w:rPr>
          <w:rFonts w:cs="Arial"/>
        </w:rPr>
      </w:pPr>
      <w:r w:rsidRPr="00413A32">
        <w:rPr>
          <w:rFonts w:cs="Arial"/>
        </w:rPr>
        <w:t>Takođe, Beogradski centar za ljudska prava, u saradnji s organizacijom Oxfam i UN Women, sproveo je projekat „Izbeglička i migrantska kriza na Zapadnom Balkanu“. Kao rezultat nastala je publikacija pod nazivom Rodna analiza Zakona o azilu – Primena načela rodne ravnopravnosti u sistemu azila u Republici Srbiji, koja je objavljena u oktobru 2016. godine. U analizi podsećaju da je položaj tražiteljki azila i žena izbeglica posebno osetljiv, te da su zbog toga česta meta diskriminacije po različitim osnovama i da zahtevaju brzu, koordinisanu i efikasnu zaštitu od država destinacije. Kako se navodi, jedan od razloga za ranjivost tražiteljki azila i žena izbeglica jesu poteškoće s kojima se često suočavaju u dokazivanju svojih osnova za priznavanje izbegličkog statusa, jer žene često ne žele da se izjasne da su bile žrtve seksualnog nasilja, ili rodno zasnovanog progona, ili nemaju svest da su bile žrtve u svojoj zemlji porekla. Rodno zasnovano nasilje često je posledica nejednakih rodnih odnosa u zemlji porekla i neretko ga muški članovi porodice s kojima žene putuju koriste kao mehanizam za pretnju, ili može biti posledica prisilnih raseljavanja usled sukoba u zemlji porekla. Takođe, istaknuto je da migracioni trendovi ukazuju na to da će broj lica koja traže azil nastaviti da raste, imajući u vidu da se Srbija graniči sa zemljama u kojima takođe veliki broj ljudi traži azil i koje za sada nemaju dovoljno kapaciteta da sva lica prihvate na odgovarajući način. Imajući to u vidu, Srbiji predstoji ozbiljan izazov da sistem azila izgradi tako da bude efikasan i funkcionalan, da sva lica koja traže azil i kojima se odobri međunarodna zaštita zaista imaju mogućnost da ostvare sva prava koja im se garantuju Zakonom o azilu, ali i mnogi drugi zakoni</w:t>
      </w:r>
      <w:r w:rsidR="004C19B0">
        <w:rPr>
          <w:rStyle w:val="FootnoteReference"/>
          <w:rFonts w:cs="Arial"/>
        </w:rPr>
        <w:footnoteReference w:id="251"/>
      </w:r>
      <w:r w:rsidRPr="00413A32">
        <w:rPr>
          <w:rFonts w:cs="Arial"/>
        </w:rPr>
        <w:t xml:space="preserve">.  </w:t>
      </w:r>
    </w:p>
    <w:p w:rsidR="00413A32" w:rsidRPr="00413A32" w:rsidRDefault="00413A32" w:rsidP="00312F52">
      <w:pPr>
        <w:tabs>
          <w:tab w:val="left" w:pos="9072"/>
        </w:tabs>
        <w:spacing w:after="240" w:line="276" w:lineRule="auto"/>
        <w:rPr>
          <w:rFonts w:cs="Arial"/>
        </w:rPr>
      </w:pPr>
      <w:r w:rsidRPr="00413A32">
        <w:rPr>
          <w:rFonts w:cs="Arial"/>
        </w:rPr>
        <w:t xml:space="preserve">S obzirom na to da okolnosti pod kojima se izbeglištvo/migracije odvijaju imaju izuzetan uticaj na bezbednost i dobrobit deteta, a da se Srbija, kao jedna od zemalja na „Balkanskoj ruti“ susreće sa značajnim povećanjem priliva izbeglica/migranata, ukazala se potreba da se </w:t>
      </w:r>
      <w:r w:rsidRPr="00413A32">
        <w:rPr>
          <w:rFonts w:cs="Arial"/>
        </w:rPr>
        <w:lastRenderedPageBreak/>
        <w:t>sačini dokument kojim će se pre svega u interesu zaštite najugroženije grupe dece izbeglica/migranata, urediti postupanje svih aktera uključenih u organizovanje zaštite i podrške dece. Kao proizvod strateške saradnje između Ministarstva za rad, zapošljavanje, boračka i socijalna pitanja, Unicefa i organizacije IDEAS, kreirane su Standardne operativne procedure za zaštitu dece izbeglica/migranata (SOP)</w:t>
      </w:r>
      <w:r w:rsidR="004C19B0">
        <w:rPr>
          <w:rStyle w:val="FootnoteReference"/>
          <w:rFonts w:cs="Arial"/>
        </w:rPr>
        <w:footnoteReference w:id="252"/>
      </w:r>
      <w:r w:rsidRPr="00413A32">
        <w:rPr>
          <w:rFonts w:cs="Arial"/>
        </w:rPr>
        <w:t xml:space="preserve"> , koje predstavljaju osnov za koordinisano delovanje svih učesnika u podršci i identifikaciji posebno ugrožene dece izbeglica/migranata. SOP su zasnovane na usklađivanju postojećih propisa i procedura sistema socijalne zaštite Srbije s međunarodnim propisima i standardima o zaštiti dece, posebno dece u vanrednim situacijama, i integraciji dobrih praksi UN agencija, međunarodnih i domaćih nevladinih organizacija koje su specijalizovane za rad s decom. SOP su namenjene svim organizacijama koje su operativne duž rute kretanja migranata i izbeglica u Srbiji. </w:t>
      </w:r>
    </w:p>
    <w:p w:rsidR="00413A32" w:rsidRPr="00413A32" w:rsidRDefault="00413A32" w:rsidP="00312F52">
      <w:pPr>
        <w:tabs>
          <w:tab w:val="left" w:pos="9072"/>
        </w:tabs>
        <w:spacing w:after="240" w:line="276" w:lineRule="auto"/>
        <w:rPr>
          <w:rFonts w:cs="Arial"/>
        </w:rPr>
      </w:pPr>
      <w:r w:rsidRPr="00413A32">
        <w:rPr>
          <w:rFonts w:cs="Arial"/>
        </w:rPr>
        <w:t>Prema istraživanju javnog mnjenja „Odnos građana i građanki prema diskriminaciji u Srbiji“</w:t>
      </w:r>
      <w:r w:rsidR="004C19B0">
        <w:rPr>
          <w:rStyle w:val="FootnoteReference"/>
          <w:rFonts w:cs="Arial"/>
        </w:rPr>
        <w:footnoteReference w:id="253"/>
      </w:r>
      <w:r w:rsidRPr="00413A32">
        <w:rPr>
          <w:rFonts w:cs="Arial"/>
        </w:rPr>
        <w:t xml:space="preserve"> , na četvrtom mestu po izloženosti diskriminaciji nalaze se migranti (2,7), a na petom izbeglice (2,5). S obzirom na povećanje broja tražilaca azila u našoj zemlji, istraživanje beleži blagi rast socijalne distance u pojedinim oblastima, dok u drugima opada. Tako, pre tri godine 20% ispitanika nije prihvatalo da migranti budu građani Srbije, a sada takav stav ima 31% ispitanika. Isto tako, dolazi i do povećanja broja onih koji ne žele da im migranti budu komšije (sa 23% na 30%), kao i do blagog povećanja onih koji ne žele da im migranti budu kolege (sa 20% na 23%). S druge strane, zabeležen je pad socijalne distance u nekim drugim oblastima, iako je ona i dalje visoka. Tako se smanjio broj onih koji bi imali nešto protiv da migranti budu članovi njihove porodice (sa 50% na 38%), kao i da migrant bude na rukovodećem položaju u državi (sa 47% na 41%).</w:t>
      </w:r>
    </w:p>
    <w:p w:rsidR="00413A32" w:rsidRPr="00413A32" w:rsidRDefault="00413A32" w:rsidP="00312F52">
      <w:pPr>
        <w:tabs>
          <w:tab w:val="left" w:pos="9072"/>
        </w:tabs>
        <w:spacing w:after="240" w:line="276" w:lineRule="auto"/>
        <w:rPr>
          <w:rFonts w:cs="Arial"/>
        </w:rPr>
      </w:pPr>
      <w:r w:rsidRPr="00413A32">
        <w:rPr>
          <w:rFonts w:cs="Arial"/>
        </w:rPr>
        <w:t xml:space="preserve">Po pitanju položaja interno raseljenih lica UNHCR je u julu 2016. godine objavio izveštaj u kojem su osvetljeni izazovi s kojima se suočavaju najsiromašniji među interno raseljenim licima, odnosno oni za koje još uvek nisu nađena trajna rešenja. Takođe, dat je i kritički osvrt u pogledu krajnje nesigurne situacije raseljenih Roma, koji su često najsiromašniji i najmarginalizovaniji. U izveštaju je navedeno da bi upravo ova interno raseljena lica trebalo da budu prioritet Vlade Republike Srbije i svih ostalih aktera u planiranju u narednom periodu. Pored toga, u izveštaju se navodi da u Srbiji živi 203.140 lica raseljenih s Kosova, pri čemu je primetno da se najveća koncentracija nalazi u velikim gradovima, naročito Beogradu. Međutim, ako se posmatra gustina populacije interno raseljenih lica, najveći procenat sreće se u siromašnijim opštinama na jugu zemlje, npr. samo u Kuršumliji ih, prema ovom izveštaju, ima 6.000. Za razliku od toga, gotovo polovina interno raseljenih Roma živi na severu zemlje, uglavnom u Novom Sadu i Subotici. Navodi se i da su interno raseljena lica generalno siromašnija od većinskog stanovništva, a jedan o ključnih uzroka je to što su izgubili imovinu na Kosovu, da je raširena nezaposlenost, kao i da postoje znatno veće šanse da zavise od socijalne pomoći u odnosu na opštu populaciju, dok je kvalitet stanovanja takođe znatno ispod standarda većinskog stanovništva. Iznet je i podatak da je u januaru 2016. godine u formalnim kolektivnim centrima živelo 913 ljudi, uključujući 682 </w:t>
      </w:r>
      <w:r w:rsidRPr="00413A32">
        <w:rPr>
          <w:rFonts w:cs="Arial"/>
        </w:rPr>
        <w:lastRenderedPageBreak/>
        <w:t>interno raseljena lica i 231 izbeglicu, kao i da se Komesarijat za izbeglice obavezao da će zatvoriti sve kolektivne centre do kraja 2016. godine</w:t>
      </w:r>
      <w:r w:rsidR="004C19B0">
        <w:rPr>
          <w:rStyle w:val="FootnoteReference"/>
          <w:rFonts w:cs="Arial"/>
        </w:rPr>
        <w:footnoteReference w:id="254"/>
      </w:r>
      <w:r w:rsidRPr="00413A32">
        <w:rPr>
          <w:rFonts w:cs="Arial"/>
        </w:rPr>
        <w:t xml:space="preserve">.  </w:t>
      </w:r>
    </w:p>
    <w:p w:rsidR="00413A32" w:rsidRPr="00413A32" w:rsidRDefault="00413A32" w:rsidP="00312F52">
      <w:pPr>
        <w:tabs>
          <w:tab w:val="left" w:pos="9072"/>
        </w:tabs>
        <w:spacing w:after="240" w:line="276" w:lineRule="auto"/>
        <w:rPr>
          <w:rFonts w:cs="Arial"/>
        </w:rPr>
      </w:pPr>
      <w:r w:rsidRPr="00413A32">
        <w:rPr>
          <w:rFonts w:cs="Arial"/>
        </w:rPr>
        <w:t>Takođe, u Izveštaju o napretku Srbije za 2016. godinu, od 9. novembra 2016</w:t>
      </w:r>
      <w:r w:rsidR="004C19B0">
        <w:rPr>
          <w:rStyle w:val="FootnoteReference"/>
          <w:rFonts w:cs="Arial"/>
        </w:rPr>
        <w:footnoteReference w:id="255"/>
      </w:r>
      <w:r w:rsidRPr="00413A32">
        <w:rPr>
          <w:rFonts w:cs="Arial"/>
        </w:rPr>
        <w:t>,  izneti su podaci UNHCR-a prema kojima u Srbiji ima oko 35.295 izbeglica i 203.140 interno raseljenih lica. Navodi se da se devet kolektivnih centara postepeno zatvaraju (u njima je smešteno 185 izbeglica i 375 interno raseljenih lica), da je nastavljeno s programom podrške opštinama koje su usvojile lokalne akcione planove za poboljšanje njihovog položaja, a stambena situacija raseljenih lica se neznatno poboljšala. Uspostavljeni su lokalni saveti za upravljanje migracijama i usvojeni su lokalni akcioni planovi, ali su uslovi života mnogih izbeglica i interno raseljenih lica još uvek teški. Istaknuto je da je potrebna veća doslednost u sprovođenju Zakona o prebivalištu i boravištu građana, koji omogućava interno raseljenim licima da prijave boravište u centrima za socijalni rad. Značajan je broj interno raseljenih lica romske nacionalnosti koja žive u neformalnim naseljima, a ne mogu da prijave svoje trenutno mesto boravka jer imaju registrovanu adresu u svom mestu porekla (Kosovo), što ograničava njihov pristup osnovnim pravima. Navodi se da Srbija učestvuje u regionalnom dijalogu o trajnim rešenjima za raseljena lica s Kosova („Skopska inicijativa“) s predstavnicima Kosova, Crne Gore i Republike Makedonije, a da je Vlada Republike Srbije usvojila Nacionalnu strategiju za rešavanje pitanja izbeglica i interno raseljenih lica do 2020. godine.</w:t>
      </w:r>
    </w:p>
    <w:p w:rsidR="00413A32" w:rsidRPr="00413A32" w:rsidRDefault="00413A32" w:rsidP="00312F52">
      <w:pPr>
        <w:tabs>
          <w:tab w:val="left" w:pos="9072"/>
        </w:tabs>
        <w:spacing w:after="240" w:line="276" w:lineRule="auto"/>
        <w:rPr>
          <w:rFonts w:cs="Arial"/>
        </w:rPr>
      </w:pPr>
      <w:r w:rsidRPr="00413A32">
        <w:rPr>
          <w:rFonts w:cs="Arial"/>
        </w:rPr>
        <w:t>U toku 2016. godine Povereniku za zaštitu ravnopravnosti podnete su dve pritužbe zbog diskriminacije migranata, koje su se odnosile na oblast javnog informisanja i medija i pružanje javnih usluga. Kada je reč o interno raseljenim licima, podneto je šest pritužbi, koje su se odnosile na oblast zapošljavanja i radnih odnosa, kao i na postupke pred organima javne vlasti.</w:t>
      </w:r>
    </w:p>
    <w:p w:rsidR="00413A32" w:rsidRPr="00413A32" w:rsidRDefault="00413A32" w:rsidP="00312F52">
      <w:pPr>
        <w:tabs>
          <w:tab w:val="left" w:pos="9072"/>
        </w:tabs>
        <w:spacing w:after="240" w:line="276" w:lineRule="auto"/>
        <w:rPr>
          <w:rFonts w:cs="Arial"/>
        </w:rPr>
      </w:pPr>
      <w:r w:rsidRPr="00413A32">
        <w:rPr>
          <w:rFonts w:cs="Arial"/>
        </w:rPr>
        <w:t>Kao i prethodne godine, tokom 2016. pritužbe u ime migranata podnele su organizacije civilnog društva. Težak položaj, jezička barijera i prethodna traumatična iskustva iz zemlje porekla i drugih zemalja kroz koje su ova lica prošla na putu do Srbije dovode do toga da se fizička lica koja smatraju da su pretrpela diskriminaciju ne obraćaju državnim organima po pitanju zaštite od diskriminacije.  Kod interno raseljenih lica pritužbe u njihovo ime podnosile su organizacije civilnog društva, ali i fizička lica koja su smatrala da su diskriminisana zbog svog ličnog svojstva.</w:t>
      </w:r>
    </w:p>
    <w:p w:rsidR="00135D51" w:rsidRDefault="00413A32" w:rsidP="00312F52">
      <w:pPr>
        <w:tabs>
          <w:tab w:val="left" w:pos="9072"/>
        </w:tabs>
        <w:spacing w:after="240" w:line="276" w:lineRule="auto"/>
        <w:rPr>
          <w:rFonts w:cs="Arial"/>
          <w:lang w:val="sr-Latn-RS"/>
        </w:rPr>
      </w:pPr>
      <w:r w:rsidRPr="00413A32">
        <w:rPr>
          <w:rFonts w:cs="Arial"/>
        </w:rPr>
        <w:t>Krajem 2016. godine sprovedeno je situaciono testiranje u odnosu na jedno javno preduzeće radi provere informacije o mogućoj diskriminaciji prema migrantskoj  populaciji prilikom pružanja javnih usluga. Nakon sprovedenog situacionog testiranja, podneta je pritužba Povereniku za zaštitu ravnopravnosti. Postupak pred Poverenikom je u toku.</w:t>
      </w:r>
    </w:p>
    <w:p w:rsidR="006306B6" w:rsidRPr="006306B6" w:rsidRDefault="006306B6" w:rsidP="00312F52">
      <w:pPr>
        <w:tabs>
          <w:tab w:val="left" w:pos="9072"/>
        </w:tabs>
        <w:spacing w:after="240" w:line="276" w:lineRule="auto"/>
        <w:rPr>
          <w:rFonts w:cs="Arial"/>
          <w:lang w:val="sr-Latn-RS"/>
        </w:rPr>
      </w:pPr>
    </w:p>
    <w:p w:rsidR="00135D51" w:rsidRPr="006306B6" w:rsidRDefault="000A481D" w:rsidP="00D93153">
      <w:pPr>
        <w:pStyle w:val="Heading3"/>
        <w:numPr>
          <w:ilvl w:val="3"/>
          <w:numId w:val="20"/>
        </w:numPr>
        <w:ind w:left="2552" w:hanging="1843"/>
        <w:rPr>
          <w:b w:val="0"/>
        </w:rPr>
      </w:pPr>
      <w:bookmarkStart w:id="111" w:name="_Toc445739172"/>
      <w:bookmarkStart w:id="112" w:name="_Toc477248647"/>
      <w:bookmarkStart w:id="113" w:name="_Toc477251772"/>
      <w:r w:rsidRPr="006306B6">
        <w:rPr>
          <w:b w:val="0"/>
          <w:lang w:val="sr-Latn-RS"/>
        </w:rPr>
        <w:lastRenderedPageBreak/>
        <w:t>Mišljenja i preporuke</w:t>
      </w:r>
      <w:bookmarkEnd w:id="111"/>
      <w:bookmarkEnd w:id="112"/>
      <w:bookmarkEnd w:id="113"/>
    </w:p>
    <w:tbl>
      <w:tblPr>
        <w:tblW w:w="0" w:type="auto"/>
        <w:tblInd w:w="108" w:type="dxa"/>
        <w:shd w:val="clear" w:color="auto" w:fill="3FCDFF"/>
        <w:tblLook w:val="04A0" w:firstRow="1" w:lastRow="0" w:firstColumn="1" w:lastColumn="0" w:noHBand="0" w:noVBand="1"/>
      </w:tblPr>
      <w:tblGrid>
        <w:gridCol w:w="9072"/>
      </w:tblGrid>
      <w:tr w:rsidR="00135D51" w:rsidRPr="00135D51" w:rsidTr="00135D51">
        <w:trPr>
          <w:trHeight w:val="583"/>
        </w:trPr>
        <w:tc>
          <w:tcPr>
            <w:tcW w:w="9072" w:type="dxa"/>
            <w:shd w:val="clear" w:color="auto" w:fill="75E5FB"/>
            <w:hideMark/>
          </w:tcPr>
          <w:p w:rsidR="00135D51" w:rsidRPr="000A481D" w:rsidRDefault="000A481D" w:rsidP="000A481D">
            <w:pPr>
              <w:spacing w:before="0" w:after="100" w:afterAutospacing="1" w:line="276" w:lineRule="auto"/>
              <w:rPr>
                <w:rFonts w:eastAsia="SimSun" w:cs="Arial"/>
                <w:i/>
                <w:iCs/>
                <w:kern w:val="3"/>
                <w:lang w:val="sr-Latn-RS" w:eastAsia="zh-CN" w:bidi="hi-IN"/>
              </w:rPr>
            </w:pPr>
            <w:r w:rsidRPr="000A481D">
              <w:rPr>
                <w:rFonts w:eastAsia="SimSun" w:cs="Arial"/>
                <w:i/>
                <w:iCs/>
                <w:kern w:val="3"/>
                <w:lang w:val="sr-Latn-RS" w:eastAsia="zh-CN" w:bidi="hi-IN"/>
              </w:rPr>
              <w:t>Zahtev za ispunjenje dodatnih uslova za tražioce azila i druga izbegla lica radi vršenja bankarskih usluga</w:t>
            </w:r>
          </w:p>
        </w:tc>
      </w:tr>
    </w:tbl>
    <w:p w:rsidR="00793FBE" w:rsidRDefault="00793FBE" w:rsidP="00793FBE">
      <w:pPr>
        <w:pStyle w:val="NoSpacing"/>
        <w:spacing w:line="276" w:lineRule="auto"/>
        <w:jc w:val="both"/>
        <w:rPr>
          <w:rFonts w:ascii="Arial" w:eastAsia="SimSun" w:hAnsi="Arial" w:cs="Arial"/>
          <w:kern w:val="3"/>
          <w:lang w:val="sr-Latn-RS" w:eastAsia="zh-CN" w:bidi="hi-IN"/>
        </w:rPr>
      </w:pPr>
    </w:p>
    <w:p w:rsidR="00135D51" w:rsidRDefault="000A481D" w:rsidP="00793FBE">
      <w:pPr>
        <w:pStyle w:val="NoSpacing"/>
        <w:spacing w:line="276" w:lineRule="auto"/>
        <w:jc w:val="both"/>
        <w:rPr>
          <w:rFonts w:ascii="Arial" w:eastAsia="SimSun" w:hAnsi="Arial" w:cs="Arial"/>
          <w:kern w:val="3"/>
          <w:lang w:val="sr-Latn-RS" w:eastAsia="zh-CN" w:bidi="hi-IN"/>
        </w:rPr>
      </w:pPr>
      <w:r w:rsidRPr="000A481D">
        <w:rPr>
          <w:rFonts w:ascii="Arial" w:eastAsia="SimSun" w:hAnsi="Arial" w:cs="Arial"/>
          <w:kern w:val="3"/>
          <w:lang w:val="sr-Cyrl-CS" w:eastAsia="zh-CN" w:bidi="hi-IN"/>
        </w:rPr>
        <w:t>U pritužbi koju je organizacija civilnog društva podnela protiv banke navedeno je da banka prilikom pružanja usluga transfera novca MoneyGram, od tražilaca azila i drugih izbeglih lica traži ispunjenje uslova koje inače ne traži od drugih stranih državljana. Odbijanjem izvršenja usluge transfera ovim licima, banka ih stavlja u nejednak položaj u odnosu na druge nerezidente. Primenom pravila o preraspodeli tereta dokazivanja, poverenica je dala mišljenje da je uskraćivanjem pružanja usluge transfera novca MoneyGram tražiocu azila, ova banka prekršila odredbe Zakona o zabrani diskriminacije. Zbog toga je banci preporučeno da bez razlike pruži svim klijentima uslugu pod jednakim uslovima, a da se u slučaju sumnjivih transakcija rukovodi relevantnim činjenicama u svakom konkretnom slučaju, bez negativnih generalizacija o pripadnicima određenih nacionalnosti, da obavesti sve zaposlene o sadržini mišljenja i preporuka Poverenika za zaštitu ravnopravnosti u roku od 15 dana od dana mišljenja s preporukom, kao i da vodi računa da u okviru svojih redovnih poslova i aktivnosti ne krši zakonske propise o zabrani diskriminacije. Po ovoj preporuci je postupljeno.</w:t>
      </w:r>
    </w:p>
    <w:p w:rsidR="000A481D" w:rsidRDefault="000A481D" w:rsidP="00135D51">
      <w:pPr>
        <w:pStyle w:val="NoSpacing"/>
        <w:rPr>
          <w:rFonts w:ascii="Arial" w:eastAsia="SimSun" w:hAnsi="Arial" w:cs="Arial"/>
          <w:kern w:val="3"/>
          <w:lang w:val="sr-Latn-RS" w:eastAsia="zh-CN" w:bidi="hi-IN"/>
        </w:rPr>
      </w:pPr>
    </w:p>
    <w:p w:rsidR="00135D51" w:rsidRPr="006306B6" w:rsidRDefault="006306B6" w:rsidP="00D93153">
      <w:pPr>
        <w:pStyle w:val="Heading3"/>
        <w:numPr>
          <w:ilvl w:val="3"/>
          <w:numId w:val="20"/>
        </w:numPr>
        <w:ind w:left="2552" w:hanging="1843"/>
        <w:rPr>
          <w:b w:val="0"/>
        </w:rPr>
      </w:pPr>
      <w:r>
        <w:rPr>
          <w:b w:val="0"/>
          <w:lang w:val="sr-Latn-RS"/>
        </w:rPr>
        <w:t>Saopštenja</w:t>
      </w:r>
    </w:p>
    <w:p w:rsidR="00135D51" w:rsidRPr="000A481D" w:rsidRDefault="000A481D" w:rsidP="00135D51">
      <w:pPr>
        <w:shd w:val="clear" w:color="auto" w:fill="75E5FB"/>
        <w:spacing w:before="0" w:after="100" w:afterAutospacing="1"/>
        <w:jc w:val="left"/>
        <w:rPr>
          <w:rFonts w:cs="Arial"/>
          <w:lang w:val="sr-Latn-RS"/>
        </w:rPr>
      </w:pPr>
      <w:r w:rsidRPr="000A481D">
        <w:rPr>
          <w:rFonts w:eastAsia="Times New Roman" w:cs="Arial"/>
          <w:i/>
          <w:lang w:val="sr-Latn-RS"/>
        </w:rPr>
        <w:t>Saopštenje povodom Međunarodnog dana borbe protiv rasizma, 21. mart 2016.</w:t>
      </w:r>
    </w:p>
    <w:p w:rsidR="00135D51" w:rsidRDefault="000A481D" w:rsidP="00793FBE">
      <w:pPr>
        <w:pStyle w:val="NoSpacing"/>
        <w:spacing w:line="276" w:lineRule="auto"/>
        <w:jc w:val="both"/>
        <w:rPr>
          <w:rFonts w:ascii="Arial" w:hAnsi="Arial" w:cs="Arial"/>
          <w:lang w:val="sr-Latn-RS"/>
        </w:rPr>
      </w:pPr>
      <w:r w:rsidRPr="000A481D">
        <w:rPr>
          <w:rFonts w:ascii="Arial" w:hAnsi="Arial" w:cs="Arial"/>
          <w:lang w:val="sr-Cyrl-CS"/>
        </w:rPr>
        <w:t>Poverenica za zaštitu ravnopravnosti ukazala je da je obeležavanje 21. marta, Međunarodnog dana borbe protiv rasizma, ovog puta od izuzetnog značaja, pre svega zbog migrantskih kriza, koje predstavljaju veliki izazov za savremeno društvo. Poverenik za zaštitu ravnopravnosti imao je veoma mali broj pritužbi zbog diskriminacije izbeglica i migranata, a one su se uglavnom odnosile na medijsko izveštavanje, u kojem su se iznosile predrasude i podsticala netrpeljivost. Poštujući slobodu govora, ali i obavezu da ta sloboda ne ugrožava dostojanstvo drugih, poverenica je istakla i neophodnost tolerantnog i humanog odnosa prema ljudima koji su izbegli iz ratom zahvaćenih područja, i srpsko društvo je dalo dobar primer poštovanja ljudskih prava izbeglica i migranata. I ove godine, kao i prethodnih, Povereniku je stigao veliki broj pritužbi koje su se odnosile na diskriminaciju romske manjine u različitim segmentima života: od zdravstvene zaštite do uslova stanovanja. Zabrinjavajući su i rezultati istraživanja UNHCR-a u Srbiji, koji ukazuju da interno raseljeni Romi i Romkinje imaju najlošiji položaj od svih ranjivih grupa u Srbiji, čak i od pripadnika romske manjine koji čine domicilno stanovništvo. Zbog svega što rasizam i ksenofobija sa sobom nose, neophodno je uvek biti na oprezu i ne treba zaboraviti da je iskorenjavanje ovih pojava dug proces, a da se tolerancija i prihvatanje različitosti uče od malih nogu. Izuzetno je značajno graditi tolerantno i moderno društvo s jakim institucijama, a svaki izolovani i pojedinačni slučaj rasizma mora biti osuđen od svih relevantnih aktera i javnosti u Srbiji.</w:t>
      </w:r>
    </w:p>
    <w:p w:rsidR="000A481D" w:rsidRDefault="000A481D" w:rsidP="0032797E">
      <w:pPr>
        <w:pStyle w:val="NoSpacing"/>
        <w:rPr>
          <w:rFonts w:ascii="Arial" w:hAnsi="Arial" w:cs="Arial"/>
          <w:lang w:val="sr-Latn-RS"/>
        </w:rPr>
      </w:pPr>
    </w:p>
    <w:p w:rsidR="000A481D" w:rsidRPr="000A481D" w:rsidRDefault="000A481D" w:rsidP="0032797E">
      <w:pPr>
        <w:pStyle w:val="NoSpacing"/>
        <w:rPr>
          <w:lang w:val="sr-Latn-RS"/>
        </w:rPr>
      </w:pPr>
    </w:p>
    <w:p w:rsidR="00135D51" w:rsidRPr="00135D51" w:rsidRDefault="000A481D" w:rsidP="00D93153">
      <w:pPr>
        <w:pStyle w:val="Heading3"/>
        <w:numPr>
          <w:ilvl w:val="0"/>
          <w:numId w:val="21"/>
        </w:numPr>
        <w:ind w:hanging="1296"/>
      </w:pPr>
      <w:bookmarkStart w:id="114" w:name="_Toc477248649"/>
      <w:bookmarkStart w:id="115" w:name="_Toc477251774"/>
      <w:r>
        <w:rPr>
          <w:lang w:val="sr-Latn-RS"/>
        </w:rPr>
        <w:lastRenderedPageBreak/>
        <w:t>Diskriminacija na osnovu drugih ličnih svojstava</w:t>
      </w:r>
      <w:bookmarkEnd w:id="114"/>
      <w:bookmarkEnd w:id="115"/>
    </w:p>
    <w:p w:rsidR="000A481D" w:rsidRPr="000A481D" w:rsidRDefault="000A481D" w:rsidP="000A481D">
      <w:pPr>
        <w:spacing w:after="100" w:afterAutospacing="1" w:line="276" w:lineRule="auto"/>
        <w:rPr>
          <w:rFonts w:cs="Arial"/>
        </w:rPr>
      </w:pPr>
      <w:r w:rsidRPr="000A481D">
        <w:rPr>
          <w:rFonts w:cs="Arial"/>
        </w:rPr>
        <w:t>Pored ličnih svojstava koja su pojedinačno predstavljena u ovom izveštaju, u 2016. godini podneto je 52 pritužbe zbog diskriminacije na osnovu bračnog i porodičnog statusa, 49 pritužbi zbog diskriminacije na osnovu članstva u političkim, sindikalnim i drugim organizacijama i 36 pritužbi zbog diskriminacije na osnovu imovnog stanja. Podneto je 29 pritužbi zbog diskriminacije na osnovu verskog i političkog ubeđenja, 18 na osnovu osuđivanosti, 10 na osnovu državljanstva, a devet zbog diskriminacije na osnovu predaka. Poverenik je tokom 2016. godine primio šest pritužbi podnetih zbog diskriminacije na osnovu rodnog identiteta, pet na osnovu izgleda, četiri na osnovu jezika, tri na osnovu genetske osobenosti i po dve pritužbe zbog diskriminacije na osnovu rase i rođenja.</w:t>
      </w:r>
    </w:p>
    <w:p w:rsidR="00135D51" w:rsidRDefault="000A481D" w:rsidP="000A481D">
      <w:pPr>
        <w:spacing w:after="100" w:afterAutospacing="1" w:line="276" w:lineRule="auto"/>
        <w:rPr>
          <w:rFonts w:cs="Arial"/>
        </w:rPr>
      </w:pPr>
      <w:r w:rsidRPr="000A481D">
        <w:rPr>
          <w:rFonts w:cs="Arial"/>
        </w:rPr>
        <w:t>Pored toga, u 31 pritužbi je kao osnov diskriminacije navedeno neko lično svojstvo koje u zakonu nije eksplicitno navedeno. U ovu grupu spadaju pritužbe zbog osnova kao što su prebivalište, pripadnost grupama kao što su azilanti / tražioci azila, migranti, izbeglice.</w:t>
      </w:r>
    </w:p>
    <w:p w:rsidR="00647707" w:rsidRPr="0032797E" w:rsidRDefault="00647707" w:rsidP="00135D51">
      <w:pPr>
        <w:pStyle w:val="NoSpacing"/>
        <w:rPr>
          <w:sz w:val="6"/>
          <w:lang w:val="sr-Cyrl-CS"/>
        </w:rPr>
      </w:pPr>
    </w:p>
    <w:p w:rsidR="00135D51" w:rsidRPr="00135D51" w:rsidRDefault="008C5580" w:rsidP="00D93153">
      <w:pPr>
        <w:pStyle w:val="Heading4"/>
        <w:numPr>
          <w:ilvl w:val="3"/>
          <w:numId w:val="22"/>
        </w:numPr>
        <w:ind w:left="851" w:hanging="709"/>
      </w:pPr>
      <w:bookmarkStart w:id="116" w:name="_Toc477248650"/>
      <w:bookmarkStart w:id="117" w:name="_Toc477251775"/>
      <w:r>
        <w:rPr>
          <w:lang w:val="sr-Latn-RS"/>
        </w:rPr>
        <w:t>Mišljenja i preporuke</w:t>
      </w:r>
      <w:bookmarkEnd w:id="116"/>
      <w:bookmarkEnd w:id="117"/>
    </w:p>
    <w:p w:rsidR="00135D51" w:rsidRPr="008C5580" w:rsidRDefault="008C5580" w:rsidP="0032797E">
      <w:pPr>
        <w:shd w:val="clear" w:color="auto" w:fill="44DCFA"/>
        <w:spacing w:before="240" w:after="100" w:afterAutospacing="1" w:line="276" w:lineRule="auto"/>
        <w:rPr>
          <w:rFonts w:cs="Arial"/>
          <w:i/>
          <w:kern w:val="3"/>
          <w:lang w:val="sr-Latn-RS" w:eastAsia="zh-CN" w:bidi="hi-IN"/>
        </w:rPr>
      </w:pPr>
      <w:r w:rsidRPr="008C5580">
        <w:rPr>
          <w:rFonts w:cs="Arial"/>
          <w:i/>
          <w:kern w:val="3"/>
          <w:lang w:val="sr-Latn-RS" w:eastAsia="zh-CN" w:bidi="hi-IN"/>
        </w:rPr>
        <w:t>Prebivalište kao uslov konkursa za upis polaznika stručnog osposobljavanja u Centru za osnovnu policijsku obuku Ministarstva unutrašnjih poslova Republike Srbije</w:t>
      </w:r>
      <w:r>
        <w:rPr>
          <w:rFonts w:cs="Arial"/>
          <w:i/>
          <w:kern w:val="3"/>
          <w:lang w:val="sr-Latn-RS" w:eastAsia="zh-CN" w:bidi="hi-IN"/>
        </w:rPr>
        <w:t xml:space="preserve"> </w:t>
      </w:r>
    </w:p>
    <w:p w:rsidR="008C5580" w:rsidRPr="008C5580" w:rsidRDefault="008C5580" w:rsidP="008C5580">
      <w:pPr>
        <w:spacing w:after="100" w:afterAutospacing="1" w:line="276" w:lineRule="auto"/>
        <w:rPr>
          <w:rFonts w:cs="Arial"/>
        </w:rPr>
      </w:pPr>
      <w:r w:rsidRPr="008C5580">
        <w:rPr>
          <w:rFonts w:cs="Arial"/>
        </w:rPr>
        <w:t xml:space="preserve">Protiv Ministarstva unutrašnjih poslova Republike Srbije podneta je pritužba zbog uslova konkursa za upis polaznika stručnog osposobljavanja u Centru za osnovnu policijsku obuku. Pomenuti konkurs raspisalo je Ministarstvo unutrašnjih poslova, a kao jedan od uslova za kandidate predviđeno je prebivalište od najmanje godinu dana na teritoriji policijske uprave za koju se konkuriše. Pritužbu je podnelo lice koje se prijavilo na konkurs, ali koje nije ispunjavalo Pravilnikom o kriterijumima za izbor kandidata za polaznike stručnog osposobljavanja propisani uslov prebivališta. Prema navodima podnosioca pritužbe, propisivanjem ovog uslova Ministarstvo unutrašnjih poslova vrši diskriminaciju kandidata po mestu prebivališta. </w:t>
      </w:r>
    </w:p>
    <w:p w:rsidR="00647707" w:rsidRPr="00647707" w:rsidRDefault="008C5580" w:rsidP="008C5580">
      <w:pPr>
        <w:spacing w:after="100" w:afterAutospacing="1" w:line="276" w:lineRule="auto"/>
        <w:rPr>
          <w:rFonts w:cs="Arial"/>
        </w:rPr>
      </w:pPr>
      <w:r w:rsidRPr="008C5580">
        <w:rPr>
          <w:rFonts w:cs="Arial"/>
        </w:rPr>
        <w:t>U toku postupka utvrđeno je da prebivalište ne predstavlja kriterijum koji je od značaja za izbor najboljih polaznika za osnovnu policijsku obuku i da ne postoji srazmera između preduzete mere i cilja koji se želi postići, odnosno da se željeni cilj može postići i drugom merom. Poverenica za zaštitu ravnopravnosti dala je mišljenje da je odredbom člana 3. stav 1. tačka 2. Pravilnika o kriterijumima za izbor kandidata za polaznike stručnog osposobljavanja, kojom je propisano da pravo učešća na konkursu za osnovnu policijsku obuku ima lice koje najmanje godinu dana ima prebivalište na teritoriji organizacione jedinice za koju se raspisuje konkurs do dana zaključenja konkursa, podnosilac pritužbe neopravdano stavljen u nejednak položaj na osnovu mesta prebivališta i preporučila Ministarstvu unutrašnjih poslova da otkloni posledice diskriminatornog postupanja u roku od 30 dana od dana prijema mišljenja s preporukom, da uskladi odredbe člana 3. stav 1. tačka 2. Pravilnika o kriterijumima za izbor kandidata za polaznike stručnog osposobljavanja s antidiskriminacionim propisima, kao i da ubuduće, u okviru obavljanja poslova iz svoje nadležnosti, ne krši antidiskriminacione propise. Po ovoj preporuci je postupljeno.</w:t>
      </w:r>
    </w:p>
    <w:p w:rsidR="00135D51" w:rsidRPr="00767985" w:rsidRDefault="00767985" w:rsidP="0032797E">
      <w:pPr>
        <w:shd w:val="clear" w:color="auto" w:fill="44DCFA"/>
        <w:spacing w:before="480" w:after="100" w:afterAutospacing="1" w:line="276" w:lineRule="auto"/>
        <w:rPr>
          <w:rFonts w:cs="Arial"/>
          <w:i/>
          <w:color w:val="C00000"/>
          <w:lang w:val="sr-Latn-RS" w:eastAsia="sr-Latn-CS"/>
        </w:rPr>
      </w:pPr>
      <w:r w:rsidRPr="00767985">
        <w:rPr>
          <w:rFonts w:cs="Arial"/>
          <w:i/>
          <w:lang w:val="sr-Latn-RS" w:eastAsia="sr-Latn-CS"/>
        </w:rPr>
        <w:lastRenderedPageBreak/>
        <w:t>Državljanstvo Republike Srbije jedan od uslova za dodelu sredstava za finansiran</w:t>
      </w:r>
      <w:r>
        <w:rPr>
          <w:rFonts w:cs="Arial"/>
          <w:i/>
          <w:lang w:val="sr-Latn-RS" w:eastAsia="sr-Latn-CS"/>
        </w:rPr>
        <w:t>je postupka vantelesne oplodnje</w:t>
      </w:r>
    </w:p>
    <w:p w:rsidR="00767985" w:rsidRPr="00767985" w:rsidRDefault="00767985" w:rsidP="00767985">
      <w:pPr>
        <w:spacing w:after="100" w:afterAutospacing="1" w:line="276" w:lineRule="auto"/>
        <w:rPr>
          <w:rFonts w:eastAsia="Times New Roman" w:cs="Arial"/>
          <w:color w:val="000000"/>
          <w:lang w:eastAsia="sr-Latn-CS"/>
        </w:rPr>
      </w:pPr>
      <w:r w:rsidRPr="00767985">
        <w:rPr>
          <w:rFonts w:eastAsia="Times New Roman" w:cs="Arial"/>
          <w:color w:val="000000"/>
          <w:lang w:eastAsia="sr-Latn-CS"/>
        </w:rPr>
        <w:t>Mišljenje je doneto u postupku po pritužbi protiv jedne lokalne samouprave, zbog diskriminacije na osnovu ličnog svojstva člana porodice. Podnositeljka pritužbe je navela da je konkurisala za sredstva koja je ova gradska opština izdvojila za finansiranje postupka vantelesne oplodnje. Međutim, njen zahtev je odbijen zbog toga što je u braku s državljaninom Grčke.</w:t>
      </w:r>
    </w:p>
    <w:p w:rsidR="00767985" w:rsidRPr="00767985" w:rsidRDefault="00767985" w:rsidP="00767985">
      <w:pPr>
        <w:spacing w:after="100" w:afterAutospacing="1" w:line="276" w:lineRule="auto"/>
        <w:rPr>
          <w:rFonts w:eastAsia="Times New Roman" w:cs="Arial"/>
          <w:color w:val="000000"/>
          <w:lang w:eastAsia="sr-Latn-CS"/>
        </w:rPr>
      </w:pPr>
      <w:r w:rsidRPr="00767985">
        <w:rPr>
          <w:rFonts w:eastAsia="Times New Roman" w:cs="Arial"/>
          <w:color w:val="000000"/>
          <w:lang w:eastAsia="sr-Latn-CS"/>
        </w:rPr>
        <w:t xml:space="preserve">U toku postupka je utvrđeno da se podnositeljka pritužbe, državljanka Republike Srbije, s prijavljenim prebivalištem na teritoriji gradske opštine protiv koje je pritužba podneta, prijavila na konkurs za dodelu sredstava za finansiranje postupka vantelesne oplodnje zajedno sa svojim suprugom, državljaninom Grčke s odobrenim boravkom u Republici Srbiji, na teritoriji iste opštine, zbog spajanja porodice. Gradska opština odbila je zahtev podnositeljke pritužbe s obrazloženjem da njen suprug nema državljanstvo Republike Srbije, što je jedan od uslova za dodelu sredstava. </w:t>
      </w:r>
    </w:p>
    <w:p w:rsidR="00767985" w:rsidRDefault="00767985" w:rsidP="00767985">
      <w:pPr>
        <w:spacing w:after="100" w:afterAutospacing="1" w:line="276" w:lineRule="auto"/>
        <w:rPr>
          <w:rFonts w:eastAsia="Times New Roman" w:cs="Arial"/>
          <w:color w:val="000000"/>
          <w:lang w:val="sr-Latn-RS" w:eastAsia="sr-Latn-CS"/>
        </w:rPr>
      </w:pPr>
      <w:r w:rsidRPr="00767985">
        <w:rPr>
          <w:rFonts w:eastAsia="Times New Roman" w:cs="Arial"/>
          <w:color w:val="000000"/>
          <w:lang w:eastAsia="sr-Latn-CS"/>
        </w:rPr>
        <w:t>Poverenica za zaštitu ravnopravnosti dala je mišljenje da je na ovaj način gradska opština izvršila akt diskriminacije prema podnositeljki pritužbe na osnovu ličnog svojstva člana njene porodice. U skladu s tim, poverenica za zaštitu ravnopravnosti preporučila je gradskoj opštini da bez odlaganja preduzme sve neophodne mere kako bi se otklonile posledice diskriminatornog postupanja prema podnositeljki pritužbe, s ciljem ostvarivanja prava na finansijsku pomoć za vantelesnu oplodnju, kao i da ubuduće, u okviru obavljanja poslova iz svoje nadležnosti, ne krši antidiskriminiacione propise. Po ovoj preporuci je postupljeno.</w:t>
      </w:r>
    </w:p>
    <w:p w:rsidR="00135D51" w:rsidRPr="00135D51" w:rsidRDefault="00767985" w:rsidP="0032797E">
      <w:pPr>
        <w:shd w:val="clear" w:color="auto" w:fill="44DCFA"/>
        <w:spacing w:before="240" w:after="100" w:afterAutospacing="1"/>
        <w:rPr>
          <w:rFonts w:cs="Arial"/>
          <w:i/>
        </w:rPr>
      </w:pPr>
      <w:r>
        <w:rPr>
          <w:rFonts w:cs="Arial"/>
          <w:i/>
          <w:lang w:val="sr-Latn-RS"/>
        </w:rPr>
        <w:t>Nametanja posebnih obaveza za korišćenje usluge javnog komunalnog preduzeća</w:t>
      </w:r>
    </w:p>
    <w:p w:rsidR="00767985" w:rsidRPr="00767985" w:rsidRDefault="00767985" w:rsidP="00767985">
      <w:pPr>
        <w:spacing w:after="100" w:afterAutospacing="1" w:line="276" w:lineRule="auto"/>
        <w:rPr>
          <w:rFonts w:cs="Arial"/>
        </w:rPr>
      </w:pPr>
      <w:r w:rsidRPr="00767985">
        <w:rPr>
          <w:rFonts w:cs="Arial"/>
        </w:rPr>
        <w:t>Protiv JKP GSP „Beograd“ Povereniku za zaštitu ravnopravnosti podneta je pritužba zbog diskriminacije na osnovu bračnog i porodičnog statusa. Podnositeljka pritužbe je navela da je 5. avgusta 2016. godine u Beogradu ušla u autobus u vlasništvu ovog preduzeća, s bebom u kolicima. Po ulasku u vozilo prišao joj je vozač autobusa, rekavši da je neophodno da sklopi kolica i dete uzme u naručje, jer u suprotnom neće započeti vožnju. Smatrajući da bi takav način vožnje bio nebezbedan za nju i dete, kao i da je dete obezbeđeno i sigurno u kolicima koja su zakočena, podnositeljka pritužbe je odbila da postupi po nalogu vozača, nakon čega je faktički bila primorana da napusti autobus, s obzirom na to da vozač nije hteo da započne vožnju.</w:t>
      </w:r>
    </w:p>
    <w:p w:rsidR="00647707" w:rsidRDefault="00767985" w:rsidP="00767985">
      <w:pPr>
        <w:spacing w:after="100" w:afterAutospacing="1" w:line="276" w:lineRule="auto"/>
        <w:rPr>
          <w:rFonts w:cs="Arial"/>
          <w:lang w:val="sr-Latn-RS"/>
        </w:rPr>
      </w:pPr>
      <w:r w:rsidRPr="00767985">
        <w:rPr>
          <w:rFonts w:cs="Arial"/>
        </w:rPr>
        <w:t>U toku postupka utvrđeno je da je JKP GSP „Beograd“ stavilo u nejednak položaj podnositeljku pritužbe, i to nametanjem posebnih obaveza za korišćenje usluge ovog preduzeća, koje nisu nužne i opravdane razlozima bezbednosti, budući da se taj cilj mogao postići i na drugi način, čime je prekršilo odredbe Zakona o zabrani diskriminacije. Zbog toga je poverenica za zaštitu ravnopravnosti dala preporuku preduzeću da preduzme sve neophodne mere kako bi obezbedilo nesmetan i bezbedan pristup pružanju usluga ovog preduzeća osobama s decom u kolicima, da upozna zaposlene koji vrše prevoz putnika sa sadržinom mišljenja s preporukama poverenice, da ubuduće vodi računa da svojim aktima i praksom u pružanju usluga ne krši antidiskriminacione propise, kao i da u ličnom kontaktu ili pisanim putem uputi izvinjenje podnositeljki pritužbe, zbog pretrpljenog akta diskriminacije. Po ovoj preporuci je postupljeno.</w:t>
      </w:r>
    </w:p>
    <w:p w:rsidR="00135D51" w:rsidRPr="00135D51" w:rsidRDefault="00767985" w:rsidP="00D93153">
      <w:pPr>
        <w:pStyle w:val="Heading4"/>
        <w:numPr>
          <w:ilvl w:val="3"/>
          <w:numId w:val="22"/>
        </w:numPr>
        <w:ind w:left="851" w:hanging="567"/>
      </w:pPr>
      <w:bookmarkStart w:id="118" w:name="_Toc477248651"/>
      <w:bookmarkStart w:id="119" w:name="_Toc477251776"/>
      <w:r>
        <w:rPr>
          <w:lang w:val="sr-Latn-RS"/>
        </w:rPr>
        <w:lastRenderedPageBreak/>
        <w:t>Saopštenja</w:t>
      </w:r>
      <w:bookmarkEnd w:id="118"/>
      <w:bookmarkEnd w:id="119"/>
    </w:p>
    <w:p w:rsidR="00135D51" w:rsidRPr="00135D51" w:rsidRDefault="00767985" w:rsidP="0032797E">
      <w:pPr>
        <w:shd w:val="clear" w:color="auto" w:fill="44DCFA"/>
        <w:spacing w:after="100" w:afterAutospacing="1"/>
        <w:rPr>
          <w:rFonts w:cs="Arial"/>
          <w:i/>
        </w:rPr>
      </w:pPr>
      <w:r>
        <w:rPr>
          <w:rFonts w:cs="Arial"/>
          <w:i/>
          <w:lang w:val="sr-Latn-RS"/>
        </w:rPr>
        <w:t xml:space="preserve">Saopštenje povodom napada na Kuću ljudskih prava, </w:t>
      </w:r>
      <w:r w:rsidR="00135D51" w:rsidRPr="00135D51">
        <w:rPr>
          <w:rFonts w:cs="Arial"/>
          <w:i/>
        </w:rPr>
        <w:t xml:space="preserve">22. </w:t>
      </w:r>
      <w:r>
        <w:rPr>
          <w:rFonts w:cs="Arial"/>
          <w:i/>
          <w:lang w:val="sr-Latn-RS"/>
        </w:rPr>
        <w:t>januar</w:t>
      </w:r>
      <w:r w:rsidR="00135D51" w:rsidRPr="00135D51">
        <w:rPr>
          <w:rFonts w:cs="Arial"/>
          <w:i/>
        </w:rPr>
        <w:t xml:space="preserve"> 2016.</w:t>
      </w:r>
    </w:p>
    <w:p w:rsidR="00767985" w:rsidRDefault="00767985" w:rsidP="00135D51">
      <w:pPr>
        <w:spacing w:after="100" w:afterAutospacing="1" w:line="276" w:lineRule="auto"/>
        <w:rPr>
          <w:rFonts w:cs="Arial"/>
          <w:shd w:val="clear" w:color="auto" w:fill="FFFFFF"/>
          <w:lang w:val="sr-Latn-RS"/>
        </w:rPr>
      </w:pPr>
      <w:r w:rsidRPr="00767985">
        <w:rPr>
          <w:rFonts w:cs="Arial"/>
          <w:shd w:val="clear" w:color="auto" w:fill="FFFFFF"/>
        </w:rPr>
        <w:t>Poverenica za zaštitu ravnopravnosti najoštrije je osudila napad na prostorije Kuće ljudskih prava u centru Beograda. Tom prilikom je pozvala nadležne da rasvetle okolnosti pod kojima su razbijene prostorije Kuće ljudskih prava, u kojoj su okupljene značajne nevladine organizacije u Srbiji. Nevladine organizacije su naši partneri i saradnici, s kojima se zajednički radi na unapređenju, zaštiti i većem poštovanju ljudskih prava svih u našoj zemlji, s ciljem izgradnje funkcionalnog, demokratskog, ravnopravnijeg i tolerantnijeg društva, istakla je poverenica povodom ovog vandalskog napada.</w:t>
      </w:r>
    </w:p>
    <w:p w:rsidR="00767985" w:rsidRPr="00767985" w:rsidRDefault="00767985" w:rsidP="00135D51">
      <w:pPr>
        <w:spacing w:after="100" w:afterAutospacing="1" w:line="276" w:lineRule="auto"/>
        <w:rPr>
          <w:rFonts w:cs="Arial"/>
          <w:shd w:val="clear" w:color="auto" w:fill="FFFFFF"/>
          <w:lang w:val="sr-Latn-RS"/>
        </w:rPr>
      </w:pPr>
    </w:p>
    <w:p w:rsidR="00135D51" w:rsidRPr="00135D51" w:rsidRDefault="00767985" w:rsidP="00D93153">
      <w:pPr>
        <w:pStyle w:val="Heading3"/>
        <w:numPr>
          <w:ilvl w:val="0"/>
          <w:numId w:val="23"/>
        </w:numPr>
        <w:ind w:left="1418" w:hanging="1134"/>
      </w:pPr>
      <w:bookmarkStart w:id="120" w:name="_Toc477248652"/>
      <w:bookmarkStart w:id="121" w:name="_Toc477251777"/>
      <w:r>
        <w:rPr>
          <w:lang w:val="sr-Latn-RS"/>
        </w:rPr>
        <w:t>Višestruka diskriminacija</w:t>
      </w:r>
      <w:bookmarkEnd w:id="120"/>
      <w:bookmarkEnd w:id="121"/>
    </w:p>
    <w:p w:rsidR="00767985" w:rsidRPr="00767985" w:rsidRDefault="00767985" w:rsidP="00767985">
      <w:pPr>
        <w:pStyle w:val="NoSpacing"/>
        <w:rPr>
          <w:rFonts w:ascii="Arial" w:hAnsi="Arial" w:cs="Arial"/>
          <w:lang w:val="sr-Cyrl-CS"/>
        </w:rPr>
      </w:pPr>
      <w:r w:rsidRPr="00767985">
        <w:rPr>
          <w:rFonts w:ascii="Arial" w:hAnsi="Arial" w:cs="Arial"/>
          <w:lang w:val="sr-Cyrl-CS"/>
        </w:rPr>
        <w:t>Višestruka ili ukrštena diskriminacija predstavlja diskriminaciju lica po osnovu dva ili više ličnih svojstava</w:t>
      </w:r>
      <w:r w:rsidR="00F304B2">
        <w:rPr>
          <w:rStyle w:val="FootnoteReference"/>
          <w:rFonts w:ascii="Arial" w:hAnsi="Arial" w:cs="Arial"/>
          <w:lang w:val="sr-Cyrl-CS"/>
        </w:rPr>
        <w:footnoteReference w:id="256"/>
      </w:r>
      <w:r w:rsidRPr="00767985">
        <w:rPr>
          <w:rFonts w:ascii="Arial" w:hAnsi="Arial" w:cs="Arial"/>
          <w:lang w:val="sr-Cyrl-CS"/>
        </w:rPr>
        <w:t>.  Zbog naročito teških posledica koje prouzrokuje, zakonom je svrstana u teške oblike diskriminacije.</w:t>
      </w:r>
    </w:p>
    <w:p w:rsidR="00767985" w:rsidRDefault="00767985" w:rsidP="00767985">
      <w:pPr>
        <w:pStyle w:val="NoSpacing"/>
        <w:rPr>
          <w:rFonts w:ascii="Arial" w:hAnsi="Arial" w:cs="Arial"/>
          <w:lang w:val="sr-Latn-RS"/>
        </w:rPr>
      </w:pPr>
    </w:p>
    <w:p w:rsidR="00767985" w:rsidRPr="00767985" w:rsidRDefault="00767985" w:rsidP="00767985">
      <w:pPr>
        <w:pStyle w:val="NoSpacing"/>
        <w:rPr>
          <w:rFonts w:ascii="Arial" w:hAnsi="Arial" w:cs="Arial"/>
          <w:lang w:val="sr-Cyrl-CS"/>
        </w:rPr>
      </w:pPr>
      <w:r w:rsidRPr="00767985">
        <w:rPr>
          <w:rFonts w:ascii="Arial" w:hAnsi="Arial" w:cs="Arial"/>
          <w:lang w:val="sr-Cyrl-CS"/>
        </w:rPr>
        <w:t xml:space="preserve">Povereniku je tokom 2016. godine podnet značajan broj pritužbi u kojima je navedeno više ličnih svojstava. Taj podatak ukazuje na povećani nivo svesti građana da je u nekim situacijama diskriminacija zasnovana na više osnova. Od 102 pritužbe u kojima je navedeno više ličnih svojstava, u najvećem broju naznačeno je starosno doba, zatim slede pol, invaliditet, bračni i porodični status, zdravstveno stanje, članstvo u političkim, sindikalnim i drugim organizacijama i imovno stanje. </w:t>
      </w:r>
    </w:p>
    <w:p w:rsidR="00767985" w:rsidRDefault="00767985" w:rsidP="00767985">
      <w:pPr>
        <w:pStyle w:val="NoSpacing"/>
        <w:rPr>
          <w:rFonts w:ascii="Arial" w:hAnsi="Arial" w:cs="Arial"/>
          <w:lang w:val="sr-Latn-RS"/>
        </w:rPr>
      </w:pPr>
    </w:p>
    <w:p w:rsidR="00135D51" w:rsidRDefault="00767985" w:rsidP="00767985">
      <w:pPr>
        <w:pStyle w:val="NoSpacing"/>
        <w:rPr>
          <w:rFonts w:ascii="Arial" w:hAnsi="Arial" w:cs="Arial"/>
          <w:lang w:val="sr-Latn-RS"/>
        </w:rPr>
      </w:pPr>
      <w:r w:rsidRPr="00767985">
        <w:rPr>
          <w:rFonts w:ascii="Arial" w:hAnsi="Arial" w:cs="Arial"/>
          <w:lang w:val="sr-Cyrl-CS"/>
        </w:rPr>
        <w:t>Ovaj broj pritužbi ipak ne znači da se u svim slučajevima zaista radilo o višestrukoj diskriminaciji, s obzirom na to da se dešava da podnosioci pritužbi navedu po nekoliko ličnih svojstava, posebno u situacijama kada nisu sigurni koje je njihovo lično svojstvo bilo osnov diskriminacije.</w:t>
      </w:r>
    </w:p>
    <w:p w:rsidR="00767985" w:rsidRDefault="00767985" w:rsidP="00767985">
      <w:pPr>
        <w:pStyle w:val="NoSpacing"/>
        <w:rPr>
          <w:rFonts w:ascii="Arial" w:hAnsi="Arial" w:cs="Arial"/>
          <w:lang w:val="sr-Latn-RS"/>
        </w:rPr>
      </w:pPr>
    </w:p>
    <w:p w:rsidR="00135D51" w:rsidRPr="00135D51" w:rsidRDefault="00F304B2" w:rsidP="00D93153">
      <w:pPr>
        <w:pStyle w:val="Heading4"/>
        <w:numPr>
          <w:ilvl w:val="0"/>
          <w:numId w:val="25"/>
        </w:numPr>
        <w:tabs>
          <w:tab w:val="left" w:pos="851"/>
        </w:tabs>
        <w:ind w:left="851" w:hanging="567"/>
      </w:pPr>
      <w:bookmarkStart w:id="122" w:name="_Toc477248653"/>
      <w:bookmarkStart w:id="123" w:name="_Toc477251778"/>
      <w:r>
        <w:rPr>
          <w:lang w:val="sr-Latn-RS"/>
        </w:rPr>
        <w:t>Mišljenja i preporuke</w:t>
      </w:r>
      <w:bookmarkEnd w:id="122"/>
      <w:bookmarkEnd w:id="123"/>
    </w:p>
    <w:p w:rsidR="00135D51" w:rsidRPr="00135D51" w:rsidRDefault="00F304B2" w:rsidP="00135D51">
      <w:pPr>
        <w:shd w:val="clear" w:color="auto" w:fill="75E5FB"/>
        <w:spacing w:after="100" w:afterAutospacing="1" w:line="276" w:lineRule="auto"/>
        <w:rPr>
          <w:rFonts w:cs="Arial"/>
          <w:i/>
          <w:kern w:val="3"/>
          <w:lang w:eastAsia="zh-CN" w:bidi="hi-IN"/>
        </w:rPr>
      </w:pPr>
      <w:r>
        <w:rPr>
          <w:rFonts w:cs="Arial"/>
          <w:i/>
          <w:kern w:val="3"/>
          <w:lang w:val="sr-Latn-RS" w:eastAsia="zh-CN" w:bidi="hi-IN"/>
        </w:rPr>
        <w:t>Odbornik skupštine grada vređao gradonačelnicu zbog njenih ličnih svojstava – pola i starosnog doba</w:t>
      </w:r>
      <w:r w:rsidR="00135D51" w:rsidRPr="00135D51">
        <w:rPr>
          <w:rFonts w:cs="Arial"/>
          <w:i/>
          <w:kern w:val="3"/>
          <w:lang w:eastAsia="zh-CN" w:bidi="hi-IN"/>
        </w:rPr>
        <w:t xml:space="preserve"> </w:t>
      </w:r>
    </w:p>
    <w:p w:rsidR="00F304B2" w:rsidRPr="00F304B2" w:rsidRDefault="00F304B2" w:rsidP="00F304B2">
      <w:pPr>
        <w:spacing w:after="100" w:afterAutospacing="1" w:line="276" w:lineRule="auto"/>
        <w:rPr>
          <w:rFonts w:eastAsia="Times New Roman" w:cs="Arial"/>
          <w:color w:val="000000"/>
          <w:lang w:eastAsia="sr-Latn-CS"/>
        </w:rPr>
      </w:pPr>
      <w:r w:rsidRPr="00F304B2">
        <w:rPr>
          <w:rFonts w:eastAsia="Times New Roman" w:cs="Arial"/>
          <w:color w:val="000000"/>
          <w:lang w:eastAsia="sr-Latn-CS"/>
        </w:rPr>
        <w:t>Pritužba je podneta u ime i uz saglasnost gradonačelnice Smedereva, dr Jasne Avramović, zbog izjava koje je Perica Đorđević, odbornik Skupštine grada Smedereva, izneo na njenom zasedanju 24. decembra 2015. godine. Prema navodima iz pritužbe, odbornik je tom prilikom izjavio: „Bilo bi dobro da gradonačelnik bude A. P., mlad i častan, umesto naduvane i histerične babe.“</w:t>
      </w:r>
    </w:p>
    <w:p w:rsidR="00F304B2" w:rsidRPr="00F304B2" w:rsidRDefault="00F304B2" w:rsidP="00F304B2">
      <w:pPr>
        <w:spacing w:after="100" w:afterAutospacing="1" w:line="276" w:lineRule="auto"/>
        <w:rPr>
          <w:rFonts w:eastAsia="Times New Roman" w:cs="Arial"/>
          <w:color w:val="000000"/>
          <w:lang w:eastAsia="sr-Latn-CS"/>
        </w:rPr>
      </w:pPr>
      <w:r w:rsidRPr="00F304B2">
        <w:rPr>
          <w:rFonts w:eastAsia="Times New Roman" w:cs="Arial"/>
          <w:color w:val="000000"/>
          <w:lang w:eastAsia="sr-Latn-CS"/>
        </w:rPr>
        <w:t>U postupku je utvrđeno da je na sednici Skupštine grada Smedereva odbornik Perica Đorđević, između ostalog, izjavio: „</w:t>
      </w:r>
      <w:r w:rsidRPr="00F304B2">
        <w:rPr>
          <w:rFonts w:eastAsia="Times New Roman" w:cs="Arial"/>
          <w:color w:val="000000"/>
          <w:lang w:eastAsia="sr-Latn-CS"/>
        </w:rPr>
        <w:t>…</w:t>
      </w:r>
      <w:r w:rsidRPr="00F304B2">
        <w:rPr>
          <w:rFonts w:eastAsia="Times New Roman" w:cs="Arial"/>
          <w:color w:val="000000"/>
          <w:lang w:eastAsia="sr-Latn-CS"/>
        </w:rPr>
        <w:t xml:space="preserve"> To je, prosto, nedopustivo. Od koga? Od gradonačelnice. I sačekajte, još ovo da kažem, pošto sam se sve vreme uzdržavao da ne budem vulgaran i da joj odgovorim istom merom, onako kako ona nas vređa. Ovaj put ću da </w:t>
      </w:r>
      <w:r w:rsidRPr="00F304B2">
        <w:rPr>
          <w:rFonts w:eastAsia="Times New Roman" w:cs="Arial"/>
          <w:color w:val="000000"/>
          <w:lang w:eastAsia="sr-Latn-CS"/>
        </w:rPr>
        <w:lastRenderedPageBreak/>
        <w:t xml:space="preserve">prekršim to i to ću reći. Stalno pominje A. P. koji se kandiduje za gradonačelnika i hoće da bude gradonačelnik, što je legitimna stvar. </w:t>
      </w:r>
      <w:r w:rsidRPr="00F304B2">
        <w:rPr>
          <w:rFonts w:eastAsia="Times New Roman" w:cs="Arial"/>
          <w:color w:val="000000"/>
          <w:lang w:eastAsia="sr-Latn-CS"/>
        </w:rPr>
        <w:t>…</w:t>
      </w:r>
      <w:r w:rsidRPr="00F304B2">
        <w:rPr>
          <w:rFonts w:eastAsia="Times New Roman" w:cs="Arial"/>
          <w:color w:val="000000"/>
          <w:lang w:eastAsia="sr-Latn-CS"/>
        </w:rPr>
        <w:t> Pa bolje on, čestit, pošten, mlad, nego neka histerična, naduvana baba.“</w:t>
      </w:r>
    </w:p>
    <w:p w:rsidR="00F304B2" w:rsidRPr="00F304B2" w:rsidRDefault="00F304B2" w:rsidP="00F304B2">
      <w:pPr>
        <w:spacing w:after="100" w:afterAutospacing="1" w:line="276" w:lineRule="auto"/>
        <w:rPr>
          <w:rFonts w:eastAsia="Times New Roman" w:cs="Arial"/>
          <w:color w:val="000000"/>
          <w:lang w:eastAsia="sr-Latn-CS"/>
        </w:rPr>
      </w:pPr>
      <w:r w:rsidRPr="00F304B2">
        <w:rPr>
          <w:rFonts w:eastAsia="Times New Roman" w:cs="Arial"/>
          <w:color w:val="000000"/>
          <w:lang w:eastAsia="sr-Latn-CS"/>
        </w:rPr>
        <w:t xml:space="preserve">Poverenica za zaštitu ravnopravnosti smatra da je rečima „histerična, naduvana baba“ odbornik uvredio i omalovažio gradonačelnicu na osnovu njenih ličnih svojstava – pola i starosnog doba. Naime, ovim rečima odbornik je svoj stav prema gradonačelnici iskazao kroz stereotipne i tradicionalne rodne uloge, prizmu pola i starosnog doba, prema kojima se žena, bez obzira na svoju stručnost i profesionalna dostignuća, može komentarisati kao „baba“ ili kao „histerična“ ukoliko njen rad i izjave nisu u skladu s vrednostima druge osobe. Poverenica ističe da se upravo ovakvim izjavama promovišu seksizam, rodni stereotipi i predrasude prema ženama u javnom i političkom životu, što je nedopustivo i predstavlja vređanje i kršenje ljudskog dostojanstva žene. S druge strane, izjavom odbornika da je bolje da gradonačelnik bude mlad čovek, nego „neka </w:t>
      </w:r>
      <w:r w:rsidRPr="00F304B2">
        <w:rPr>
          <w:rFonts w:eastAsia="Times New Roman" w:cs="Arial"/>
          <w:color w:val="000000"/>
          <w:lang w:eastAsia="sr-Latn-CS"/>
        </w:rPr>
        <w:t>…</w:t>
      </w:r>
      <w:r w:rsidRPr="00F304B2">
        <w:rPr>
          <w:rFonts w:eastAsia="Times New Roman" w:cs="Arial"/>
          <w:color w:val="000000"/>
          <w:lang w:eastAsia="sr-Latn-CS"/>
        </w:rPr>
        <w:t xml:space="preserve"> baba“ izražen je njegov stav da ljudi koji nisu mladi ne treba da obavljaju značajne političke i rukovodeće funkcije, čime se stigmatizuju starije osobe. Poverenica za zaštitu ravnopravnosti ukazuje da je nedopustivo da se lična svojstva (kao što su pol i starosno doba) dovode u vezu s kvalifikacijama određene osobe da preuzme bilo koju javnu funkciju i obavlja određene zadatke i poslove. </w:t>
      </w:r>
    </w:p>
    <w:p w:rsidR="00135D51" w:rsidRDefault="00F304B2" w:rsidP="00F304B2">
      <w:pPr>
        <w:spacing w:after="100" w:afterAutospacing="1" w:line="276" w:lineRule="auto"/>
        <w:rPr>
          <w:rFonts w:eastAsia="Times New Roman" w:cs="Arial"/>
          <w:lang w:val="sr-Latn-RS" w:eastAsia="sr-Latn-CS"/>
        </w:rPr>
      </w:pPr>
      <w:r w:rsidRPr="00F304B2">
        <w:rPr>
          <w:rFonts w:eastAsia="Times New Roman" w:cs="Arial"/>
          <w:color w:val="000000"/>
          <w:lang w:eastAsia="sr-Latn-CS"/>
        </w:rPr>
        <w:t>Poverenica je dala mišljenje da su izjavom koju je odbornik Perica Đorđević dao na sednici Skupštine grada Smedereva održanoj 24. decembra 2015. godine, a koja se odnosi na gradonačelnicu Smedereva, prekršene odredbe Zakona o zabrani diskriminacije. Odborniku je preporučeno da uputi pisano izvinjenje gradonačelnici u roku od 15 dana od dana prijema mišljenja s preporukom, te da vodi računa da u okviru svojih redovnih poslova i aktivnosti ne krši zakonske propise o zabrani diskriminacije. Po ovoj preporuci nije postupljeno.</w:t>
      </w:r>
    </w:p>
    <w:p w:rsidR="00135D51" w:rsidRPr="00135D51" w:rsidRDefault="00F111CD" w:rsidP="0032797E">
      <w:pPr>
        <w:shd w:val="clear" w:color="auto" w:fill="75E5FB"/>
        <w:spacing w:before="240" w:after="100" w:afterAutospacing="1"/>
        <w:outlineLvl w:val="0"/>
        <w:rPr>
          <w:rFonts w:eastAsia="Times New Roman" w:cs="Arial"/>
          <w:i/>
          <w:lang w:eastAsia="sr-Latn-CS"/>
        </w:rPr>
      </w:pPr>
      <w:bookmarkStart w:id="124" w:name="_Toc476904374"/>
      <w:bookmarkStart w:id="125" w:name="_Toc476908726"/>
      <w:bookmarkStart w:id="126" w:name="_Toc477248654"/>
      <w:bookmarkStart w:id="127" w:name="_Toc477250785"/>
      <w:bookmarkStart w:id="128" w:name="_Toc477251779"/>
      <w:r>
        <w:rPr>
          <w:rFonts w:eastAsia="Times New Roman" w:cs="Arial"/>
          <w:i/>
          <w:lang w:val="sr-Latn-RS" w:eastAsia="sr-Latn-CS"/>
        </w:rPr>
        <w:t>Javno oglašavanje poslova i podaci o ličnim svojstvima kandidata</w:t>
      </w:r>
      <w:bookmarkEnd w:id="124"/>
      <w:bookmarkEnd w:id="125"/>
      <w:bookmarkEnd w:id="126"/>
      <w:bookmarkEnd w:id="127"/>
      <w:bookmarkEnd w:id="128"/>
    </w:p>
    <w:p w:rsidR="00F111CD" w:rsidRPr="00F111CD" w:rsidRDefault="00F111CD" w:rsidP="00F111CD">
      <w:pPr>
        <w:spacing w:after="100" w:afterAutospacing="1" w:line="276" w:lineRule="auto"/>
        <w:rPr>
          <w:rFonts w:cs="Arial"/>
          <w:color w:val="000000"/>
          <w:kern w:val="3"/>
          <w:lang w:eastAsia="zh-CN" w:bidi="hi-IN"/>
        </w:rPr>
      </w:pPr>
      <w:r w:rsidRPr="00F111CD">
        <w:rPr>
          <w:rFonts w:cs="Arial"/>
          <w:color w:val="000000"/>
          <w:kern w:val="3"/>
          <w:lang w:eastAsia="zh-CN" w:bidi="hi-IN"/>
        </w:rPr>
        <w:t xml:space="preserve">Elektronski formular za zaposlenje postavljen na sajtu jednog privrednog društva bio je razlog za podnošenje pritužbe protiv tog društva. Naime, pojedina pitanja u formularu za zaposlenje odnosila su se na osetljive podatke i lična svojstva lica koja konkurišu za posao, i to: bračno stanje, imovno stanje i osuđivanost. </w:t>
      </w:r>
    </w:p>
    <w:p w:rsidR="00F111CD" w:rsidRPr="00F111CD" w:rsidRDefault="00F111CD" w:rsidP="00F111CD">
      <w:pPr>
        <w:spacing w:after="100" w:afterAutospacing="1" w:line="276" w:lineRule="auto"/>
        <w:rPr>
          <w:rFonts w:cs="Arial"/>
          <w:color w:val="000000"/>
          <w:kern w:val="3"/>
          <w:lang w:eastAsia="zh-CN" w:bidi="hi-IN"/>
        </w:rPr>
      </w:pPr>
      <w:r w:rsidRPr="00F111CD">
        <w:rPr>
          <w:rFonts w:cs="Arial"/>
          <w:color w:val="000000"/>
          <w:kern w:val="3"/>
          <w:lang w:eastAsia="zh-CN" w:bidi="hi-IN"/>
        </w:rPr>
        <w:t xml:space="preserve">Utvrđeno je da postavljanje ovih pitanja u formularu za zaposlenje predstavlja povredu imperativnih propisa o zabrani diskriminacije i da lična svojstva lica koja podnose prijavu za zaposlenje ovom poslodavcu nikako ne predstavljaju stvarni i odlučujući uslov za obavljanje posla, imajući u vidu prirodu i osobenost posla i delatnost koju obavlja ovo privredno društvo. Utvrđeno je, takođe, da je privredno društvo nakon dostavljanja izjašnjenja na pritužbu, sa svoje internet prezentacije uklonilo formular za zaposlenje koji je bio predmet ove pritužbe. </w:t>
      </w:r>
    </w:p>
    <w:p w:rsidR="00647707" w:rsidRDefault="00F111CD" w:rsidP="00F111CD">
      <w:pPr>
        <w:spacing w:after="100" w:afterAutospacing="1" w:line="276" w:lineRule="auto"/>
        <w:rPr>
          <w:rFonts w:cs="Arial"/>
          <w:color w:val="000000"/>
          <w:kern w:val="3"/>
          <w:lang w:val="sr-Latn-RS" w:eastAsia="zh-CN" w:bidi="hi-IN"/>
        </w:rPr>
      </w:pPr>
      <w:r w:rsidRPr="00F111CD">
        <w:rPr>
          <w:rFonts w:cs="Arial"/>
          <w:color w:val="000000"/>
          <w:kern w:val="3"/>
          <w:lang w:eastAsia="zh-CN" w:bidi="hi-IN"/>
        </w:rPr>
        <w:t xml:space="preserve">Poverenica za zaštitu ravnopravnosti dala je mišljenje da je postavljanjem elektronskog formulara za zaposlenje na svojoj internet prezentaciji, u kojem se od lica koja konkurišu za posao zahteva da se izjasne o podacima koji se tiču njihovih ličnih svojstava, ovo privredno društvo izvršilo akt diskriminacije u oblasti zapošljavanja i rada na osnovu bračnog i porodičnog statusa, imovnog stanja i osuđivanosti. Budući da je formular sadržao i pitanja koja se odnose na datum i mesto rođenja, poverenica je ukazala da ovi podaci takođe ne predstavljaju stvarni i odlučujući uslov za obavljanje posla, imajući u vidu prirodu i osobenost posla i delatnost koju obavlja ovo privredno društvo, ali da sâmo postavljanje ovih pitanja u </w:t>
      </w:r>
      <w:r w:rsidRPr="00F111CD">
        <w:rPr>
          <w:rFonts w:cs="Arial"/>
          <w:color w:val="000000"/>
          <w:kern w:val="3"/>
          <w:lang w:eastAsia="zh-CN" w:bidi="hi-IN"/>
        </w:rPr>
        <w:lastRenderedPageBreak/>
        <w:t>formularu za zaposlenje nije izričito zabranjeno antidiskriminacionim propisima. Imajući u vidu da je navedeni formular tokom postupka uklonjen s internet prezentacije ovog privrednog društva, poverenica je privrednom društvu preporučila da prilikom oglašavanja radnih mesta i razgovora s licima koja konkurišu za posao poštuje propise o zabrani diskriminacije i ne postavlja nedopuštena pitanja koja se tiču njihovih ličnih svojstava, a koja nisu stvarni i odlučujući uslov za obavljanje posla. Po ovoj preporuci je postupljeno.</w:t>
      </w:r>
    </w:p>
    <w:p w:rsidR="00F111CD" w:rsidRPr="00F111CD" w:rsidRDefault="00F111CD" w:rsidP="00F111CD">
      <w:pPr>
        <w:spacing w:after="100" w:afterAutospacing="1" w:line="276" w:lineRule="auto"/>
        <w:rPr>
          <w:rFonts w:cs="Arial"/>
          <w:kern w:val="3"/>
          <w:lang w:val="sr-Latn-RS" w:eastAsia="zh-CN" w:bidi="hi-IN"/>
        </w:rPr>
      </w:pPr>
    </w:p>
    <w:p w:rsidR="00135D51" w:rsidRPr="00135D51" w:rsidRDefault="00135D51" w:rsidP="00D93153">
      <w:pPr>
        <w:pStyle w:val="Heading2"/>
        <w:numPr>
          <w:ilvl w:val="1"/>
          <w:numId w:val="24"/>
        </w:numPr>
        <w:spacing w:after="100" w:afterAutospacing="1" w:line="276" w:lineRule="auto"/>
        <w:ind w:left="567" w:hanging="567"/>
        <w:rPr>
          <w:rFonts w:ascii="Arial" w:hAnsi="Arial" w:cs="Arial"/>
          <w:sz w:val="22"/>
          <w:szCs w:val="22"/>
        </w:rPr>
      </w:pPr>
      <w:r w:rsidRPr="00135D51">
        <w:rPr>
          <w:rFonts w:ascii="Arial" w:hAnsi="Arial" w:cs="Arial"/>
          <w:sz w:val="22"/>
          <w:szCs w:val="22"/>
        </w:rPr>
        <w:t xml:space="preserve"> </w:t>
      </w:r>
      <w:bookmarkStart w:id="129" w:name="_Toc477248655"/>
      <w:bookmarkStart w:id="130" w:name="_Toc477251780"/>
      <w:r w:rsidR="00F111CD">
        <w:rPr>
          <w:rFonts w:ascii="Arial" w:hAnsi="Arial" w:cs="Arial"/>
          <w:sz w:val="22"/>
          <w:szCs w:val="22"/>
          <w:lang w:val="sr-Latn-RS"/>
        </w:rPr>
        <w:t>Predlozi za ocenu ustavnosti</w:t>
      </w:r>
      <w:bookmarkEnd w:id="129"/>
      <w:bookmarkEnd w:id="130"/>
    </w:p>
    <w:p w:rsidR="00135D51" w:rsidRPr="00F111CD" w:rsidRDefault="00F111CD" w:rsidP="00135D51">
      <w:pPr>
        <w:shd w:val="clear" w:color="auto" w:fill="75E5FB"/>
        <w:spacing w:after="100" w:afterAutospacing="1" w:line="276" w:lineRule="auto"/>
        <w:jc w:val="left"/>
        <w:rPr>
          <w:rFonts w:cs="Arial"/>
          <w:i/>
          <w:lang w:val="sr-Latn-RS"/>
        </w:rPr>
      </w:pPr>
      <w:r w:rsidRPr="00F111CD">
        <w:rPr>
          <w:rFonts w:cs="Arial"/>
          <w:i/>
          <w:lang w:val="sr-Latn-RS"/>
        </w:rPr>
        <w:t>Predlog za ocenu ustavnosti Zakona o platama državnih službenika i nameštenika</w:t>
      </w:r>
      <w:r>
        <w:rPr>
          <w:rFonts w:cs="Arial"/>
          <w:i/>
          <w:lang w:val="sr-Latn-RS"/>
        </w:rPr>
        <w:t xml:space="preserve"> </w:t>
      </w:r>
    </w:p>
    <w:p w:rsidR="00F111CD" w:rsidRPr="00F111CD" w:rsidRDefault="00F111CD" w:rsidP="00F111CD">
      <w:pPr>
        <w:spacing w:after="100" w:afterAutospacing="1" w:line="276" w:lineRule="auto"/>
        <w:rPr>
          <w:rFonts w:cs="Arial"/>
        </w:rPr>
      </w:pPr>
      <w:r w:rsidRPr="00F111CD">
        <w:rPr>
          <w:rFonts w:cs="Arial"/>
        </w:rPr>
        <w:t>Poverenica za zaštitu ravnopravnosti primila je pritužbu građanke, bivše funkcionerke u organu jedinice lokalne samouprave, koja smatra da je članom 56. Zakona o platama državnih službenika i nameštenika stavljena u nejednak položaj u odnosu na muškarce funkcionere. Poverenica za zaštitu ravnopravnosti je utvrdila, postupajući po pritužbi podnositeljke pritužbe, da joj je odbijen zahtev za ostvarivanje prava na naknadu plate u periodu od tri meseca od dana kada joj je prestala funkcija, jer je uvidom u njen personalni dosije utvrđeno da je na dan prestanka funkcije imala 62 godine života, čime su se „stekli uslovi za ostvarivanje prava na starosnu penziju“. Polazeći od toga da ova odredba utiče diskriminatorno na značajan broj funkcionerki, poverenica za zaštitu ravnopravnosti je podnela predlog za ocenu ustavnosti.</w:t>
      </w:r>
    </w:p>
    <w:p w:rsidR="00135D51" w:rsidRPr="00135D51" w:rsidRDefault="00F111CD" w:rsidP="00793FBE">
      <w:pPr>
        <w:spacing w:after="600" w:line="276" w:lineRule="auto"/>
        <w:rPr>
          <w:rFonts w:cs="Arial"/>
        </w:rPr>
      </w:pPr>
      <w:r w:rsidRPr="00F111CD">
        <w:rPr>
          <w:rFonts w:cs="Arial"/>
        </w:rPr>
        <w:t xml:space="preserve">Naime, članom 56. Zakona o platama državnih službenika i nameštenika propisano je da „do stupanja na snagu zakona kojim će se urediti plate funkcionera, lice kome prestane funkcija u organu Republike Srbije, autonomne pokrajine ili jedinice lokalne samouprave na koju je izabrano, postavljeno ili imenovano, uključujući i lice koje prema posebnim propisima ima položaj funkcionera ima pravo na naknadu plate tri meseca od dana kada mu je prestala funkcija, a u visini plate koju je imalo na dan prestanka funkcije. Pravo na naknadu plate prestaje pre proteka roka od tri meseca ako bivši funkcioner zasnuje radni odnos ili stekne pravo na penziju, a može biti produženo za još tri meseca ako u ta tri meseca stiče pravo na penziju.“ Poverenica za zaštitu ravnopravnosti smatra da su odredbe člana 56. Zakona o platama državnih službenika i nameštenika nesaglasne s odredbama Ustava Republike Srbije o zajemčenim ljudskim pravima, uslovima za ostvarivanje zajemčenih ljudskih prava i uslovima za ograničenje ovih prava, i da se ovim odredbama, suprotno zabrani diskriminacije i odredbama Ustava o uslovima za ograničavanje ljudskih i manjinskih prava, ženama određenog starosnog doba kojima je prestala funkcija u organu Republike Srbije, autonomne pokrajine ili jedinice lokalne samouprave na koju su izabrane, postavljene ili imenovane, uključujući i lice koje prema posebnim propisima ima položaj funkcionerke, ograničava pravo iz oblasti socijalne zaštite. Naime, odredbama člana 19a Zakona o penzijskom i invalidskom osiguranju propisano je da žene ispunjavaju uslove za ostvarivanje penzije u pogledu radnog staža i životnog doba ranije nego muškarci, čime stiču pravo, ali ne i obavezu da odu u penziju. Međutim, članom 56. Zakona o platama državnih službenika i nameštenika propisano je da do stupanja na snagu zakona kojim će se urediti plate funkcionera, lice kome prestane funkcija u organu Republike Srbije, autonomne pokrajine ili jedinice lokalne samouprave na koju je izabrano, postavljeno ili imenovano, uključujući i lice koje prema posebnim propisima ima položaj funkcionera, ima pravo na naknadu plate tri meseca od </w:t>
      </w:r>
      <w:r w:rsidRPr="00F111CD">
        <w:rPr>
          <w:rFonts w:cs="Arial"/>
        </w:rPr>
        <w:lastRenderedPageBreak/>
        <w:t xml:space="preserve">dana kada mu je prestala funkcija, a u visini plate koju je imalo na dan prestanka funkcije. Pravo na naknadu plate prestaje pre proteka roka od tri meseca ako bivši funkcioner zasnuje radni odnos ili stekne pravo na penziju, a može biti produženo za još tri meseca ako u ta tri meseca stiče pravo na penziju. To faktički znači da je ženama ukinuto pravo izbora kada će zaista otići u starosnu penziju iz Zakona o penzijskom i invalidskom osiguranju, odnosno bivše funkcionerke određenog starosnog doba neće ostvariti pravo na naknadu plate u periodu od tri meseca od dana kada im je prestala funkcija, za razliku od muškaraca istog starosnog doba ili starijih, koji još uvek nisu ostvarili pravo na odlazak u starosnu penziju i koji će moći da ostvare pravo na naknadu plate nakon prestanka funkcije. Zbog toga je odredba člana 56. stav 2. Zakona o platama državnih službenika i nameštenika, prema stavu Poverenika za zaštitu ravnopravnosti, suprotna zabrani diskriminacije iz člana 21. Ustava, jer pogađa samo žene, bivše funkcionerke, što predstavlja diskriminaciju žena. Imajući to u vidu, poverenica za zaštitu ravnopravnosti ukazuje da za ovakvo pravljenje razlike između muškaraca i žena bivših funkcionera nema objektivnog i razumnog opravdanja. Naime, s obzirom na to da je cilj odredbe člana 56. Zakona bio da se obezbedi naknada plate funkcionerima nakon prestanka funkcije u periodu od tri meseca, za koje vreme se očekuje da će oni pronaći druge izvore prihoda (zaposlenjem ili penzionisanjem), može se konstatovati da je u pitanju zakoniti cilj koji se želi postići. Međutim, poverenica za zaštitu ravnopravnosti ukazuje da je pored zakonitog cilja neophodno da sredstva za postizanje tog cilja budu primerena i nužna, kao i da postoji srazmernost između mere koja je preduzeta i cilja koji se tom merom želi ostvariti. U konkretnom slučaju, evidentno je da ne postoji srazmera između preduzete mere i cilja, s obzirom na to da ova mera u praksi očigledno dovodi do stavljanja bivših funkcionera u nejednak položaj na osnovu njihovog pola. Posledice za bivše funkcionerke starosnog doba od 62 do 65 godina jesu uskraćivanje prava na naknadu plate u periodu od tri meseca od dana kada im je prestala funkcija, dok na muškarce istog starosnog doba ova zakonska odredba nema uticaja. Stoga poverenica za zaštitu ravnopravnosti smatra da takve posledice niti su srazmerne, niti svrsishodne cilju koji se želi postići. </w:t>
      </w:r>
      <w:r w:rsidR="00135D51" w:rsidRPr="00135D51">
        <w:rPr>
          <w:rFonts w:cs="Arial"/>
        </w:rPr>
        <w:t xml:space="preserve"> </w:t>
      </w:r>
    </w:p>
    <w:p w:rsidR="00135D51" w:rsidRPr="00F111CD" w:rsidRDefault="00F111CD" w:rsidP="00135D51">
      <w:pPr>
        <w:shd w:val="clear" w:color="auto" w:fill="75E5FB"/>
        <w:spacing w:before="240" w:after="100" w:afterAutospacing="1" w:line="276" w:lineRule="auto"/>
        <w:jc w:val="left"/>
        <w:rPr>
          <w:rFonts w:cs="Arial"/>
          <w:i/>
          <w:lang w:val="sr-Latn-RS"/>
        </w:rPr>
      </w:pPr>
      <w:r w:rsidRPr="00F111CD">
        <w:rPr>
          <w:rFonts w:cs="Arial"/>
          <w:i/>
          <w:lang w:val="sr-Latn-RS"/>
        </w:rPr>
        <w:t>Ustavni sud je doneo odluku kojom je utvrdio da odredbe člana 20. Zakona o načinu određivanja maksimalnog broja zaposlenih u javnom sektoru nisu u saglasn</w:t>
      </w:r>
      <w:r>
        <w:rPr>
          <w:rFonts w:cs="Arial"/>
          <w:i/>
          <w:lang w:val="sr-Latn-RS"/>
        </w:rPr>
        <w:t>osti sa Ustavom Republike Srbije</w:t>
      </w:r>
    </w:p>
    <w:p w:rsidR="00F111CD" w:rsidRPr="00F111CD" w:rsidRDefault="00F111CD" w:rsidP="00F111CD">
      <w:pPr>
        <w:spacing w:after="100" w:afterAutospacing="1" w:line="276" w:lineRule="auto"/>
        <w:rPr>
          <w:rFonts w:eastAsia="Times New Roman" w:cs="Arial"/>
        </w:rPr>
      </w:pPr>
      <w:r w:rsidRPr="00F111CD">
        <w:rPr>
          <w:rFonts w:eastAsia="Times New Roman" w:cs="Arial"/>
        </w:rPr>
        <w:t xml:space="preserve">Tokom 2015. godine, zbog velikog broja pritužbi građanki, sindikata, strukovnih udruženja i organizacija civilnog sektora podnetih zbog diskriminatorne odredbe člana 20. Zakona o načinu određivanja maksimalnog broja zaposlenih, poverenica za zaštitu ravnopravnosti zajedno sa zaštitnikom građana podnela je predlog za ocenu ustavnosti. Naime, odredbom člana 20. Zakona o načinu određivanja maksimalnog broja zaposlenih u javnom sektoru propisano je da „zaposlenom u javnom sektoru za vreme primene ovog zakona prestaje radni odnos kada navrši godine života i staž osiguranja koji su propisani zakonom za odlazak u starosnu penziju“. U predlogu za ocenu ustavnosti navedeno je da su odredbe člana 20. ovog zakona nesaglasne s odredbama Ustava Republike Srbije o zajemčenim ljudskim pravima, uslovima za ostvarivanje zajemčenih ljudskih prava i uslovima za ograničenje ovih prava, te da se ovim odredbama, suprotno zabrani diskriminacije i odredbama Ustava o uslovima za ograničavanje ljudskih i manjinskih prava, ženama određenog starosnog doba koje su zaposlene u „javnom sektoru“ ograničava pravo na rad i po osnovu rada, pravo iz oblasti socijalne zaštite, odnosno pravo na socijalno obezbeđenje i osiguranje zaposlenog i </w:t>
      </w:r>
      <w:r w:rsidRPr="00F111CD">
        <w:rPr>
          <w:rFonts w:eastAsia="Times New Roman" w:cs="Arial"/>
        </w:rPr>
        <w:lastRenderedPageBreak/>
        <w:t xml:space="preserve">njegove porodice. Nakon podnošenja predloga, Ustavni sud je u veoma kratkom roku doneo rešenje kojim je do donošenja svoje konačne odluke obustavio izvršenje pojedinačnih akata i radnji preduzetih na osnovu odredbe člana 20. Zakona o načinu određivanja maksimalnog broja zaposlenih. Kako je navedeno u obrazloženju rešenja, ovakva odluka je doneta zbog posledica koje bi mogle da nastupe primenom osporene odredbe. </w:t>
      </w:r>
    </w:p>
    <w:p w:rsidR="00135D51" w:rsidRDefault="00F111CD" w:rsidP="00F111CD">
      <w:pPr>
        <w:spacing w:after="100" w:afterAutospacing="1" w:line="276" w:lineRule="auto"/>
        <w:rPr>
          <w:rFonts w:eastAsia="Times New Roman" w:cs="Arial"/>
          <w:lang w:val="sr-Latn-RS"/>
        </w:rPr>
      </w:pPr>
      <w:r w:rsidRPr="00F111CD">
        <w:rPr>
          <w:rFonts w:eastAsia="Times New Roman" w:cs="Arial"/>
        </w:rPr>
        <w:t>Na sednici održanoj 30. juna 2016. godine, Ustavni sud je doneo odluku IUz 255/2015, kojom se utvrđuje da odredbe člana 20. Zakona o načinu određivanja maksimalnog broja zaposlenih u javnom sektoru nisu u saglasnosti sa Ustavom Republike Srbije. Ovu odluku Ustavni sud je obrazložio time da pretvaranje jednog zakonskog prava za žene, odnosno prava na odlazak u starosnu penziju pod povoljnijim uslovima u osnov za prestanak radnog odnosa predstavlja povredu Ustavom garantovanog načela zabrane neposredne i posredne diskriminacije na osnovu pola. Ustavni sud je, takođe, podsetio da je Ustavom zagarantovana ravnopravnost muškaraca i žena, kao i da država garantuje razvijanje politike jednakih mogućnosti. Na kraju, Ustavni sud je utvrdio da je osporeno zakonsko rešenje indirektno i u suprotnosti s odredbom Ustava kojom se garantuje dostupnost svih radnih mesta svima pod jednakim uslovima.</w:t>
      </w:r>
    </w:p>
    <w:p w:rsidR="00F111CD" w:rsidRPr="00F111CD" w:rsidRDefault="00F111CD" w:rsidP="00F111CD">
      <w:pPr>
        <w:spacing w:after="100" w:afterAutospacing="1" w:line="276" w:lineRule="auto"/>
        <w:rPr>
          <w:rFonts w:cs="Arial"/>
          <w:lang w:val="sr-Latn-RS"/>
        </w:rPr>
      </w:pPr>
    </w:p>
    <w:p w:rsidR="00135D51" w:rsidRPr="00135D51" w:rsidRDefault="00B54F4A" w:rsidP="00D93153">
      <w:pPr>
        <w:pStyle w:val="Heading2"/>
        <w:numPr>
          <w:ilvl w:val="1"/>
          <w:numId w:val="26"/>
        </w:numPr>
        <w:spacing w:after="100" w:afterAutospacing="1" w:line="276" w:lineRule="auto"/>
        <w:ind w:left="567" w:hanging="425"/>
        <w:jc w:val="left"/>
        <w:rPr>
          <w:rFonts w:ascii="Arial" w:hAnsi="Arial" w:cs="Arial"/>
          <w:sz w:val="22"/>
          <w:szCs w:val="22"/>
        </w:rPr>
      </w:pPr>
      <w:bookmarkStart w:id="131" w:name="_Toc445739185"/>
      <w:bookmarkStart w:id="132" w:name="_Toc477248656"/>
      <w:bookmarkStart w:id="133" w:name="_Toc477251781"/>
      <w:r>
        <w:rPr>
          <w:rFonts w:ascii="Arial" w:hAnsi="Arial" w:cs="Arial"/>
          <w:sz w:val="22"/>
          <w:szCs w:val="22"/>
          <w:lang w:val="sr-Latn-RS"/>
        </w:rPr>
        <w:t>Mišljenja na nacrte zakona i drugih opštih akata</w:t>
      </w:r>
      <w:bookmarkEnd w:id="131"/>
      <w:bookmarkEnd w:id="132"/>
      <w:bookmarkEnd w:id="133"/>
    </w:p>
    <w:p w:rsidR="00B54F4A" w:rsidRPr="00B54F4A" w:rsidRDefault="00B54F4A" w:rsidP="00135D51">
      <w:pPr>
        <w:spacing w:after="100" w:afterAutospacing="1" w:line="276" w:lineRule="auto"/>
        <w:rPr>
          <w:rFonts w:eastAsia="Times New Roman" w:cs="Arial"/>
          <w:strike/>
          <w:lang w:val="sr-Latn-RS"/>
        </w:rPr>
      </w:pPr>
      <w:r w:rsidRPr="00B54F4A">
        <w:rPr>
          <w:rFonts w:eastAsia="Times New Roman" w:cs="Arial"/>
        </w:rPr>
        <w:t>Imajući u vidu značaj koji doneti propisi imaju na prevenciju diskriminacije i unapređenje ravnopravnosti, Poverenik je tokom 2016. godine, značajno intenzivirao svoj rad u segmentu davanja mišljenja na nacrte propisa (40 datih mišljenja). Pored toga, Poverenik je učestvovao u javnim raspravama o pojedinim nacrtima zakona, bilo samoinicijativno, bilo na zahtev predlagača.</w:t>
      </w:r>
    </w:p>
    <w:tbl>
      <w:tblPr>
        <w:tblW w:w="0" w:type="auto"/>
        <w:tblInd w:w="108" w:type="dxa"/>
        <w:shd w:val="clear" w:color="auto" w:fill="44DCFA"/>
        <w:tblLook w:val="04A0" w:firstRow="1" w:lastRow="0" w:firstColumn="1" w:lastColumn="0" w:noHBand="0" w:noVBand="1"/>
      </w:tblPr>
      <w:tblGrid>
        <w:gridCol w:w="9072"/>
      </w:tblGrid>
      <w:tr w:rsidR="00135D51" w:rsidRPr="00135D51" w:rsidTr="00135D51">
        <w:trPr>
          <w:trHeight w:val="617"/>
        </w:trPr>
        <w:tc>
          <w:tcPr>
            <w:tcW w:w="9072" w:type="dxa"/>
            <w:shd w:val="clear" w:color="auto" w:fill="75E5FB"/>
            <w:vAlign w:val="center"/>
          </w:tcPr>
          <w:p w:rsidR="00135D51" w:rsidRPr="00135D51" w:rsidRDefault="00B54F4A" w:rsidP="00B54F4A">
            <w:pPr>
              <w:pStyle w:val="NormalWeb"/>
              <w:spacing w:before="0" w:beforeAutospacing="0" w:line="276" w:lineRule="auto"/>
              <w:jc w:val="left"/>
              <w:rPr>
                <w:rFonts w:ascii="Arial" w:hAnsi="Arial" w:cs="Arial"/>
                <w:b/>
                <w:i/>
                <w:sz w:val="22"/>
                <w:szCs w:val="22"/>
              </w:rPr>
            </w:pPr>
            <w:r>
              <w:rPr>
                <w:rStyle w:val="Strong"/>
                <w:rFonts w:ascii="Arial" w:hAnsi="Arial" w:cs="Arial"/>
                <w:b w:val="0"/>
                <w:i/>
                <w:sz w:val="22"/>
                <w:szCs w:val="22"/>
                <w:lang w:val="sr-Latn-RS"/>
              </w:rPr>
              <w:t>Mišljenje na Nacrt zakona o sistemu plata zaposlenih u javnom sektoru</w:t>
            </w:r>
          </w:p>
        </w:tc>
      </w:tr>
    </w:tbl>
    <w:p w:rsidR="00B54F4A" w:rsidRPr="00B54F4A" w:rsidRDefault="00B54F4A" w:rsidP="00B54F4A">
      <w:pPr>
        <w:spacing w:after="100" w:afterAutospacing="1" w:line="276" w:lineRule="auto"/>
        <w:rPr>
          <w:rFonts w:cs="Arial"/>
        </w:rPr>
      </w:pPr>
      <w:r w:rsidRPr="00B54F4A">
        <w:rPr>
          <w:rFonts w:cs="Arial"/>
        </w:rPr>
        <w:t xml:space="preserve">Postupajući po zahtevima Ministarstva državne uprave i lokalne samouprave od 23. decembra 2015. godine i 20. januara i 1. februara 2016. godine, data su tri mišljenja na Nacrt zakona o sistemu plata zaposlenih u javnom sektoru. Prvim Nacrtom zakona je bilo propisano da Vlada podzakonskim aktima utvrđuje koeficijente platnih grupa, Katalog radnih mesta, odnosno zvanja u javnom sektoru i metodologiju o primeni kriterijuma i merila za razvrstavanje radnih mesta u javnom sektoru. Data je primedba da se ova pitanja i odredbe Nacrta zakona, umesto aktom Vlade, urede zakonom. U vezi s odredbom Nacrta zakona kojom je propisano da se na koeficijent platnog razreda, platnih grupa, kao i rad u radnom odnosu kod poslodavca (minuli rad) vrednuje kroz koeficijent zaposlenog kao doprinos zaposlenog kvalitetu i uspešnosti obavljanja poslova radnog mesta, tako da za 40 godina rada u radnom odnosu na određenom radnom mestu mora da dovede do povećanja koeficijenta platnog razreda u koje je radno mesto zaposlenog razvrstano od najmanje 16%, ukazano je da nije jasna definicija minulog rada, odnosno kako se predloženi obračun minulog rada odražava na platu zaposlenih, kao ni odnos ove odredbe u odnosu na odredbu člana 108. Zakona o radu. Takođe je istaknuto da nije jasno vezivanje minulog rada za određeno radno mesto, čime se zaposleni u javnom sektoru stavljaju u nepovoljniji položaj u odnosu na druge zaposlene. </w:t>
      </w:r>
    </w:p>
    <w:p w:rsidR="00B54F4A" w:rsidRDefault="00B54F4A" w:rsidP="00B54F4A">
      <w:pPr>
        <w:spacing w:after="100" w:afterAutospacing="1" w:line="276" w:lineRule="auto"/>
        <w:rPr>
          <w:rFonts w:cs="Arial"/>
          <w:lang w:val="sr-Latn-RS"/>
        </w:rPr>
      </w:pPr>
      <w:r w:rsidRPr="00B54F4A">
        <w:rPr>
          <w:rFonts w:cs="Arial"/>
        </w:rPr>
        <w:lastRenderedPageBreak/>
        <w:t>Povodom odredaba Nacrta zakona kojima se uređuje razvrstavanje radnih mesta, odnosno zvanja u platne grupe i platne razrede i kriterijumi za vrednovanje poslova, čije se razvrstavanje u platne grupe i platne razrede vrši u skladu s metodologijom koja se utvrđuje aktom Vlade, uz prethodno pribavljeno mišljenje Socijalno-ekonomskog saveta Republike Srbije, upućena je primedba da je neophodno dopuniti odredbe ovog člana tako da se državni službenici u nezavisnim državnim organima razvrstavaju aktima tih organa. Drugim tekstom Nacrta zakona o sistemu plata zaposlenih u javnom sektoru prihvaćene su pojedine primedbe koje je dao Poverenik za zaštitu ravnopravnosti. Međutim, analiza novog teksta Nacrta zakona pokazala je da su neka pitanja od sistemskog značaja na drugačiji način uređena, ali da nisu uzete u obzir određene specifičnosti nezavisnih organa, i u tom smislu date su primedbe na konkretna predložena rešenja. U trećem tekstu Nacrta zakona propisano je da napredovanje na istom radnom mestu predstavlja postignute rezultate rada i ostvareni radni učinak iznad standardnog ili očekivanog za navedeno radno mesto, u skladu s kriterijumima za njihovo vrednovanje koji se zasnivaju na objektivnim i merljivim merilima utvrđenim u skladu s posebnim zakonom, a kriterijumi i merila moraju biti postavljeni tako da se može osnovano očekivati da najmanje 50% zaposlenih kod poslodavca zadovoljava standardne ili očekivane rezultate rada i radni učinak i da se osnovano može očekivati da najviše 15% zaposlenih može postići rezultate i učinak iznad proseka, od kojih najviše 5% značajno iznad proseka. Takođe je propisano da se deo sredstava od ukupno utvrđenog iznosa sredstava za plate namenjen za napredovanje zaposlenih na istom radnom mestu, određuje  Zakonom o budžetu. Poverenik je ukazao da navedene odredbe ne spadaju u materiju koju treba da uređuje ovaj zakon. Na ovaj način derogiraju se odredbe Zakona o državnim službenicima</w:t>
      </w:r>
      <w:r w:rsidR="004464F9">
        <w:rPr>
          <w:rStyle w:val="FootnoteReference"/>
          <w:rFonts w:cs="Arial"/>
        </w:rPr>
        <w:footnoteReference w:id="257"/>
      </w:r>
      <w:r w:rsidRPr="00B54F4A">
        <w:rPr>
          <w:rFonts w:cs="Arial"/>
        </w:rPr>
        <w:t xml:space="preserve">  koje se odnose na napredovanje državnih službenika i nameštenika. Uvode se novi kriterijumi i merila za napredovanje, umesto onih propisanih Zakonom o državnim službenicima. Takođe, otvara se prostor da mnogi koji ispune uslove da napreduju u odnosu na kvalitet svog rada, to pravo neće moći da ostvare zbog prekoračenja zakonom planiranog „broja uspešnih“, čime se stavljaju u nepovoljniji položaj u odnosu na ovu grupu lica.</w:t>
      </w:r>
    </w:p>
    <w:tbl>
      <w:tblPr>
        <w:tblW w:w="0" w:type="auto"/>
        <w:tblInd w:w="108" w:type="dxa"/>
        <w:shd w:val="clear" w:color="auto" w:fill="44DCFA"/>
        <w:tblLook w:val="04A0" w:firstRow="1" w:lastRow="0" w:firstColumn="1" w:lastColumn="0" w:noHBand="0" w:noVBand="1"/>
      </w:tblPr>
      <w:tblGrid>
        <w:gridCol w:w="9072"/>
      </w:tblGrid>
      <w:tr w:rsidR="00135D51" w:rsidRPr="00135D51" w:rsidTr="00135D51">
        <w:trPr>
          <w:trHeight w:val="752"/>
        </w:trPr>
        <w:tc>
          <w:tcPr>
            <w:tcW w:w="9072" w:type="dxa"/>
            <w:shd w:val="clear" w:color="auto" w:fill="75E5FB"/>
            <w:vAlign w:val="center"/>
          </w:tcPr>
          <w:p w:rsidR="00135D51" w:rsidRPr="00135D51" w:rsidRDefault="001A3E5D" w:rsidP="00135D51">
            <w:pPr>
              <w:spacing w:before="0" w:after="0" w:line="276" w:lineRule="auto"/>
              <w:jc w:val="left"/>
              <w:rPr>
                <w:rFonts w:cs="Arial"/>
                <w:b/>
                <w:i/>
                <w:color w:val="000000"/>
              </w:rPr>
            </w:pPr>
            <w:r w:rsidRPr="001A3E5D">
              <w:rPr>
                <w:rStyle w:val="Strong"/>
                <w:rFonts w:cs="Arial"/>
                <w:b w:val="0"/>
                <w:i/>
              </w:rPr>
              <w:t>Mišljenje na Nacrt zakona o izmenama i dopunama Zakona o načinu određivanja maksimalnog broja zaposlenih u javnom sektoru</w:t>
            </w:r>
          </w:p>
        </w:tc>
      </w:tr>
    </w:tbl>
    <w:p w:rsidR="001A3E5D" w:rsidRPr="001A3E5D" w:rsidRDefault="001A3E5D" w:rsidP="00135D51">
      <w:pPr>
        <w:spacing w:before="240" w:after="100" w:afterAutospacing="1" w:line="276" w:lineRule="auto"/>
        <w:rPr>
          <w:rFonts w:cs="Arial"/>
          <w:lang w:val="sr-Latn-RS"/>
        </w:rPr>
      </w:pPr>
      <w:r w:rsidRPr="001A3E5D">
        <w:rPr>
          <w:rFonts w:eastAsia="ヒラギノ角ゴ Pro W3" w:cs="Arial"/>
          <w:color w:val="000000"/>
          <w:lang w:eastAsia="sr-Cyrl-CS"/>
        </w:rPr>
        <w:t xml:space="preserve">Na zahtev Ministarstva državne uprave i lokalne samouprave od 29. januara 2016. godine, dato je mišljenje na Nacrt zakona o izmenama i dopunama Zakona o načinu određivanja maksimalnog broja zaposlenih u javnom sektoru. U mišljenju je ukazano da akt o unutrašnjem uređenju i sistematizaciji radnih mesta nije akt kojim se interveniše u oblasti smanjenja broja zaposlenih, jer u suprotnom ne bi bilo potrebe za donošenjem odluke o određivanju maksimalnog broja zaposlenih. Aktom o unutrašnjem uređenju i sistematizaciji, organ utvrđuje način organizovanja rada, vrstu poslova, kao i potreban broj zaposlenih u organizacionim oblicima koji su neophodni za efikasan rad. Ovaj akt je promenljiv, jer promena procesa rada i vrste poslova to povremeno iziskuju, ali ne obavezno svake kalendarske godine, čime bi ga, prema članu 13. Nacrta zakona o izmenama i dopunama Zakona o načinu određivanja maksimalnog broja zaposlenih u javnom sektoru, uslovila odluka o određivanju maksimalnog broja zaposlenih (do 30. juna svake kalendarske godine). Predloženo je da se odredba člana 13. stav 1. ovog zakona briše, jer ne doprinosi ostvarenju </w:t>
      </w:r>
      <w:r w:rsidRPr="001A3E5D">
        <w:rPr>
          <w:rFonts w:eastAsia="ヒラギノ角ゴ Pro W3" w:cs="Arial"/>
          <w:color w:val="000000"/>
          <w:lang w:eastAsia="sr-Cyrl-CS"/>
        </w:rPr>
        <w:lastRenderedPageBreak/>
        <w:t>cilja Zakona – smanjenje i ograničavanje broja zaposlenih u javnom sektoru. Dalje u mišljenju je navedeno da se zaštita od nezakonitog povećanja broja zaposlenih već postiže samim donošenjem odluke o određivanju maksimalnog broja zaposlenih, te da je suvišno upodobljavanje akta o unutrašnjem uređenju i sistematizaciji radnih mesta s navedenom odlukom. Primera radi, u radu Poverenika za zaštitu ravnopravnosti, kome saglasnost na Pravilnik o unutrašnjem uređenju i sistematizaciji radnih mesta u stručnoj službi daje Narodna skupština u plenumu, mogli bi nastati problemi primenom ovog rešenja, jer se vremenski period dobijanja saglasnosti na ovaj akt ne može fiksirati za 30. jun kalendarske godine.</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597"/>
        </w:trPr>
        <w:tc>
          <w:tcPr>
            <w:tcW w:w="9072" w:type="dxa"/>
            <w:shd w:val="clear" w:color="auto" w:fill="75E5FB"/>
            <w:vAlign w:val="center"/>
          </w:tcPr>
          <w:p w:rsidR="00135D51" w:rsidRPr="00135D51" w:rsidRDefault="001A3E5D" w:rsidP="00135D51">
            <w:pPr>
              <w:pStyle w:val="NormalWeb"/>
              <w:spacing w:after="0" w:afterAutospacing="0" w:line="276" w:lineRule="auto"/>
              <w:jc w:val="left"/>
              <w:rPr>
                <w:rFonts w:ascii="Arial" w:hAnsi="Arial" w:cs="Arial"/>
                <w:b/>
                <w:i/>
                <w:sz w:val="22"/>
                <w:szCs w:val="22"/>
              </w:rPr>
            </w:pPr>
            <w:r w:rsidRPr="001A3E5D">
              <w:rPr>
                <w:rStyle w:val="Strong"/>
                <w:rFonts w:ascii="Arial" w:hAnsi="Arial" w:cs="Arial"/>
                <w:b w:val="0"/>
                <w:i/>
                <w:sz w:val="22"/>
                <w:szCs w:val="22"/>
              </w:rPr>
              <w:t>Mišljenje na Nacrt zakona o izmenama i dopunama Zakona o osnovama sistema obrazovanja i vaspitanja</w:t>
            </w:r>
          </w:p>
        </w:tc>
      </w:tr>
    </w:tbl>
    <w:p w:rsidR="001A3E5D" w:rsidRPr="001A3E5D" w:rsidRDefault="001A3E5D" w:rsidP="00135D51">
      <w:pPr>
        <w:spacing w:before="240" w:after="100" w:afterAutospacing="1" w:line="276" w:lineRule="auto"/>
        <w:rPr>
          <w:rFonts w:cs="Arial"/>
          <w:iCs/>
          <w:lang w:val="sr-Latn-RS"/>
        </w:rPr>
      </w:pPr>
      <w:r w:rsidRPr="001A3E5D">
        <w:rPr>
          <w:rFonts w:eastAsia="ヒラギノ角ゴ Pro W3" w:cs="Arial"/>
          <w:color w:val="000000"/>
          <w:lang w:eastAsia="sr-Cyrl-CS"/>
        </w:rPr>
        <w:t>Na zahtev Ministarstva  prosvete, nauke i tehnološkog razvoja od 1. februara 2016. godine, dato je mišljenje na Nacrt zakona o izmenama i dopunama Zakona o osnovama sistema obrazovanja i vaspitanja. U mišljenju je navedeno da je, pored predloženih izmena i dopuna Nacrta zakona, potrebno uvažiti i primedbu Poverenika za zaštitu ravnopravnosti datu u mišljenju od 10. jula 2015. godine, prema kojoj je neophodno propisati obavezu finansiranja, odnosno sufinansiranja udžbenika i nastavnih materijala u prilagođenim formatima (Brajevo pismo, uvećani font, audio-zapis), kako bi se svoj deci obezbedilo pravo na kvalitetno obrazovanje i sprečila svaka eventualna diskriminacija i nejednako postupanje.</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578"/>
        </w:trPr>
        <w:tc>
          <w:tcPr>
            <w:tcW w:w="9072" w:type="dxa"/>
            <w:shd w:val="clear" w:color="auto" w:fill="75E5FB"/>
            <w:vAlign w:val="center"/>
          </w:tcPr>
          <w:p w:rsidR="00135D51" w:rsidRPr="00135D51" w:rsidRDefault="001A3E5D" w:rsidP="00135D51">
            <w:pPr>
              <w:pStyle w:val="NormalWeb"/>
              <w:spacing w:after="0" w:afterAutospacing="0" w:line="276" w:lineRule="auto"/>
              <w:jc w:val="left"/>
              <w:rPr>
                <w:rFonts w:ascii="Arial" w:hAnsi="Arial" w:cs="Arial"/>
                <w:i/>
                <w:sz w:val="22"/>
                <w:szCs w:val="22"/>
              </w:rPr>
            </w:pPr>
            <w:r w:rsidRPr="001A3E5D">
              <w:rPr>
                <w:rStyle w:val="Strong"/>
                <w:rFonts w:ascii="Arial" w:hAnsi="Arial" w:cs="Arial"/>
                <w:b w:val="0"/>
                <w:i/>
                <w:sz w:val="22"/>
                <w:szCs w:val="22"/>
              </w:rPr>
              <w:t>Mišljenje na Nacrt zakona o finansijskoj podršci porodici sa decom</w:t>
            </w:r>
          </w:p>
        </w:tc>
      </w:tr>
    </w:tbl>
    <w:p w:rsidR="001A3E5D" w:rsidRPr="001A3E5D" w:rsidRDefault="001A3E5D" w:rsidP="001A3E5D">
      <w:pPr>
        <w:spacing w:after="100" w:afterAutospacing="1" w:line="276" w:lineRule="auto"/>
        <w:rPr>
          <w:rFonts w:cs="Arial"/>
          <w:color w:val="000000"/>
          <w:lang w:eastAsia="sr-Cyrl-CS"/>
        </w:rPr>
      </w:pPr>
      <w:r w:rsidRPr="001A3E5D">
        <w:rPr>
          <w:rFonts w:cs="Arial"/>
          <w:color w:val="000000"/>
          <w:lang w:eastAsia="sr-Cyrl-CS"/>
        </w:rPr>
        <w:t>Poverenik za zaštitu ravnopravnosti je na zahtev Ministarstva za rad, zapošljavanje, boračka i socijalna pitanja od 10. februara 2016. godine, dao mišljenje na Nacrt zakona o finansijskoj podršci porodici sa decom. Nacrtom zakona propisano je da porodicu u smislu ovog zakona čine: roditelji, odnosno staratelji, hranitelji, usvojitelji i deca, kao i drugi srodnici, pod uslovom da žive u zajedničkom domaćinstvu.</w:t>
      </w:r>
    </w:p>
    <w:p w:rsidR="001A3E5D" w:rsidRPr="001A3E5D" w:rsidRDefault="001A3E5D" w:rsidP="001A3E5D">
      <w:pPr>
        <w:spacing w:after="100" w:afterAutospacing="1" w:line="276" w:lineRule="auto"/>
        <w:rPr>
          <w:rFonts w:cs="Arial"/>
          <w:color w:val="000000"/>
          <w:lang w:eastAsia="sr-Cyrl-CS"/>
        </w:rPr>
      </w:pPr>
      <w:r w:rsidRPr="001A3E5D">
        <w:rPr>
          <w:rFonts w:cs="Arial"/>
          <w:color w:val="000000"/>
          <w:lang w:eastAsia="sr-Cyrl-CS"/>
        </w:rPr>
        <w:t>Poverenik je ukazao na to da je navedenom odredbom definicija porodice suviše široko postavljena i razlikuje se od definicije porodice iz člana 81. Zakona o socijalnoj zaštiti. Širim postavljanjem definicije porodice širi se i krug lica čiji se prihodi uzimaju u obzir prilikom ostvarivanja pojedinih prava. Poverenik je u mišljenju ukazao i na neusklađenost pojedinih odredaba Nacrta zakona koje uređuju pitanje utvrđivanje činjenice s kojim roditeljem dete živi, kao osnova za ostvarivanje prava na dečiji dodatak. Predloženo je da se odredba Nacrta zakona dopuni tako što će se propisati da se činjenica s kojim roditeljem dete živi, u odsustvu odluke nadležnog organa, može utvrđivati i prema nalazu nadležnog centra za socijalni rad. Ova izmena je potrebna kako bi se zaštitili interesi deteta u postupku ostvarivanja prava propisanih ovim zakonom dok traje sudski postupak.</w:t>
      </w:r>
    </w:p>
    <w:p w:rsidR="001A3E5D" w:rsidRPr="001A3E5D" w:rsidRDefault="001A3E5D" w:rsidP="001A3E5D">
      <w:pPr>
        <w:spacing w:after="100" w:afterAutospacing="1" w:line="276" w:lineRule="auto"/>
        <w:rPr>
          <w:rFonts w:cs="Arial"/>
          <w:color w:val="000000"/>
          <w:lang w:eastAsia="sr-Cyrl-CS"/>
        </w:rPr>
      </w:pPr>
      <w:r w:rsidRPr="001A3E5D">
        <w:rPr>
          <w:rFonts w:cs="Arial"/>
          <w:color w:val="000000"/>
          <w:lang w:eastAsia="sr-Cyrl-CS"/>
        </w:rPr>
        <w:t xml:space="preserve">U mišljenju na Nacrt zakona Poverenik je pozitivno ocenio uvođenje naknade zarade/prihoda za lica koja se bave poljoprivrednom delatnošću i lica koja obavljaju ili su obavljala povremene i privremene poslove. Međutim, ukazano je da su Nacrtom zakona navedena lica, kao i lica koja samostalno obavljaju delatnost, stavljena u nepovoljniji položaj u odnosu na lica koja su zaposlena kod poslodavca. Naime, naknada zarade za vreme porodiljskog odsustva, odsustva sa rada radi nege deteta i odsustva sa rada radi posebne nege deteta isplaćuje se zaposlenom kod poslodavca, dok lica koja samostalno obavljaju delatnost, lica </w:t>
      </w:r>
      <w:r w:rsidRPr="001A3E5D">
        <w:rPr>
          <w:rFonts w:cs="Arial"/>
          <w:color w:val="000000"/>
          <w:lang w:eastAsia="sr-Cyrl-CS"/>
        </w:rPr>
        <w:lastRenderedPageBreak/>
        <w:t>koja su nosioci porodičnog poljoprivrednog gazdinstva i lica koja po osnovu ugovora obavljaju ili su obavljala privremene i povremene poslove imaju tzv. naknadu ostalih prihoda po osnovu rođenja i nege deteta i posebne nege deteta. Obe naknade utvrđene su u visini prosečne mesečne osnovice na koju su plaćeni doprinosi za obavezno socijalno osiguranje, za poslednjih 18 meseci koji prethode prvom mesecu otpočinjanja odsustva. Međutim, maksimalni iznos naknade zarade za zaposlene je pet prosečnih mesečnih zarada u Republici Srbiji, dok je maksimalni iznos naknade ostalih prihoda tri prosečne mesečne zarada u Republici Srbiji, čime se ova lica dovode u nejednak položaj kod ostvarivanja istih prava. Takođe, Poverenik je ukazao na odredbu člana 94a Zakona o radu, kojom je propisano da zaposlena žena koja rodi treće dete i svako naredno novorođeno dete ima pravo na naknadu zarade u trajanju od dve godine. Imajući u vidu navedeno, ukazao je da je neophodno propisati iste uslove i trajanje prava kako za zaposlene kod poslodavca, tako i za lica koja samostalno obavljaju delatnost, lica koja su nosioci poljoprivrednog gazdinstva i lica koja obavljaju ili su obavljala privremene i povremene poslove, kako se ove kategorije lica ne bi dovodile u nejednak položaj prilikom ostvarivanja prava na naknadu zarade, odnosno naknadu prihoda za vreme porodiljskog odsustva, odsustva sa rada radi nege deteta i odsustva sa rada radi posebne nege deteta.</w:t>
      </w:r>
    </w:p>
    <w:p w:rsidR="001A3E5D" w:rsidRPr="001A3E5D" w:rsidRDefault="001A3E5D" w:rsidP="001A3E5D">
      <w:pPr>
        <w:spacing w:after="100" w:afterAutospacing="1" w:line="276" w:lineRule="auto"/>
        <w:rPr>
          <w:rFonts w:cs="Arial"/>
          <w:color w:val="000000"/>
          <w:lang w:eastAsia="sr-Cyrl-CS"/>
        </w:rPr>
      </w:pPr>
      <w:r w:rsidRPr="001A3E5D">
        <w:rPr>
          <w:rFonts w:cs="Arial"/>
          <w:color w:val="000000"/>
          <w:lang w:eastAsia="sr-Cyrl-CS"/>
        </w:rPr>
        <w:t xml:space="preserve">U tom smislu Poverenik je predložio izmene odredaba Nacrta zakona koje se odnose na naknadu ostalih prihoda, tako da zaposlene žene, preduzetnice, poljoprivrednice i žene koje obavljaju privremene i povremene poslove budu u jednakom pravnom položaju prilikom ostvarivanja prava na naknadu zarade, odnosno naknadu prihoda u slučajevima propisanim Nacrtom zakona, odnosno da nije potrebno izdvajanje ovih lica i utvrđivanje posebnog prava na „naknadu ostalih prihoda po osnovu rođenja i nege deteta i posebne nege deteta“, već da mogu biti obuhvaćena u okviru jednog prava na finansijsku podršku porodici sa decom, kao što propisuje i sada važeći Zakon o finansijskoj podršci porodici sa decom, uz proširenje kruga lica i na lica koja su nosioci porodičnog poljoprivrednog gazdinstva i lica koja obavljaju ili su obavljala privremene i povremene poslove. </w:t>
      </w:r>
    </w:p>
    <w:p w:rsidR="001A3E5D" w:rsidRPr="001A3E5D" w:rsidRDefault="001A3E5D" w:rsidP="001A3E5D">
      <w:pPr>
        <w:spacing w:after="100" w:afterAutospacing="1" w:line="276" w:lineRule="auto"/>
        <w:rPr>
          <w:rFonts w:cs="Arial"/>
          <w:color w:val="000000"/>
          <w:lang w:eastAsia="sr-Cyrl-CS"/>
        </w:rPr>
      </w:pPr>
      <w:r w:rsidRPr="001A3E5D">
        <w:rPr>
          <w:rFonts w:cs="Arial"/>
          <w:color w:val="000000"/>
          <w:lang w:eastAsia="sr-Cyrl-CS"/>
        </w:rPr>
        <w:t xml:space="preserve"> U mišljenju je takođe istaknuto da je potrebno da se još jednom razmotre odredbe Nacrta zakona u pogledu ograničenja koja se odnose na broj dece u porodici koja ostvaruju pravo na dečji dodatak iz razloga što je dečiji dodatak mera materijalne podrške ugroženoj deci i ne sme biti diktiran redosledom rođenja i brojem dece u porodici.</w:t>
      </w:r>
    </w:p>
    <w:p w:rsidR="001A3E5D" w:rsidRPr="001A3E5D" w:rsidRDefault="001A3E5D" w:rsidP="001A3E5D">
      <w:pPr>
        <w:spacing w:after="100" w:afterAutospacing="1" w:line="276" w:lineRule="auto"/>
        <w:rPr>
          <w:rFonts w:cs="Arial"/>
          <w:lang w:val="sr-Latn-RS"/>
        </w:rPr>
      </w:pPr>
      <w:r w:rsidRPr="001A3E5D">
        <w:rPr>
          <w:rFonts w:cs="Arial"/>
          <w:color w:val="000000"/>
          <w:lang w:eastAsia="sr-Cyrl-CS"/>
        </w:rPr>
        <w:t>Pored toga, odredbom člana 21. stav 8. Nacrta zakona propisano je da pravo na roditeljski dodatak, pod uslovima propisanim tim članom, može ostvariti i otac deteta ukoliko je majka deteta strana državljanka, nije živa, napustila je dete, lišena je roditeljskog prava ili je iz objektivnih razloga sprečena da neposredno brine o detetu. Poverenik je ukazao da je ovu odredbu potrebno još jednom razmotriti sa aspekta proširenja slučajeva kada ovo pravo može ostvariti otac deteta (npr. u slučaju kad je majka lice bez državljanstva).</w:t>
      </w:r>
    </w:p>
    <w:tbl>
      <w:tblPr>
        <w:tblW w:w="0" w:type="auto"/>
        <w:tblInd w:w="108" w:type="dxa"/>
        <w:shd w:val="clear" w:color="auto" w:fill="44DCFA"/>
        <w:tblLook w:val="04A0" w:firstRow="1" w:lastRow="0" w:firstColumn="1" w:lastColumn="0" w:noHBand="0" w:noVBand="1"/>
      </w:tblPr>
      <w:tblGrid>
        <w:gridCol w:w="9072"/>
      </w:tblGrid>
      <w:tr w:rsidR="00135D51" w:rsidRPr="00135D51" w:rsidTr="00135D51">
        <w:trPr>
          <w:trHeight w:val="521"/>
        </w:trPr>
        <w:tc>
          <w:tcPr>
            <w:tcW w:w="9072" w:type="dxa"/>
            <w:shd w:val="clear" w:color="auto" w:fill="75E5FB"/>
            <w:vAlign w:val="center"/>
          </w:tcPr>
          <w:p w:rsidR="00135D51" w:rsidRPr="00135D51" w:rsidRDefault="001A3E5D" w:rsidP="00135D51">
            <w:pPr>
              <w:pStyle w:val="NormalWeb"/>
              <w:spacing w:after="0" w:afterAutospacing="0" w:line="276" w:lineRule="auto"/>
              <w:jc w:val="left"/>
              <w:rPr>
                <w:rFonts w:ascii="Arial" w:hAnsi="Arial" w:cs="Arial"/>
                <w:i/>
                <w:sz w:val="22"/>
                <w:szCs w:val="22"/>
              </w:rPr>
            </w:pPr>
            <w:r w:rsidRPr="001A3E5D">
              <w:rPr>
                <w:rStyle w:val="Strong"/>
                <w:rFonts w:ascii="Arial" w:hAnsi="Arial" w:cs="Arial"/>
                <w:b w:val="0"/>
                <w:i/>
                <w:sz w:val="22"/>
                <w:szCs w:val="22"/>
              </w:rPr>
              <w:t>Mišljenje na Nacrt zakona o izmenama i dopunama Carinskog zakona</w:t>
            </w:r>
          </w:p>
        </w:tc>
      </w:tr>
    </w:tbl>
    <w:p w:rsidR="001A3E5D" w:rsidRPr="001A3E5D" w:rsidRDefault="001A3E5D" w:rsidP="001A3E5D">
      <w:pPr>
        <w:spacing w:after="100" w:afterAutospacing="1" w:line="276" w:lineRule="auto"/>
        <w:rPr>
          <w:rFonts w:eastAsia="ヒラギノ角ゴ Pro W3" w:cs="Arial"/>
          <w:color w:val="000000"/>
          <w:lang w:eastAsia="sr-Cyrl-CS"/>
        </w:rPr>
      </w:pPr>
      <w:r w:rsidRPr="001A3E5D">
        <w:rPr>
          <w:rFonts w:eastAsia="ヒラギノ角ゴ Pro W3" w:cs="Arial"/>
          <w:color w:val="000000"/>
          <w:lang w:eastAsia="sr-Cyrl-CS"/>
        </w:rPr>
        <w:t xml:space="preserve">Na zahtev Ministarstva finansija od 5. septembra 2016. godine dato je mišljenje na Nacrt zakona o izmenama i dopunama Carinskog zakona. Nacrtom zakona propisano je da su oslobođeni od plaćanja uvoznih dažbina: „Osobe sa invaliditetom, odnosno organizacije osoba sa invaliditetom – na predmete posebno namenjene za obrazovanje, zapošljavanje ili </w:t>
      </w:r>
      <w:r w:rsidRPr="001A3E5D">
        <w:rPr>
          <w:rFonts w:eastAsia="ヒラギノ角ゴ Pro W3" w:cs="Arial"/>
          <w:color w:val="000000"/>
          <w:lang w:eastAsia="sr-Cyrl-CS"/>
        </w:rPr>
        <w:lastRenderedPageBreak/>
        <w:t>društveni napredak osoba sa invaliditetom, kao i na rezervne delove, komponente ili dodatke koji su posebno napravljeni za te proizvode, koji se ne proizvode u Republici Srbiji.“</w:t>
      </w:r>
    </w:p>
    <w:p w:rsidR="001A3E5D" w:rsidRPr="001A3E5D" w:rsidRDefault="001A3E5D" w:rsidP="001A3E5D">
      <w:pPr>
        <w:spacing w:after="100" w:afterAutospacing="1" w:line="276" w:lineRule="auto"/>
        <w:rPr>
          <w:rFonts w:eastAsia="ヒラギノ角ゴ Pro W3" w:cs="Arial"/>
          <w:color w:val="000000"/>
          <w:lang w:eastAsia="sr-Cyrl-CS"/>
        </w:rPr>
      </w:pPr>
      <w:r w:rsidRPr="001A3E5D">
        <w:rPr>
          <w:rFonts w:eastAsia="ヒラギノ角ゴ Pro W3" w:cs="Arial"/>
          <w:color w:val="000000"/>
          <w:lang w:eastAsia="sr-Cyrl-CS"/>
        </w:rPr>
        <w:t xml:space="preserve">Poverenik je istakao da namera da se na jedan uopšten način formuliše oslobađanje od plaćanja dažbina, kako je to navedeno u obrazloženju Nacrta zakona, dovodi do toga da je ova odredba neprecizna i da bi mogla izazvati probleme u primeni. Data je primedba da nije moguće zaključiti da li će osobe sa invaliditetom zadržati već postojeća prava koja imaju na osnovu važećeg zakona ili im se na ovaj način umanjuju ili proširuju prava, tj. propisane povlastice. Takođe, ukazano je da je potrebno preciznije definisati šta se smatra „društvenim napretkom osoba sa invaliditetom“, kako u praksi ne bi došlo do različite primene prava, odnosno restriktivnijeg tumačenja ovog pojma na štetu osoba sa invaliditetom. Nepravilno i različito tumačenje sporne odredbe moglo bi dovesti i do nejednakog položaja osoba sa invaliditetom u postupku pred organima javne vlasti. </w:t>
      </w:r>
    </w:p>
    <w:p w:rsidR="001A3E5D" w:rsidRPr="001A3E5D" w:rsidRDefault="001A3E5D" w:rsidP="001A3E5D">
      <w:pPr>
        <w:spacing w:after="100" w:afterAutospacing="1" w:line="276" w:lineRule="auto"/>
        <w:rPr>
          <w:rFonts w:eastAsia="ヒラギノ角ゴ Pro W3" w:cs="Arial"/>
          <w:color w:val="000000"/>
          <w:lang w:val="sr-Latn-RS" w:eastAsia="sr-Cyrl-CS"/>
        </w:rPr>
      </w:pPr>
      <w:r w:rsidRPr="001A3E5D">
        <w:rPr>
          <w:rFonts w:eastAsia="ヒラギノ角ゴ Pro W3" w:cs="Arial"/>
          <w:color w:val="000000"/>
          <w:lang w:eastAsia="sr-Cyrl-CS"/>
        </w:rPr>
        <w:t>Nacrtom zakona predloženo je i brisanje odredbe kojom je regulisano oslobođenje od plaćanja uvoznih dažbina na specijalno konstruisane putničke automobile i druga motorna vozila, koja je obrazložena time da su novim zakonskim rešenjem putnički automobili i druga motorna vozila isključeni iz oslobođenja, zbog pune liberalizacije trgovine u skladu s postojećom mrežom sporazuma koje je Republika Srbija potpisala s određenim brojem zemalja. Ukazano je da izostavljanje u potpunosti iz Nacrta zakona oslobođenja od plaćanja uvoznih dažbina za ove namene nije dobro i da ovaj vid oslobođenja treba da ostane regulisan zakonom na uopšten način bez obzira na to da li postoji ili ne postoji potpisani sporazum, kako bi se sa sigurnošću obezbedio jednak pristup pravima za sve osobe sa invaliditetom bez obzira na postojanje zaključenog sporazuma, njegovu prirodu i način regulisanja ovih olakšica.</w:t>
      </w:r>
    </w:p>
    <w:tbl>
      <w:tblPr>
        <w:tblW w:w="0" w:type="auto"/>
        <w:tblInd w:w="108" w:type="dxa"/>
        <w:shd w:val="clear" w:color="auto" w:fill="44DCFA"/>
        <w:tblLook w:val="04A0" w:firstRow="1" w:lastRow="0" w:firstColumn="1" w:lastColumn="0" w:noHBand="0" w:noVBand="1"/>
      </w:tblPr>
      <w:tblGrid>
        <w:gridCol w:w="9072"/>
      </w:tblGrid>
      <w:tr w:rsidR="00135D51" w:rsidRPr="00135D51" w:rsidTr="00135D51">
        <w:trPr>
          <w:trHeight w:val="409"/>
        </w:trPr>
        <w:tc>
          <w:tcPr>
            <w:tcW w:w="9072" w:type="dxa"/>
            <w:shd w:val="clear" w:color="auto" w:fill="75E5FB"/>
            <w:vAlign w:val="center"/>
          </w:tcPr>
          <w:p w:rsidR="00135D51" w:rsidRPr="00135D51" w:rsidRDefault="008166BE" w:rsidP="00135D51">
            <w:pPr>
              <w:pStyle w:val="NormalWeb"/>
              <w:spacing w:after="0" w:afterAutospacing="0" w:line="276" w:lineRule="auto"/>
              <w:jc w:val="left"/>
              <w:rPr>
                <w:rFonts w:ascii="Arial" w:hAnsi="Arial" w:cs="Arial"/>
                <w:b/>
                <w:i/>
                <w:sz w:val="22"/>
                <w:szCs w:val="22"/>
              </w:rPr>
            </w:pPr>
            <w:r w:rsidRPr="008166BE">
              <w:rPr>
                <w:rStyle w:val="Strong"/>
                <w:rFonts w:ascii="Arial" w:hAnsi="Arial" w:cs="Arial"/>
                <w:b w:val="0"/>
                <w:i/>
                <w:sz w:val="22"/>
                <w:szCs w:val="22"/>
              </w:rPr>
              <w:t>Mišljenje na Nacrt zakona o izmenama i dopunama Krivičnog zakonika</w:t>
            </w:r>
          </w:p>
        </w:tc>
      </w:tr>
    </w:tbl>
    <w:p w:rsidR="008166BE" w:rsidRPr="008166BE" w:rsidRDefault="008166BE" w:rsidP="008166BE">
      <w:pPr>
        <w:spacing w:after="240" w:line="276" w:lineRule="auto"/>
        <w:rPr>
          <w:rFonts w:eastAsia="ヒラギノ角ゴ Pro W3" w:cs="Arial"/>
          <w:color w:val="000000"/>
          <w:lang w:eastAsia="sr-Cyrl-CS"/>
        </w:rPr>
      </w:pPr>
      <w:r w:rsidRPr="008166BE">
        <w:rPr>
          <w:rFonts w:eastAsia="ヒラギノ角ゴ Pro W3" w:cs="Arial"/>
          <w:color w:val="000000"/>
          <w:lang w:eastAsia="sr-Cyrl-CS"/>
        </w:rPr>
        <w:t xml:space="preserve">Na zahtev Ministarstva pravde od 6. septembra 2016. godine, dato je mišljenje na Nacrt zakona o izmenama i dopunama Krivičnog zakonika. Poverenik je istakao važnost prihvatanja inicijative  Poverenika za zaštitu ravnopravnosti za izmenu člana 179. Krivičnog zakonika, kojim je propisano krivično delo obljube nad nemoćnim licem, a kojim je bila zaprećena blaža kazna nego kod krivičnog dela silovanja iz člana 178. stav 1. ovog zakonika. </w:t>
      </w:r>
    </w:p>
    <w:p w:rsidR="008166BE" w:rsidRPr="008166BE" w:rsidRDefault="008166BE" w:rsidP="008166BE">
      <w:pPr>
        <w:spacing w:after="240" w:line="276" w:lineRule="auto"/>
        <w:rPr>
          <w:rFonts w:eastAsia="ヒラギノ角ゴ Pro W3" w:cs="Arial"/>
          <w:color w:val="000000"/>
          <w:lang w:eastAsia="sr-Cyrl-CS"/>
        </w:rPr>
      </w:pPr>
      <w:r w:rsidRPr="008166BE">
        <w:rPr>
          <w:rFonts w:eastAsia="ヒラギノ角ゴ Pro W3" w:cs="Arial"/>
          <w:color w:val="000000"/>
          <w:lang w:eastAsia="sr-Cyrl-CS"/>
        </w:rPr>
        <w:t>Povodom pojedinačnih predloženih rešenja istaknuto je da je Zakonom o potvrđivanju Konvencije Saveta Evrope o sprečavanju i borbi protiv nasilja nad ženama i nasilja u porodici</w:t>
      </w:r>
      <w:r w:rsidR="00200C16">
        <w:rPr>
          <w:rStyle w:val="FootnoteReference"/>
          <w:rFonts w:eastAsia="ヒラギノ角ゴ Pro W3" w:cs="Arial"/>
          <w:color w:val="000000"/>
          <w:lang w:eastAsia="sr-Cyrl-CS"/>
        </w:rPr>
        <w:footnoteReference w:id="258"/>
      </w:r>
      <w:r w:rsidRPr="008166BE">
        <w:rPr>
          <w:rFonts w:eastAsia="ヒラギノ角ゴ Pro W3" w:cs="Arial"/>
          <w:color w:val="000000"/>
          <w:lang w:eastAsia="sr-Cyrl-CS"/>
        </w:rPr>
        <w:t xml:space="preserve">, Republika Srbija preuzela obaveze iz navedene konvencije, pored ostalog i obaveze da preduzme neophodne zakonodavne ili druge mere radi inkriminisanja određenih radnji ili ponašanja koja predstavljaju akte nasilja nad ženama i nasilja u porodici. U tom smislu se Nacrtom zakona propisuju nova krivična dela, i to u oblasti krivičnih dela protiv života i tela (sakaćenje ženskog polnog organa), krivičnih dela protiv sloboda čoveka i građanina (proganjanje), krivičnih dela protiv polne slobode (polno uznemiravanje) i u oblasti krivičnih dela protiv braka i porodice (prinudno zaključenje braka). Poverenik je ukazao da je potrebno definisanje bića (osnovnog oblika) krivičnog dela iz člana 8. stav 1. Nacrta zakona, </w:t>
      </w:r>
      <w:r w:rsidRPr="008166BE">
        <w:rPr>
          <w:rFonts w:eastAsia="ヒラギノ角ゴ Pro W3" w:cs="Arial"/>
          <w:color w:val="000000"/>
          <w:lang w:eastAsia="sr-Cyrl-CS"/>
        </w:rPr>
        <w:lastRenderedPageBreak/>
        <w:t xml:space="preserve">na način kako je to učinjeno u članu 38a) Konvencije, kako bi se otklonile dileme u pogledu primene navedene inkriminacije u praksi, odnosno, da se precizira šta u smislu tog krivičnog dela označava pojam „sakaćenje“. </w:t>
      </w:r>
    </w:p>
    <w:p w:rsidR="008166BE" w:rsidRPr="008166BE" w:rsidRDefault="008166BE" w:rsidP="008166BE">
      <w:pPr>
        <w:spacing w:after="240" w:line="276" w:lineRule="auto"/>
        <w:rPr>
          <w:rFonts w:eastAsia="ヒラギノ角ゴ Pro W3" w:cs="Arial"/>
          <w:color w:val="000000"/>
          <w:lang w:eastAsia="sr-Cyrl-CS"/>
        </w:rPr>
      </w:pPr>
      <w:r w:rsidRPr="008166BE">
        <w:rPr>
          <w:rFonts w:eastAsia="ヒラギノ角ゴ Pro W3" w:cs="Arial"/>
          <w:color w:val="000000"/>
          <w:lang w:eastAsia="sr-Cyrl-CS"/>
        </w:rPr>
        <w:t>U pogledu usklađenosti Nacrta zakona sa Istanbulskom konvencijom, Poverenik je u mišljenju ukazao i na član 9. Nacrta zakona, kojim je propisano krivično delo proganjanje, koje čini onaj koji „drugog neovlašćeno uporno proganja na način koji može osetno da ugrozi njegov lični život“. U stavu 2. definisano je šta se smatra upornim proganjanjem, ali je izostalo definisanje kada postoji stanje koje se može označiti kao „osetno ugrožavanje ličnog života“. Prema članu 34. Istanbulske konvencije proganjanje postoji kada uzrokuje da se „lice plaši za svoju bezbednost“. S tim u vezi u mišljenju je navedeno da bi i u tom smislu bilo potrebno preciznije definisanje, radi otklanjanja svake sumnje prilikom primene zakonskih odredaba koje inkriminišu proganjanje. Poverenik za zaštitu ravnopravnosti je i u ranijim  mišljenjima na nacrte pojedinih propisa (npr. Nacrt zakona o rodnoj ravnopravnosti) ukazivao da je od velikog značaja da se proganjanje inkriminiše kao krivično delo, te je u tom smislu uvođenje ovog dela u Krivični zakonik od velikog značaja. U cilju usklađivanja sa Istanbulskom konvencijom, u mišljenju je predložena i formulaciju navedenog krivičnog dela.</w:t>
      </w:r>
    </w:p>
    <w:p w:rsidR="008166BE" w:rsidRPr="008166BE" w:rsidRDefault="008166BE" w:rsidP="008166BE">
      <w:pPr>
        <w:spacing w:after="240" w:line="276" w:lineRule="auto"/>
        <w:rPr>
          <w:rFonts w:eastAsia="ヒラギノ角ゴ Pro W3" w:cs="Arial"/>
          <w:color w:val="000000"/>
          <w:lang w:eastAsia="sr-Cyrl-CS"/>
        </w:rPr>
      </w:pPr>
      <w:r w:rsidRPr="008166BE">
        <w:rPr>
          <w:rFonts w:eastAsia="ヒラギノ角ゴ Pro W3" w:cs="Arial"/>
          <w:color w:val="000000"/>
          <w:lang w:eastAsia="sr-Cyrl-CS"/>
        </w:rPr>
        <w:t xml:space="preserve">Takođe, Konvencija obavezuje države potpisnice (član 39b) da namerna operacija u svrhu ili uz ishod onemogućavanja prirodne reprodukcije kod žene bez njenog informisanog pristanka (pristanak koji je dobijen nakon upoznavanja žene sa samim činom, opasnostima i posledicama sterilizacije) ili razumevanja procedure, bude propisana kao krivično delo. Istovetna primedba se odnosi i na prinudno zaključenje braka (član 17. Nacrta zakona), u pogledu kojeg nije izvršeno potpuno usaglašavanje sa Istanbulskom konvencijom. Odredbama člana 37. Konvencije obavezane su države na inkriminaciju prisiljavanja odraslog lica ili deteta da stupi u brak, kao i namamljivanje odraslog lica, odnosno deteta, na teritoriju strane države ili države koja nije njegova država boravišta, s ciljem prinude tog odraslog lica ili deteta da stupi u brak. U mišljenju je navedeno da ukoliko isključimo mogućnost – faktičku i pravnu, zaključenja braka s licem mlađim od 16 godina (pa onda i prinudnog braka), ostaje otvoreno pitanje potrebe krivičnopravnog normiranja namamljivanja deteta (odnosno lica mlađeg od 14 godina) ili maloletnika na teritoriju strane države ili države koja nije detetova država boravišta s ciljem prinudnog stupanja u brak. </w:t>
      </w:r>
    </w:p>
    <w:p w:rsidR="008166BE" w:rsidRPr="008166BE" w:rsidRDefault="008166BE" w:rsidP="008166BE">
      <w:pPr>
        <w:spacing w:after="240" w:line="276" w:lineRule="auto"/>
        <w:rPr>
          <w:rFonts w:eastAsia="ヒラギノ角ゴ Pro W3" w:cs="Arial"/>
          <w:color w:val="000000"/>
          <w:lang w:eastAsia="sr-Cyrl-CS"/>
        </w:rPr>
      </w:pPr>
      <w:r w:rsidRPr="008166BE">
        <w:rPr>
          <w:rFonts w:eastAsia="ヒラギノ角ゴ Pro W3" w:cs="Arial"/>
          <w:color w:val="000000"/>
          <w:lang w:eastAsia="sr-Cyrl-CS"/>
        </w:rPr>
        <w:t>Predloženim izmenama Krivičnog zakonika nije obuhvaćena izmena krivičnog dela nedozvoljen prekid trudnoće, mada se i u odnosu na to krivično delo može postaviti pitanje usklađenosti sa Istanbulskom konvencijom, i to sa članom 39, kojim se države potpisnice obavezuju na inkriminaciju prinudnog abortusa. Stoga je Poverenik u mišljenju ukazao da bi, u odnosu na član 120. st. 1. i 3. Krivičnog zakonika, kojim je propisano krivično delo nedozvoljenog prekida trudnoće s pristankom bremenite žene, odnosno bez njega, bilo potrebno, u duhu navedene konvencije, precizirati pitanje pristanka bremenite žene tako da on podrazumeva potpunu obaveštenost o značaju, opasnosti i posledicama prekida trudnoće, čime bi se pojačala i obaveza koja u tom smislu proizlazi i iz Zakona o postupku prekida trudnoće u zdravstvenim ustanovama</w:t>
      </w:r>
      <w:r w:rsidR="00573E3D">
        <w:rPr>
          <w:rStyle w:val="FootnoteReference"/>
          <w:rFonts w:eastAsia="ヒラギノ角ゴ Pro W3" w:cs="Arial"/>
          <w:color w:val="000000"/>
          <w:lang w:eastAsia="sr-Cyrl-CS"/>
        </w:rPr>
        <w:footnoteReference w:id="259"/>
      </w:r>
      <w:r w:rsidRPr="008166BE">
        <w:rPr>
          <w:rFonts w:eastAsia="ヒラギノ角ゴ Pro W3" w:cs="Arial"/>
          <w:color w:val="000000"/>
          <w:lang w:eastAsia="sr-Cyrl-CS"/>
        </w:rPr>
        <w:t xml:space="preserve">. </w:t>
      </w:r>
    </w:p>
    <w:p w:rsidR="008166BE" w:rsidRPr="008166BE" w:rsidRDefault="008166BE" w:rsidP="008166BE">
      <w:pPr>
        <w:spacing w:after="240" w:line="276" w:lineRule="auto"/>
        <w:rPr>
          <w:rFonts w:eastAsia="ヒラギノ角ゴ Pro W3" w:cs="Arial"/>
          <w:color w:val="000000"/>
          <w:lang w:val="sr-Latn-RS" w:eastAsia="sr-Cyrl-CS"/>
        </w:rPr>
      </w:pPr>
      <w:r w:rsidRPr="008166BE">
        <w:rPr>
          <w:rFonts w:eastAsia="ヒラギノ角ゴ Pro W3" w:cs="Arial"/>
          <w:color w:val="000000"/>
          <w:lang w:eastAsia="sr-Cyrl-CS"/>
        </w:rPr>
        <w:t xml:space="preserve">U mišljenju je posebno ukazano na učestale pojave nasilja u porodici, i to s veoma teškim, pa i kobnim posledicama. Pri tome, praksa Poverenika, kao i drugi relevantni raspoloživi </w:t>
      </w:r>
      <w:r w:rsidRPr="008166BE">
        <w:rPr>
          <w:rFonts w:eastAsia="ヒラギノ角ゴ Pro W3" w:cs="Arial"/>
          <w:color w:val="000000"/>
          <w:lang w:eastAsia="sr-Cyrl-CS"/>
        </w:rPr>
        <w:lastRenderedPageBreak/>
        <w:t>podaci (kako civilnog sektora, tako i državnih organa), pokazuju da su nasilju najčešće izložene žene, deca, stariji, osobe sa invaliditetom. U cilju prevencije nasilja u porodici i pune krivičnopravne zaštite žrtava nasilja, predloženo je da se razmotri mogućnost da se biće krivičnog dela iz člana 194. stav 3. odredi tako da ono obuhvati i slučajeve kada su dela iz st. 1. i 2. učinjena prema nemoćnom licu, odnosno da se nemoć lica koje je žrtva nasilja odredi kao kvalifikatorna okolnost. Imajući u vidu navedeno, u mišljenju je istaknuto da bi bilo celishodno da se u odnosu na krivično delo iz člana 194. Krivičnog zakonika razmotri i mogućnost pooštravanja zaprećenih kazni zatvora. Na kraju je ukazano na značaj uvođenja ovih krivičnih dela u Krivični zakonik i usaglašavanja sa Istanbulskom konvencijom, jer svaki akt rodno zasnovanog nasilja dovodi do fizičke, seksualne, psihičke i ekonomske povrede, odnosno patnje za žene, uključujući i pretnje takvim ponašanjem. Prema Opštoj preporuci br. 19 UN Komiteta CEDAW (1992), nasilje nad ženama predstavlja oblik diskriminacije u smislu člana 1. Konvencije o eliminisanju svih oblika diskriminacije žena (CEDAW) i treba ga smatrati ozbiljnim kršenjem ljudskih prava. Odredbama člana 1. ove konvencije definisana je diskriminacija žena koja obuhvata rodno zasnovano nasilje, odnosno nasilje koje je usmereno protiv žene samo zbog toga što je žena, ili koje neproporcionalno pogađa žene. U mišljenju je navedeno da je svako preventivno delovanje, kao i sankcionisanje ovakvih ponašanja, od izuzetnog značaja za jedno društvo.</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397"/>
        </w:trPr>
        <w:tc>
          <w:tcPr>
            <w:tcW w:w="9072" w:type="dxa"/>
            <w:shd w:val="clear" w:color="auto" w:fill="75E5FB"/>
            <w:vAlign w:val="center"/>
          </w:tcPr>
          <w:p w:rsidR="00135D51" w:rsidRPr="00135D51" w:rsidRDefault="00573E3D" w:rsidP="00135D51">
            <w:pPr>
              <w:pStyle w:val="NormalWeb"/>
              <w:spacing w:before="0" w:beforeAutospacing="0" w:after="0" w:afterAutospacing="0" w:line="276" w:lineRule="auto"/>
              <w:jc w:val="left"/>
              <w:rPr>
                <w:rFonts w:ascii="Arial" w:hAnsi="Arial" w:cs="Arial"/>
                <w:b/>
                <w:i/>
                <w:sz w:val="22"/>
                <w:szCs w:val="22"/>
              </w:rPr>
            </w:pPr>
            <w:r w:rsidRPr="00573E3D">
              <w:rPr>
                <w:rStyle w:val="Strong"/>
                <w:rFonts w:ascii="Arial" w:hAnsi="Arial" w:cs="Arial"/>
                <w:b w:val="0"/>
                <w:i/>
                <w:sz w:val="22"/>
                <w:szCs w:val="22"/>
              </w:rPr>
              <w:t>Mišljenje na Nacrt zakona o azilu i privremenoj zaštiti</w:t>
            </w:r>
          </w:p>
        </w:tc>
      </w:tr>
    </w:tbl>
    <w:p w:rsidR="00573E3D" w:rsidRPr="00573E3D" w:rsidRDefault="00573E3D" w:rsidP="00573E3D">
      <w:pPr>
        <w:pStyle w:val="NormalWeb"/>
        <w:spacing w:line="276" w:lineRule="auto"/>
        <w:rPr>
          <w:rFonts w:ascii="Arial" w:eastAsia="ヒラギノ角ゴ Pro W3" w:hAnsi="Arial" w:cs="Arial"/>
          <w:color w:val="000000"/>
          <w:sz w:val="22"/>
          <w:szCs w:val="22"/>
          <w:lang w:eastAsia="sr-Cyrl-CS"/>
        </w:rPr>
      </w:pPr>
      <w:r w:rsidRPr="00573E3D">
        <w:rPr>
          <w:rFonts w:ascii="Arial" w:eastAsia="ヒラギノ角ゴ Pro W3" w:hAnsi="Arial" w:cs="Arial"/>
          <w:color w:val="000000"/>
          <w:sz w:val="22"/>
          <w:szCs w:val="22"/>
          <w:lang w:eastAsia="sr-Cyrl-CS"/>
        </w:rPr>
        <w:t xml:space="preserve">Na zahtev Ministarstva unutrašnjih poslova od 23. septembra 2016. godine, dato je mišljenje na Nacrt zakona o azilu i privremenoj zaštiti. U datom mišljenju Poverenik je konstatovao da je nejasno da li predlagač zakona rodno zasnovano nasilje prepoznaje kao razlog odnosno osnov progona, ili kao delo progona. Predloženo je da se odredbe Nacrta zakona koje se odnose na definisanje statusa izbeglice i prava na utočište usaglase s odredbama Konvencije Saveta Evrope o sprečavanju i borbi protiv nasilja nad ženama i nasilja u porodici (Istanbulska konvencija), koju je Republika Srbija ratifikovala 2013. godine. U odredbama navedene konvencije, kao razlog progona navedeni su, između ostalog, pol, rod i rodni identitet, kao i pripadnost određenoj društvenoj grupi. Međutim, u članu 26. Nacrta zakona nabrojani su razlozi progona s obzirom na sadržaj pojmova kao što su rasa, veroispovest, nacionalnost, političko mišljenje i društvena grupa. Pol, rod i rodni identitet nisu posebno obrazloženi u navedenom članu. Stoga je ukazano na to da je nejasno da li je namera predlagača bila da pol, rod i rodni identitet budu samostalni razlozi, odnosno osnovi progona, ili je namera da ovi razlozi budu podvedeni pod pripadnost određenoj društvenoj grupi i da, radi preciznosti, treba usaglasiti ove članove. Pored toga, u mišljenju je navedeno da je potrebno voditi računa i o terminološkoj usklađenosti odredaba Nacrta zakona (primera radi, u Nacrtu zakona su za isti pojam u članu 2. stav 1. tačka 6) i u članu 24. korišćeni različiti termini: „nacionalnost“, „nacionalna pripadnost“; „političko uverenje“, „političko mišljenje“). Takođe, Poverenik je ukazao na to da član 7. Nacrta zakona, kojim se zabranjuje diskriminacija, odnosno, kojim se kao jedno od osnovnih načela na kojima se zasniva primena Zakona o azilu i privremenoj zaštiti uvodi načelo nediskriminacije, treba uskladiti s odredbama člana 2. Zakona o zabrani diskriminacije, s obzirom na to da je u pitanju osnovni antidiskriminacioni propis. Nacrtom zakona bilo je predviđeno i da se posebnim i prihvatnim garancijama pruža odgovarajuća pomoć tražiocu koji s obzirom na svoje lične okolnosti nije sposoban da ostvaruje prava i obaveze iz ovog zakona bez odgovarajuće pomoći. U mišljenju je navedeno da treba precizirati vrstu i obim te pomoći, a naročito da treba </w:t>
      </w:r>
      <w:r w:rsidRPr="00573E3D">
        <w:rPr>
          <w:rFonts w:ascii="Arial" w:eastAsia="ヒラギノ角ゴ Pro W3" w:hAnsi="Arial" w:cs="Arial"/>
          <w:color w:val="000000"/>
          <w:sz w:val="22"/>
          <w:szCs w:val="22"/>
          <w:lang w:eastAsia="sr-Cyrl-CS"/>
        </w:rPr>
        <w:lastRenderedPageBreak/>
        <w:t xml:space="preserve">predvideti donošenje podzakonskog akta kojim bi se detaljno uredilo postupanje prema žrtvama nasilja i drugim osetljivim grupama. </w:t>
      </w:r>
    </w:p>
    <w:p w:rsidR="00573E3D" w:rsidRPr="00573E3D" w:rsidRDefault="00573E3D" w:rsidP="00573E3D">
      <w:pPr>
        <w:pStyle w:val="NormalWeb"/>
        <w:spacing w:line="276" w:lineRule="auto"/>
        <w:rPr>
          <w:rFonts w:ascii="Arial" w:eastAsia="ヒラギノ角ゴ Pro W3" w:hAnsi="Arial" w:cs="Arial"/>
          <w:color w:val="000000"/>
          <w:sz w:val="22"/>
          <w:szCs w:val="22"/>
          <w:lang w:eastAsia="sr-Cyrl-CS"/>
        </w:rPr>
      </w:pPr>
      <w:r w:rsidRPr="00573E3D">
        <w:rPr>
          <w:rFonts w:ascii="Arial" w:eastAsia="ヒラギノ角ゴ Pro W3" w:hAnsi="Arial" w:cs="Arial"/>
          <w:color w:val="000000"/>
          <w:sz w:val="22"/>
          <w:szCs w:val="22"/>
          <w:lang w:eastAsia="sr-Cyrl-CS"/>
        </w:rPr>
        <w:t>Takođe, odredbama Nacrta zakona bilo je određeno da tražilac azila, odnosno lice kome je odobreno pravo na azil, ima pravo na socijalnu pomoć, a da ministar nadležan za socijalnu politiku bliže uređuje pitanja socijalne pomoći tražilaca azila, odnosno socijalne pomoći licima kojima je odobreno pravo na azil. S tim u vezi, u mišljenju je ukazano na odredbe Zakona o socijalnoj zaštiti, koji ne poznaje pojam socijalne pomoći. Naime, članom 4. Zakona o socijalnoj zaštiti je propisano da se pravo na socijalnu zaštitu obezbeđuje pružanjem usluga socijalne zaštite i materijalnom podrškom. Odredbama člana 6. navedenog zakona propisano je da su korisnici socijalne zaštite državljani Republike Srbije, kao i da korisnici mogu biti i strani državljani i lica bez državljanstva u skladu sa zakonom i međunarodnim ugovorima. Odredbama člana 40. Zakona o socijalnoj zaštiti propisano je koje grupe usluga socijalne zaštite postoje, dok su članom 79. ovog zakona definisane vrste materijalne podrške (novčana socijalna pomoć, dodatak za pomoć i negu drugog lica, uvećani dodatak za pomoć i negu drugog lica, pomoć za osposobljavanje za rad, jednokratna novčana pomoć, pomoć u naturi i druge vrste materijalne podrške, u skladu s tim zakonom i propisima donetim za njegovo sprovođenje). Imajući u vidu navedeno, predloženo je da se Nacrtom zakona jasno propiše o kojem se vidu podrške radi, kao i bliži kriterijumi za ostvarivanje podrške, s obzirom na to da uslove koji su  propisani Zakonom o socijalnoj zaštiti i dokaze o njihovoj ispunjenosti ne mogu u potpunosti ispuniti tražioci azila, kao ni lica kojima je odobreno pravo na azil.</w:t>
      </w:r>
    </w:p>
    <w:p w:rsidR="00573E3D" w:rsidRPr="00573E3D" w:rsidRDefault="00573E3D" w:rsidP="00573E3D">
      <w:pPr>
        <w:pStyle w:val="NormalWeb"/>
        <w:spacing w:before="120" w:beforeAutospacing="0" w:line="276" w:lineRule="auto"/>
        <w:rPr>
          <w:rFonts w:ascii="Arial" w:hAnsi="Arial" w:cs="Arial"/>
          <w:sz w:val="22"/>
          <w:szCs w:val="22"/>
          <w:lang w:val="sr-Latn-RS"/>
        </w:rPr>
      </w:pPr>
      <w:r w:rsidRPr="00573E3D">
        <w:rPr>
          <w:rFonts w:ascii="Arial" w:eastAsia="ヒラギノ角ゴ Pro W3" w:hAnsi="Arial" w:cs="Arial"/>
          <w:color w:val="000000"/>
          <w:sz w:val="22"/>
          <w:szCs w:val="22"/>
          <w:lang w:eastAsia="sr-Cyrl-CS"/>
        </w:rPr>
        <w:t>Pored ovoga, u mišljenju je navedeno i da je u Nacrtu zakona potrebno koristiti korektne termine, na primer, umesto izraza: „lica sa invaliditetom“ koristiti izraz: „osobe sa invaliditetom“, a umesto izraza: „osobe sa duševnim poremećajima“, izraz: „osobe sa mentalnim invaliditetom“.</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410"/>
        </w:trPr>
        <w:tc>
          <w:tcPr>
            <w:tcW w:w="9072" w:type="dxa"/>
            <w:shd w:val="clear" w:color="auto" w:fill="75E5FB"/>
            <w:vAlign w:val="center"/>
          </w:tcPr>
          <w:p w:rsidR="00135D51" w:rsidRPr="00135D51" w:rsidRDefault="00573E3D" w:rsidP="00135D51">
            <w:pPr>
              <w:pStyle w:val="NormalWeb"/>
              <w:spacing w:after="0" w:afterAutospacing="0" w:line="276" w:lineRule="auto"/>
              <w:jc w:val="left"/>
              <w:rPr>
                <w:rFonts w:ascii="Arial" w:hAnsi="Arial" w:cs="Arial"/>
                <w:i/>
                <w:sz w:val="22"/>
                <w:szCs w:val="22"/>
              </w:rPr>
            </w:pPr>
            <w:r w:rsidRPr="00573E3D">
              <w:rPr>
                <w:rStyle w:val="Strong"/>
                <w:rFonts w:ascii="Arial" w:hAnsi="Arial" w:cs="Arial"/>
                <w:b w:val="0"/>
                <w:i/>
                <w:sz w:val="22"/>
                <w:szCs w:val="22"/>
              </w:rPr>
              <w:t>Mišljenje na Nacrt zakona o stanovanju i održavanju zgrada</w:t>
            </w:r>
          </w:p>
        </w:tc>
      </w:tr>
    </w:tbl>
    <w:p w:rsidR="00647707" w:rsidRPr="00647707" w:rsidRDefault="00573E3D" w:rsidP="00135D51">
      <w:pPr>
        <w:spacing w:before="240" w:after="100" w:afterAutospacing="1" w:line="276" w:lineRule="auto"/>
        <w:rPr>
          <w:rFonts w:cs="Arial"/>
        </w:rPr>
      </w:pPr>
      <w:r w:rsidRPr="00573E3D">
        <w:rPr>
          <w:rFonts w:eastAsia="ヒラギノ角ゴ Pro W3" w:cs="Arial"/>
          <w:color w:val="000000"/>
          <w:lang w:eastAsia="sr-Cyrl-CS"/>
        </w:rPr>
        <w:t xml:space="preserve">Na zahtev Ministarstva građevinarstva, saobraćaja i infrastrukture od 11. oktobra 2016. godine, dato je mišljenje na Nacrt zakona o stanovanju i održavanju zgrada. Povodom odredbe Nacrta zakona koja se odnosi na regulisanje smeštaja lica koje se iseljava i ispunjava uslove za preseljenje u odgovarajući smeštaj, navedena je i situacija lica koje nema prebivalište s alternativnim rešenjem za preseljenje u odgovarajući smeštaj gde je lice imalo poslednje prebivalište. U mišljenju je ukazano na neophodnost propisivanja odredaba kojima se reguliše preseljenje u odgovarajući smeštaj i licima koja uopšte nemaju prijavljeno prebivalište. U odredbi Nacrta zakona gde je navedeno „domaćinstvo sa invalidnim članom“, upućena je primedba da pojam „invalidni član“ nije u duhu domaćih i međunarodnih antidiskriminacionih propisa i da je neophodno izvršiti terminološko usklađivanje Nacrta zakona sa antidiskriminacionim propisima, kako osnovnim zakonom u toj oblasti – Zakonom </w:t>
      </w:r>
      <w:r>
        <w:rPr>
          <w:rFonts w:eastAsia="ヒラギノ角ゴ Pro W3" w:cs="Arial"/>
          <w:color w:val="000000"/>
          <w:lang w:eastAsia="sr-Cyrl-CS"/>
        </w:rPr>
        <w:t>o zabrani diskriminacije</w:t>
      </w:r>
      <w:r>
        <w:rPr>
          <w:rStyle w:val="FootnoteReference"/>
          <w:rFonts w:eastAsia="ヒラギノ角ゴ Pro W3" w:cs="Arial"/>
          <w:color w:val="000000"/>
          <w:lang w:eastAsia="sr-Cyrl-CS"/>
        </w:rPr>
        <w:footnoteReference w:id="260"/>
      </w:r>
      <w:r w:rsidRPr="00573E3D">
        <w:rPr>
          <w:rFonts w:eastAsia="ヒラギノ角ゴ Pro W3" w:cs="Arial"/>
          <w:color w:val="000000"/>
          <w:lang w:eastAsia="sr-Cyrl-CS"/>
        </w:rPr>
        <w:t>, tako i sa Zakonom o sprečavanju diskriminacije osoba sa invaliditetom</w:t>
      </w:r>
      <w:r>
        <w:rPr>
          <w:rStyle w:val="FootnoteReference"/>
          <w:rFonts w:eastAsia="ヒラギノ角ゴ Pro W3" w:cs="Arial"/>
          <w:color w:val="000000"/>
          <w:lang w:eastAsia="sr-Cyrl-CS"/>
        </w:rPr>
        <w:footnoteReference w:id="261"/>
      </w:r>
      <w:r w:rsidRPr="00573E3D">
        <w:rPr>
          <w:rFonts w:eastAsia="ヒラギノ角ゴ Pro W3" w:cs="Arial"/>
          <w:color w:val="000000"/>
          <w:lang w:eastAsia="sr-Cyrl-CS"/>
        </w:rPr>
        <w:t xml:space="preserve"> .</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c>
          <w:tcPr>
            <w:tcW w:w="9072" w:type="dxa"/>
            <w:shd w:val="clear" w:color="auto" w:fill="75E5FB"/>
            <w:vAlign w:val="center"/>
          </w:tcPr>
          <w:p w:rsidR="00135D51" w:rsidRPr="00135D51" w:rsidRDefault="00806DBC" w:rsidP="00135D51">
            <w:pPr>
              <w:pStyle w:val="Body"/>
              <w:tabs>
                <w:tab w:val="left" w:pos="9072"/>
              </w:tabs>
              <w:spacing w:before="120" w:after="120" w:line="276" w:lineRule="auto"/>
              <w:rPr>
                <w:rFonts w:ascii="Arial" w:hAnsi="Arial" w:cs="Arial"/>
                <w:b/>
                <w:sz w:val="22"/>
                <w:szCs w:val="22"/>
                <w:lang w:val="sr-Cyrl-CS"/>
              </w:rPr>
            </w:pPr>
            <w:r w:rsidRPr="00806DBC">
              <w:rPr>
                <w:rStyle w:val="Strong"/>
                <w:rFonts w:ascii="Arial" w:hAnsi="Arial" w:cs="Arial"/>
                <w:b w:val="0"/>
                <w:i/>
                <w:sz w:val="22"/>
                <w:szCs w:val="22"/>
                <w:lang w:val="sr-Cyrl-CS"/>
              </w:rPr>
              <w:lastRenderedPageBreak/>
              <w:t>Mišljenje na Nacrt zakona o izmenama i dopunama Zakona o Vojsci Srbije</w:t>
            </w:r>
          </w:p>
        </w:tc>
      </w:tr>
    </w:tbl>
    <w:p w:rsidR="00135D51" w:rsidRDefault="00806DBC" w:rsidP="00135D51">
      <w:pPr>
        <w:spacing w:before="240" w:after="240" w:line="276" w:lineRule="auto"/>
        <w:rPr>
          <w:rFonts w:cs="Arial"/>
          <w:color w:val="000000"/>
          <w:lang w:val="sr-Latn-RS" w:eastAsia="sr-Cyrl-CS"/>
        </w:rPr>
      </w:pPr>
      <w:r w:rsidRPr="00806DBC">
        <w:rPr>
          <w:rFonts w:cs="Arial"/>
          <w:color w:val="000000"/>
          <w:lang w:eastAsia="sr-Cyrl-CS"/>
        </w:rPr>
        <w:t>Postupajući po zahtevu Ministarstva odbrane od 14. novembra 2016. godine, dato je mišljenje na Nacrt zakona o izmenama i dopunama Zakona o Vojsci Srbije. U mišljenju je navedeno da je odredbama člana 14. Nacrta zakona propisano da se u članu 122. Zakona o Vojsci Srbije posle stava 2. dodaje stav 3, koji glasi: „Sa licem iz stava 1. tačka 3a) ovog člana, koje ispunjava uslove propisane odredbama zakona koji uređuje privatno obezbeđenje, zaključuje se ugovor o radu na vremenski period do tri godine i može se obnavljati, s tim da važnost poslednjeg ugovora ističe momentom ispunjenja uslova za odlazak u penziju u skladu sa propisima koji regulišu penzijsko i invalidsko osiguranje.“ S tim u vezi, Poverenik je u mišljenju ukazao na to da je ovu odredbu potrebno pojasniti imajući u vidu sticanje uslova za odlazak u penziju žena i muškaraca, propisanu Zakonom o penzijskom i invalidskom osiguranju. Naime, Zakon o penzijskom i invalidskom osiguranju propisuje opšte uslove za sticanje prava na starosnu penziju za žene i muškarce. Međutim odredbama člana 19a ovog zakona predviđen je određeni prelazni režim za osiguranike žene, tako da one ne moraju „čekati“ da navrše 65 godina života da bi stekle pravo na starosnu penziju, već u periodu od 2015. do 2031. godine imaju pogodnost da pravo na starosnu penziju steknu i pre navršenih 65 godina života. Imajući u vidu pomenute odredbe, u mišljenju je navedeno da je predloženu odredbu potrebno usaglasiti s navedenim zakonom tako da se ne sprečava pravo žene na odlučivanje da li će u starosnu penziju ići u skladu s odredbama Zakona o penzijskom i invalidskom osiguranju i pre ispunjenja opštih uslova za odlazak u penziju, koji su uređeni članom 19. ovog zakona. Tim povodom ukazano je na to da je prilikom formulisanja odredbe člana 14. Nacrta zakona potrebno imati u vidu i Odluku Ustavnog suda Republike Srbije IUz-244/2015, od 4. oktobra 2015. godine, donetu povodom ocene ustavnosti člana 20. Zakona o načinu određivanja maksimalnog broja zaposlenih u javnom sektoru. Poverenik je ukazao na to da je Nacrtom zakona potrebno obuhvatiti i odredbu člana 149. stav 1. tačka 5. Zakona o Vojsci Srbije, koja glasi: „postupanje kojim se vređa dostojanstvo podređenih, naročito s obzirom na pol, versko ubeđenje ili nacionalnu pripadnost ili kršenje prava koja im po zakonu pripadaju“. Ovu odredbu potrebno je uskladiti sa Zakonom o zabrani diskriminacije i umesto posebnog isticanja samo tri lična svojstva navesti sva lična svojstva koja mogu biti osnov diskriminacije. Nacrtom zakona propisano je da se odredbe o sastavu Vojske Srbije jednako odnose na žene i muškarce. Data je primedba da je ovu odredbu potrebno dopuniti i uskladiti s međunarodnim dokumentima koji se odnose na nediskriminatornu upotrebu jezika, kao što su Plan za korigovanje sadašnje neravnoteže između muškaraca i žena u političkom životu Međuparlamentarne unije (MPU) i Preporuke Odbora ministara o eliminisanju seksizma u jeziku, R (90)4.</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c>
          <w:tcPr>
            <w:tcW w:w="9072" w:type="dxa"/>
            <w:shd w:val="clear" w:color="auto" w:fill="75E5FB"/>
            <w:vAlign w:val="center"/>
          </w:tcPr>
          <w:p w:rsidR="00135D51" w:rsidRPr="00135D51" w:rsidRDefault="009F6042" w:rsidP="00DE1D8E">
            <w:pPr>
              <w:pStyle w:val="NormalWeb"/>
              <w:spacing w:before="240" w:beforeAutospacing="0" w:after="0" w:afterAutospacing="0" w:line="276" w:lineRule="auto"/>
              <w:jc w:val="left"/>
              <w:rPr>
                <w:rFonts w:ascii="Arial" w:hAnsi="Arial" w:cs="Arial"/>
                <w:b/>
                <w:i/>
                <w:sz w:val="22"/>
                <w:szCs w:val="22"/>
              </w:rPr>
            </w:pPr>
            <w:r w:rsidRPr="009F6042">
              <w:rPr>
                <w:rStyle w:val="Strong"/>
                <w:rFonts w:ascii="Arial" w:hAnsi="Arial" w:cs="Arial"/>
                <w:b w:val="0"/>
                <w:i/>
                <w:sz w:val="22"/>
                <w:szCs w:val="22"/>
              </w:rPr>
              <w:t>Mišljenje na Nacrt strategije za socijalno uključivanje Roma i Romkinja u Republici Srbiji za period od 2016. do 2025. godine</w:t>
            </w:r>
          </w:p>
        </w:tc>
      </w:tr>
    </w:tbl>
    <w:p w:rsidR="009F6042" w:rsidRPr="004C52E8" w:rsidRDefault="009F6042" w:rsidP="00135D51">
      <w:pPr>
        <w:pStyle w:val="NormalWeb"/>
        <w:spacing w:line="276" w:lineRule="auto"/>
        <w:rPr>
          <w:rFonts w:ascii="Arial" w:hAnsi="Arial" w:cs="Arial"/>
          <w:sz w:val="22"/>
          <w:szCs w:val="22"/>
          <w:lang w:val="sr-Latn-RS"/>
        </w:rPr>
      </w:pPr>
      <w:r w:rsidRPr="009F6042">
        <w:rPr>
          <w:rFonts w:ascii="Arial" w:hAnsi="Arial" w:cs="Arial"/>
          <w:sz w:val="22"/>
          <w:szCs w:val="22"/>
        </w:rPr>
        <w:t xml:space="preserve">Na zahtev Ministarstva za rad, zapošljavanje, boračka i socijalna pitanja od 5.  januara 2016. godine, Poverenik je dao mišljenje na Nacrt strategije za socijalno uključivanje Roma i Romkinja u Republici Srbiji za period od 2016. do 2025. godine. Poverenik je pružio podršku izradi ovog strateškog dokumenta i nastojanju da se kroz ostvarivanje strateških ciljeva podstakne ravnopravnost i socijalno uključivanje Roma i Romkinja u društvo. U mišljenju je izražena važnost prihvatanja preporuke za suzbijanje diskriminacije i unapređenje ravnopravnosti Roma i Romkinja, koje su date u Redovnom godišnjem izveštaju Poverenika </w:t>
      </w:r>
      <w:r w:rsidRPr="009F6042">
        <w:rPr>
          <w:rFonts w:ascii="Arial" w:hAnsi="Arial" w:cs="Arial"/>
          <w:sz w:val="22"/>
          <w:szCs w:val="22"/>
        </w:rPr>
        <w:lastRenderedPageBreak/>
        <w:t>za zaštitu ravnopravnosti za 2014. godinu. Poverenik je ukazao i na važnost uspostavljanja adekvatnog zakonodavnog okvira, naročito kada je reč o prinudnom raseljavanju, o čemu je u proteklom periodu ukazivano kroz preporuke organima vlasti, kao i davanjem podrške brzom usvajanju zakona o legalizaciji održivih neformalnih romskih naselja, čime bi se stvorili preduslovi za rešavanje ovog kompleksnog problema. Analiza teksta Nacrta strategije pokazala je da je on rezultat pažljivog sagledavanja uočenih nedostataka strateškog dokumenta iz 2009. godine, ali i odraz potrebe usklađivanja nacionalnog pravnog sistema sa standardima u EU i prilagođavanja javnih politika sistemima koji funkcionišu u EU. Pored toga, u mišljenju je ukazano da je pojedina predložena rešenja u Nacrtu strategije potrebno preciznije definisati, kako bi se izbegle nejasnoće i nedoumice prilikom njene realizacije. Takođe je navedeno da je izraze: „posredna i direktna diskriminacija“, „otvorena i prikrivena diskriminacija“, potrebno zameniti izrazom „posredna i neposredna diskriminacija“, radi terminološkog usklađivanja s odredbama Zakona o zabrani diskriminacije. U mišljenju je ukazano na to da je u uvodnom delu Nacrta strategije (4. Opis stanja, 4.3. Zapošljavanje, str. 45) potrebno još jednom razmotriti pretposlednju rečenicu stava 3, jer je nejasno da li se misli na podatke Republičke agencije za mirno rešavanje radnih sporova koji se odnose na udeo romske populacije u primljenim zahtevima za pokretanje postupaka povodom diskriminacije ili postupaka povodom radnih sporova. Takođe je navedeno da je u delu 5.1. Obrazovanje, potrebno razmotriti formulaciju poslednje mere u okviru Operativnog cilja 3 (str. 64), koja se odnosi na obezbeđivanje da nadležni državni organ sistemski prati i izveštava o diskriminaciji i izloženosti različitim formama nasilja pripadnika romske zajednice u obrazovanju, sa posebnim akcentom na rodno zasnovanom nasilju. S obzirom na to da tek predstoji izrada akcionog plana za sprovođenje ove strategije, u mišljenju je navedeno da je nejasno o kom organu je reč, pa je samim tim i nejasno na koji način bi se sprovodila predložena mera. U delu Nacrta strategije koji se odnosi na zapošljavanje (5.3. Zapošljavanje, Operativni cilj 2, str. 76), u mišljenju je navedeno da je kao ishod do 2025. godine predviđen smanjen broj prijavljenih oblika diskriminacije u oblasti pristupa tržištu rada, zapošljavanja i prava po osnovu rada, iako bi, saglasno dosadašnjoj praksi i istraživanjima, u prvom periodu pre trebalo očekivati povećanje broja prijavljenih slučajeva  diskriminacije, kao posledicu podizanja svesti građana i uspostavljanja adekvatnih mehanizama zaštite, a da bi se tek u kasnijem periodu moglo očekivati smanjenje broja prijavljenih slučajeva diskriminacije. Takođe je u mišljenju, u delu Nacrta strategije koji se odnosi na upravljanje strategijom (6.1. Upravljanje na nacionalnom nivou), obrazlažući razloge za jačanje kapaciteta Kancelarije za ljudska i manjinska prava i Tima za socijalno uključivanje i smanjenje siromaštva kako bi se stvorili kapaciteti za efektivno praćenje i sprovođenje strategije u svim fazama primene, navedeno da ne postoji organ koji se delotvorno stara o ostvarivanju kompleksnih strateških ciljeva – smanjivanje siromaštva i eliminisanje diskriminacije. S tim u vezi, u mišljenju je navedeno da je pomenutu konstataciju potrebno drugačije formulisati, imajući u vidu delokrug rada i nadležnost Poverenika kao centralnog nacionalnog tela specijalizovanog za borbu protiv svih vidova i oblika diskriminacije i njenu prevenciju.</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668"/>
        </w:trPr>
        <w:tc>
          <w:tcPr>
            <w:tcW w:w="9072" w:type="dxa"/>
            <w:shd w:val="clear" w:color="auto" w:fill="75E5FB"/>
            <w:vAlign w:val="center"/>
          </w:tcPr>
          <w:p w:rsidR="00135D51" w:rsidRPr="00135D51" w:rsidRDefault="009F6042" w:rsidP="00BF3E57">
            <w:pPr>
              <w:spacing w:after="100" w:afterAutospacing="1" w:line="276" w:lineRule="auto"/>
              <w:jc w:val="left"/>
              <w:rPr>
                <w:rFonts w:cs="Arial"/>
                <w:b/>
                <w:i/>
                <w:color w:val="000000"/>
              </w:rPr>
            </w:pPr>
            <w:r w:rsidRPr="009F6042">
              <w:rPr>
                <w:rStyle w:val="Strong"/>
                <w:rFonts w:cs="Arial"/>
                <w:b w:val="0"/>
                <w:i/>
              </w:rPr>
              <w:t>Mišljenje na Predlog uredbe o Šifarniku radnih mesta i na Šifarnik zvanja i radnih mesta u javnom sektoru</w:t>
            </w:r>
          </w:p>
        </w:tc>
      </w:tr>
    </w:tbl>
    <w:p w:rsidR="009F6042" w:rsidRPr="009F6042" w:rsidRDefault="009F6042" w:rsidP="009F6042">
      <w:pPr>
        <w:pStyle w:val="NormalWeb"/>
        <w:spacing w:line="276" w:lineRule="auto"/>
        <w:rPr>
          <w:rFonts w:ascii="Arial" w:eastAsia="ヒラギノ角ゴ Pro W3" w:hAnsi="Arial" w:cs="Arial"/>
          <w:color w:val="000000"/>
          <w:sz w:val="22"/>
          <w:szCs w:val="22"/>
          <w:lang w:eastAsia="sr-Cyrl-CS"/>
        </w:rPr>
      </w:pPr>
      <w:r w:rsidRPr="009F6042">
        <w:rPr>
          <w:rFonts w:ascii="Arial" w:eastAsia="ヒラギノ角ゴ Pro W3" w:hAnsi="Arial" w:cs="Arial"/>
          <w:color w:val="000000"/>
          <w:sz w:val="22"/>
          <w:szCs w:val="22"/>
          <w:lang w:eastAsia="sr-Cyrl-CS"/>
        </w:rPr>
        <w:t xml:space="preserve">Na tri zahteva Ministarstva državne uprave i lokalne samouprave od 11. i 28. januara 2016. godine i 8. februara 2016. godine, data su mišljenja na Predlog uredbe o Šifarniku radnih </w:t>
      </w:r>
      <w:r w:rsidRPr="009F6042">
        <w:rPr>
          <w:rFonts w:ascii="Arial" w:eastAsia="ヒラギノ角ゴ Pro W3" w:hAnsi="Arial" w:cs="Arial"/>
          <w:color w:val="000000"/>
          <w:sz w:val="22"/>
          <w:szCs w:val="22"/>
          <w:lang w:eastAsia="sr-Cyrl-CS"/>
        </w:rPr>
        <w:lastRenderedPageBreak/>
        <w:t xml:space="preserve">mesta i na Šifarnik zvanja i radnih mesta u javnom sektoru. U dopisima Ministarstva navedeno je da je Šifarnik radnih mesta u javnom sektoru tehnički dokument koji je izrađen na osnovu Nacrta kataloga radnih mesta i zvanja u javnom sektoru, koji je još uvek u izradi. Takođe je navedeno da je Šifarnik radnih mesta u javnom sektoru podložan promenama u skladu sa izmenama relevantne zakonske regulative. Imajući u vidu navedeno, Poverenik za zaštitu ravnopravnosti je u mišljenju dao načelnu primedbu da Predlog uredbe, kao ni Šifarnik, koji je sastavni deo ove uredbe, nisu podobni za razmatranje, jer akti koji treba da im prethode nisu konačni, odnosno podložni su promenama, što potvrđuje i činjenica da je na internet stranici Ministarstva otvoren poziv za javne konsultacije, dostavljanje komentara, predloga i sugestija do kraja januara 2016. godine. Međutim, u cilju doprinosa efikasnom nastavku rada na unapređenju ovih akata, u mišljenju su date i neke pojedinačne primedbe. U mišljenju je navedeno da je Zakonom o registru zaposlenih, izabranih, imenovanih, postavljenih i angažovanih lica kod korisnika javnih sredstava propisano da se Šifarnik, na osnovu kojeg se unose podaci u Registar radnih mesta zaposlenih, izabranih, imenovanih, postavljenih i angažovanih lica kod korisnika javnih sredstava, utvrđuje aktom Vlade na predlog ministarstva nadležnog za poslove državne uprave. Imajući ovo u vidu, u mišljenju je ukazano da nije jasno zašto Šifarnik ne obuhvata sva radna mesta u skladu s odredbama člana 3. ovog zakona i u skladu sa svojim nazivom, kao i zašto obuhvata zvanja mimo odredaba ovog zakona, odnosno mimo zakonskog ovlašćenja. </w:t>
      </w:r>
    </w:p>
    <w:p w:rsidR="009F6042" w:rsidRPr="004C52E8" w:rsidRDefault="009F6042" w:rsidP="009F6042">
      <w:pPr>
        <w:pStyle w:val="NormalWeb"/>
        <w:spacing w:line="276" w:lineRule="auto"/>
        <w:rPr>
          <w:rFonts w:ascii="Arial" w:hAnsi="Arial" w:cs="Arial"/>
          <w:sz w:val="22"/>
          <w:szCs w:val="22"/>
          <w:lang w:val="sr-Latn-RS"/>
        </w:rPr>
      </w:pPr>
      <w:r w:rsidRPr="009F6042">
        <w:rPr>
          <w:rFonts w:ascii="Arial" w:eastAsia="ヒラギノ角ゴ Pro W3" w:hAnsi="Arial" w:cs="Arial"/>
          <w:color w:val="000000"/>
          <w:sz w:val="22"/>
          <w:szCs w:val="22"/>
          <w:lang w:eastAsia="sr-Cyrl-CS"/>
        </w:rPr>
        <w:t>Pored toga, imajući u vidu da je u nazivu Uredbe korišćen termin Šifarnik radnih mesta, dok je u prilogu Predloga uredbe dostavljen Šifarnik zvanja i radnih mesta u javnom sektoru, a kako nije reč o terminološkoj neusklađenosti, u mišljenju je navedeno da je potrebno još jednom razmotriti predmet Predloga uredbe odnosno Šifarnika, koji čini njen sastavni deo. U delu Šifarnika kojim su utvrđene šifre položaja u drugim državnim organima, umesto položaja, navedena su konkretna radna mesta koja su vezana za postojeću organizaciju. S tim u vezi, ukazano je da je ovo posebno sporno sa aspekta Poverenika, kao i drugih nezavisnih državnih organa na čiju sistematizaciju saglasnost daje Narodna skupština, a ne Vlada Republike Srbije. Ako bi radno mesto službenika na položaju bilo na ovaj način utvrđeno uredbom, to bi značilo da Vlada, nakon svake izmene pravilnika o organizaciji i sistematizaciji radnih mesta nezavisnih državnih organa na koji Narodna skupština daje saglasnost, mora da menja uredbu. Pored toga, u mišljenju je ukazano da prilikom izrade Šifarnika zvanja i radnih mesta u javnom sektoru, kao ni u Nacrtu zakona o sistemu plata zaposlenih u javnom sektoru, nisu u potpunosti prepoznati nezavisni organi i nisu uvažene njihove specifičnosti u pravnom sistemu, kao ni specifičnost poslova koji se obavljaju u ovim organima. Takođe, u mišljenju je na kraju ukazano da je potrebno izvršiti i terminološko usklađivanje Predloga uredbe sa zakonom na osnovu kojeg se uredba donosi, kako bi se izbegle nejasnoće i obezbedila pravna sigurnost u pravnom sistemu Republike Srbije.</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860"/>
        </w:trPr>
        <w:tc>
          <w:tcPr>
            <w:tcW w:w="9072" w:type="dxa"/>
            <w:shd w:val="clear" w:color="auto" w:fill="75E5FB"/>
            <w:vAlign w:val="center"/>
          </w:tcPr>
          <w:p w:rsidR="00135D51" w:rsidRPr="00135D51" w:rsidRDefault="009F6042" w:rsidP="00135D51">
            <w:pPr>
              <w:pStyle w:val="NormalWeb"/>
              <w:spacing w:after="0" w:afterAutospacing="0" w:line="276" w:lineRule="auto"/>
              <w:jc w:val="left"/>
              <w:rPr>
                <w:rFonts w:ascii="Arial" w:hAnsi="Arial" w:cs="Arial"/>
                <w:i/>
                <w:sz w:val="22"/>
                <w:szCs w:val="22"/>
              </w:rPr>
            </w:pPr>
            <w:r w:rsidRPr="009F6042">
              <w:rPr>
                <w:rFonts w:ascii="Arial" w:hAnsi="Arial" w:cs="Arial"/>
                <w:bCs/>
                <w:i/>
                <w:color w:val="000000"/>
                <w:sz w:val="22"/>
                <w:szCs w:val="22"/>
              </w:rPr>
              <w:t>Mišljenje na Predlog uredbe o sprovođenju internog i javnog konkursa za popunjavanje radnih mesta u autonomnim pokrajinama i jedinicama lokalne samouprave</w:t>
            </w:r>
          </w:p>
        </w:tc>
      </w:tr>
    </w:tbl>
    <w:p w:rsidR="009F6042" w:rsidRPr="004C52E8" w:rsidRDefault="009F6042" w:rsidP="00135D51">
      <w:pPr>
        <w:spacing w:before="240" w:after="100" w:afterAutospacing="1" w:line="276" w:lineRule="auto"/>
        <w:rPr>
          <w:rFonts w:cs="Arial"/>
          <w:lang w:val="sr-Latn-RS"/>
        </w:rPr>
      </w:pPr>
      <w:r w:rsidRPr="009F6042">
        <w:rPr>
          <w:rFonts w:eastAsia="ヒラギノ角ゴ Pro W3" w:cs="Arial"/>
          <w:color w:val="000000"/>
          <w:lang w:eastAsia="sr-Cyrl-CS"/>
        </w:rPr>
        <w:t xml:space="preserve">Postupajući po zahtevu Ministarstva državne uprave i lokalne samouprave od 19. septembra 2016. godine, dato je mišljenje na Predlog uredbe o sprovođenju internog i javnog konkursa za popunjavanje radnih mesta u autonomnim pokrajinama i jedinicama lokalne samouprave. Predlogom uredbe propisano je: „Potreba za zapošljavanjem pripadnika određene nacionalne manjine proizilazi iz odnosa broja zaposlenih koji su se izjasnili kao pripadnici </w:t>
      </w:r>
      <w:r w:rsidRPr="009F6042">
        <w:rPr>
          <w:rFonts w:eastAsia="ヒラギノ角ゴ Pro W3" w:cs="Arial"/>
          <w:color w:val="000000"/>
          <w:lang w:eastAsia="sr-Cyrl-CS"/>
        </w:rPr>
        <w:lastRenderedPageBreak/>
        <w:t>pojedine nacionalne manjine i njihove zastupljenosti u stanovništvu, pod uslovom da se o svojoj nacionalnoj pripadnosti izjasnilo 50% zaposlenih u jedinici lokalne samouprave odnosno autonomne pokrajine.“ Imajući u vidu da je prema odredbi člana 47. Ustava Republike Srbije izražavanje nacionalne pripadnosti slobodno i da niko nije dužan da se izjašnjava o svojoj nacionalnoj pripadnosti, ukazano je na to da ostaje nejasan način utvrđivanja zastupljenosti pripadnika nacionalnih manjina, kao i uslov o procentu izjašnjenih od 50% zaposlenih u jedinici lokalne samouprave, odnosno autonomne pokrajine. S tim u vezi, u mišljenju je navedeno da je pomenutu odredbu potrebno uskladiti s odredbom Zakona o zaposlenima u autonomnim pokrajinama i jedinicama lokalne samouprave („Službeni glasnik RS“, broj 21/16). S ciljem primene rodno osetljivog jezika u mišljenju je predloženo da se u Predlog uredbe unese i odredba kojom će se propisati da svi pojmovi upotrebljeni u muškom gramatičkom rodu obuhvataju muški i ženski rod lica na koja se odnose.</w:t>
      </w:r>
    </w:p>
    <w:tbl>
      <w:tblPr>
        <w:tblW w:w="9072" w:type="dxa"/>
        <w:tblInd w:w="108" w:type="dxa"/>
        <w:shd w:val="clear" w:color="auto" w:fill="75E5FB"/>
        <w:tblLook w:val="04A0" w:firstRow="1" w:lastRow="0" w:firstColumn="1" w:lastColumn="0" w:noHBand="0" w:noVBand="1"/>
      </w:tblPr>
      <w:tblGrid>
        <w:gridCol w:w="9072"/>
      </w:tblGrid>
      <w:tr w:rsidR="00135D51" w:rsidRPr="00135D51" w:rsidTr="00135D51">
        <w:tc>
          <w:tcPr>
            <w:tcW w:w="9072" w:type="dxa"/>
            <w:shd w:val="clear" w:color="auto" w:fill="75E5FB"/>
            <w:vAlign w:val="center"/>
          </w:tcPr>
          <w:p w:rsidR="00135D51" w:rsidRPr="00135D51" w:rsidRDefault="009F6042" w:rsidP="00135D51">
            <w:pPr>
              <w:pStyle w:val="NormalWeb"/>
              <w:spacing w:after="0" w:afterAutospacing="0" w:line="276" w:lineRule="auto"/>
              <w:jc w:val="left"/>
              <w:rPr>
                <w:rFonts w:ascii="Arial" w:hAnsi="Arial" w:cs="Arial"/>
                <w:i/>
                <w:sz w:val="22"/>
                <w:szCs w:val="22"/>
              </w:rPr>
            </w:pPr>
            <w:r w:rsidRPr="009F6042">
              <w:rPr>
                <w:rFonts w:ascii="Arial" w:hAnsi="Arial" w:cs="Arial"/>
                <w:bCs/>
                <w:i/>
                <w:color w:val="000000"/>
                <w:sz w:val="22"/>
                <w:szCs w:val="22"/>
              </w:rPr>
              <w:t>Mišljenje na Predlog uredbe o kriterijumima za razvrstavanje radnih mesta i merilima za opis radnih mesta službenika u autonomnim pokrajinama i jedinicama lokalne samouprave</w:t>
            </w:r>
          </w:p>
        </w:tc>
      </w:tr>
    </w:tbl>
    <w:p w:rsidR="009F6042" w:rsidRPr="009F6042" w:rsidRDefault="009F6042" w:rsidP="009F6042">
      <w:pPr>
        <w:pStyle w:val="NormalWeb"/>
        <w:spacing w:before="0" w:line="276" w:lineRule="auto"/>
        <w:rPr>
          <w:rFonts w:ascii="Arial" w:eastAsia="ヒラギノ角ゴ Pro W3" w:hAnsi="Arial" w:cs="Arial"/>
          <w:color w:val="000000"/>
          <w:sz w:val="22"/>
          <w:szCs w:val="22"/>
          <w:lang w:eastAsia="sr-Cyrl-CS"/>
        </w:rPr>
      </w:pPr>
      <w:r w:rsidRPr="009F6042">
        <w:rPr>
          <w:rFonts w:ascii="Arial" w:eastAsia="ヒラギノ角ゴ Pro W3" w:hAnsi="Arial" w:cs="Arial"/>
          <w:color w:val="000000"/>
          <w:sz w:val="22"/>
          <w:szCs w:val="22"/>
          <w:lang w:eastAsia="sr-Cyrl-CS"/>
        </w:rPr>
        <w:t>Poverenik je na zahtev Ministarstva državne uprave i lokalne samouprave od 19. septembra 2016. godine, dao mišljenje na Predlog uredbe o kriterijumima za razvrstavanje radnih mesta i merilima za opis radnih mesta službenika u autonomnim pokrajinama i jedinicama lokalne samouprave. U mišljenju je navedeno da se pitanja kriterijuma za razvrstavanje radnih mesta i merila za opis radnih mesta službenika u autonomnim pokrajinama i jedinicama lokalne samouprave urede na način kojim će omogućiti poštovanje načela ravnopravnosti, kako bi se svima obezbedila  jednaka prava i sprečila svaka eventualna nejednakost i diskriminacija.</w:t>
      </w:r>
    </w:p>
    <w:p w:rsidR="009F6042" w:rsidRDefault="009F6042" w:rsidP="009F6042">
      <w:pPr>
        <w:pStyle w:val="NormalWeb"/>
        <w:spacing w:before="0" w:beforeAutospacing="0" w:line="276" w:lineRule="auto"/>
        <w:rPr>
          <w:rFonts w:ascii="Arial" w:eastAsia="ヒラギノ角ゴ Pro W3" w:hAnsi="Arial" w:cs="Arial"/>
          <w:color w:val="000000"/>
          <w:sz w:val="22"/>
          <w:szCs w:val="22"/>
          <w:lang w:val="sr-Latn-RS" w:eastAsia="sr-Cyrl-CS"/>
        </w:rPr>
      </w:pPr>
      <w:r w:rsidRPr="009F6042">
        <w:rPr>
          <w:rFonts w:ascii="Arial" w:eastAsia="ヒラギノ角ゴ Pro W3" w:hAnsi="Arial" w:cs="Arial"/>
          <w:color w:val="000000"/>
          <w:sz w:val="22"/>
          <w:szCs w:val="22"/>
          <w:lang w:eastAsia="sr-Cyrl-CS"/>
        </w:rPr>
        <w:t>Pored toga, Poverenik za zaštitu ravnopravnosti je ukazao da je u cilju primene rodno osetljivog jezika u Predlog uredbe potrebno uneti odredbu kojom bi bilo propisano da svi pojmovi upotrebljeni u muškom gramatičkom rodu obuhvataju muški i ženski rod lica na koja se odnose. Takođe je načelno ukazano na to da se odredbom člana 8. Predloga uredbe, kojom je definisan način na koji se razvrstavaju izvršilačka radna mesta i kojom su utvrđena zvanja u koja se razvrstavaju radna mesta, i to zvanje samostalni savetnik, savetnik, mlađi savetnik, saradnik, mlađi saradnik, viši referent, referent i mlađi referent, s tim da se izuzetno u organima autonomnih pokrajina i grada Beograda utvrđuje zvanje viši savetnik, dovodi do nejednakog tretmana zaposlenih u organima autonomne pokrajine i grada Beograda u odnosu na zaposlene u drugima organima na koje se Uredba odnosi, kao i punog ostvarivanja prava iz radnog odnosa (npr. prava na napredovanje i adekvatan premeštaj). U mišljenju je ukazano na to da je i u jedinicama lokalne samouprave, gradskim opštinama i drugim službama i organizacijama na koje se primenjuje Zakon o zaposlenima u autonomnim pokrajinama i jedinicama lokalne samouprave, jednako trebalo da bude propisano zvanje višeg savetnika, imajući u vidu poslove iz nadležnosti ovih organa koji podrazumevaju veoma visoku složenost poslova.</w:t>
      </w:r>
    </w:p>
    <w:p w:rsidR="004C52E8" w:rsidRPr="004C52E8" w:rsidRDefault="004C52E8" w:rsidP="009F6042">
      <w:pPr>
        <w:pStyle w:val="NormalWeb"/>
        <w:spacing w:before="0" w:beforeAutospacing="0" w:line="276" w:lineRule="auto"/>
        <w:rPr>
          <w:rFonts w:ascii="Arial" w:eastAsia="ヒラギノ角ゴ Pro W3" w:hAnsi="Arial" w:cs="Arial"/>
          <w:color w:val="000000"/>
          <w:sz w:val="22"/>
          <w:szCs w:val="22"/>
          <w:lang w:val="sr-Latn-RS" w:eastAsia="sr-Cyrl-CS"/>
        </w:rPr>
      </w:pPr>
    </w:p>
    <w:tbl>
      <w:tblPr>
        <w:tblW w:w="0" w:type="auto"/>
        <w:tblInd w:w="108" w:type="dxa"/>
        <w:shd w:val="clear" w:color="auto" w:fill="75E5FB"/>
        <w:tblLook w:val="04A0" w:firstRow="1" w:lastRow="0" w:firstColumn="1" w:lastColumn="0" w:noHBand="0" w:noVBand="1"/>
      </w:tblPr>
      <w:tblGrid>
        <w:gridCol w:w="9072"/>
      </w:tblGrid>
      <w:tr w:rsidR="00135D51" w:rsidRPr="00135D51" w:rsidTr="00135D51">
        <w:tc>
          <w:tcPr>
            <w:tcW w:w="9072" w:type="dxa"/>
            <w:shd w:val="clear" w:color="auto" w:fill="75E5FB"/>
            <w:vAlign w:val="center"/>
          </w:tcPr>
          <w:p w:rsidR="00135D51" w:rsidRPr="00135D51" w:rsidRDefault="009F6042" w:rsidP="00DE1D8E">
            <w:pPr>
              <w:pStyle w:val="NormalWeb"/>
              <w:spacing w:before="120" w:beforeAutospacing="0" w:after="0" w:afterAutospacing="0" w:line="276" w:lineRule="auto"/>
              <w:jc w:val="left"/>
              <w:rPr>
                <w:rFonts w:ascii="Arial" w:hAnsi="Arial" w:cs="Arial"/>
                <w:i/>
                <w:sz w:val="22"/>
                <w:szCs w:val="22"/>
              </w:rPr>
            </w:pPr>
            <w:r w:rsidRPr="009F6042">
              <w:rPr>
                <w:rFonts w:ascii="Arial" w:hAnsi="Arial" w:cs="Arial"/>
                <w:bCs/>
                <w:i/>
                <w:sz w:val="22"/>
                <w:szCs w:val="22"/>
              </w:rPr>
              <w:t>Mišljenje na Predlog zaključka o usvajanju Operativnog plana aktivnosti za uspostavljanje jedinstvenog javnog registra administrativnih postupaka i ostalih uslova poslovanja, Uputstva za sprovođenje popisa administrativnih postupaka i Obrasca za popis administrativnih postupaka koji se odnose na poslovanje</w:t>
            </w:r>
          </w:p>
        </w:tc>
      </w:tr>
    </w:tbl>
    <w:p w:rsidR="009F6042" w:rsidRPr="009F6042" w:rsidRDefault="009F6042" w:rsidP="00DE1D8E">
      <w:pPr>
        <w:spacing w:before="240" w:after="100" w:afterAutospacing="1" w:line="276" w:lineRule="auto"/>
        <w:rPr>
          <w:rFonts w:eastAsia="ヒラギノ角ゴ Pro W3" w:cs="Arial"/>
          <w:color w:val="000000"/>
          <w:lang w:val="sr-Latn-RS" w:eastAsia="sr-Cyrl-CS"/>
        </w:rPr>
      </w:pPr>
      <w:r w:rsidRPr="009F6042">
        <w:rPr>
          <w:rFonts w:cs="Arial"/>
          <w:color w:val="000000"/>
          <w:lang w:eastAsia="sr-Cyrl-CS"/>
        </w:rPr>
        <w:lastRenderedPageBreak/>
        <w:t>Na zahtev Republičkog sekretarijata za javne politike od 8. decembra 2016. godine, dato je mišljenje na Predlog zaključka o usvajanju Operativnog plana aktivnosti za uspostavljanje jedinstvenog javnog registra administrativnih postupaka i ostalih uslova poslovanja, Uputstva za sprovođenje popisa administrativnih postupaka i Obrasca za popis administrativnih postupaka koji se odnose na poslovanje, u kojem se navodi da Poverenik za zaštitu ravnopravnosti u okviru svoje nadležnosti ne sprovodi administrativne postupke koji su u vezi s poslovanjem privrednih subjekata.</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c>
          <w:tcPr>
            <w:tcW w:w="9072" w:type="dxa"/>
            <w:shd w:val="clear" w:color="auto" w:fill="75E5FB"/>
            <w:vAlign w:val="center"/>
          </w:tcPr>
          <w:p w:rsidR="00135D51" w:rsidRPr="00135D51" w:rsidRDefault="009F6042" w:rsidP="00135D51">
            <w:pPr>
              <w:spacing w:after="0" w:line="276" w:lineRule="auto"/>
              <w:jc w:val="left"/>
              <w:rPr>
                <w:rFonts w:cs="Arial"/>
                <w:bCs/>
                <w:color w:val="000000"/>
              </w:rPr>
            </w:pPr>
            <w:r w:rsidRPr="009F6042">
              <w:rPr>
                <w:rFonts w:cs="Arial"/>
                <w:bCs/>
                <w:i/>
                <w:color w:val="000000"/>
              </w:rPr>
              <w:t>Mišljenje na Nacrt zakona o Agenciji za borbu protiv korupcije – nakon održane javne rasprave</w:t>
            </w:r>
          </w:p>
        </w:tc>
      </w:tr>
    </w:tbl>
    <w:p w:rsidR="009F6042" w:rsidRPr="009F6042" w:rsidRDefault="009F6042" w:rsidP="009F6042">
      <w:pPr>
        <w:pStyle w:val="NormalWeb"/>
        <w:spacing w:line="276" w:lineRule="auto"/>
        <w:rPr>
          <w:rFonts w:ascii="Arial" w:hAnsi="Arial" w:cs="Arial"/>
          <w:sz w:val="22"/>
          <w:szCs w:val="22"/>
        </w:rPr>
      </w:pPr>
      <w:r w:rsidRPr="009F6042">
        <w:rPr>
          <w:rFonts w:ascii="Arial" w:hAnsi="Arial" w:cs="Arial"/>
          <w:sz w:val="22"/>
          <w:szCs w:val="22"/>
        </w:rPr>
        <w:t>Poverenik za zaštitu ravnopravnosti je prisustvovao debati koja je u vezi s Nacrtom zakona o Agenciji za borbu protiv korupcije održana 21. novembra 2016. godine na Fakultetu političkih nauka u Beogradu. U mišljenju je navedeno da je, imajući u vidu ovlašćenja, način izbora članova odbora i činjenicu da su dva nezavisna državna organa – Zaštitnik građana i Poverenik za informacije od javnog značaja i zaštitu podataka o ličnosti – ovlašćeni predlagači članova odbora, da je u ovlašćene predlagače potrebno uvrstiti i Poverenika za zaštitu ravnopravnosti, koji je samostalan državni organ ustanovljen Zakonom o zabrani diskriminacije, nezavisan u obavljanju poslova utvrđenih ovim zakonom, sa širokim krugom zakonskih ovlašćenja koje ga čine centralnim nacionalnim mehanizmom za sprečavanje i suzbijanje svih oblika i vidova diskriminacije.</w:t>
      </w:r>
    </w:p>
    <w:p w:rsidR="009F6042" w:rsidRPr="009F6042" w:rsidRDefault="009F6042" w:rsidP="009F6042">
      <w:pPr>
        <w:pStyle w:val="NormalWeb"/>
        <w:spacing w:line="276" w:lineRule="auto"/>
        <w:rPr>
          <w:rFonts w:ascii="Arial" w:hAnsi="Arial" w:cs="Arial"/>
          <w:sz w:val="22"/>
          <w:szCs w:val="22"/>
          <w:lang w:val="sr-Latn-RS"/>
        </w:rPr>
      </w:pPr>
      <w:r w:rsidRPr="009F6042">
        <w:rPr>
          <w:rFonts w:ascii="Arial" w:hAnsi="Arial" w:cs="Arial"/>
          <w:sz w:val="22"/>
          <w:szCs w:val="22"/>
        </w:rPr>
        <w:t>U datom mišljenju posebno je analizirana odredba člana 31. stav 2, kojom je propisano da „državni službenici u službi Agencije podležu istim zabranama i obavezama kojima prema ovom zakonu podležu javni funkcioneri, izuzev ograničenjima po prestanku javne funkcije (član 55)“. Istovremeno, stavom 3. određeno je da se „državnom službeniku u službi Agencije koji povredi ovaj zakon, izriče disciplinska kazna koja se, prema zakonu kojim se uređuju državni službenici, može izreći za teže povrede dužnosti iz radnog odnosa“. U mišljenju je navedeno da je Zakonom o državnim službenicima</w:t>
      </w:r>
      <w:r w:rsidR="00182F27">
        <w:rPr>
          <w:rStyle w:val="FootnoteReference"/>
          <w:rFonts w:ascii="Arial" w:hAnsi="Arial" w:cs="Arial"/>
          <w:sz w:val="22"/>
          <w:szCs w:val="22"/>
        </w:rPr>
        <w:footnoteReference w:id="262"/>
      </w:r>
      <w:r w:rsidRPr="009F6042">
        <w:rPr>
          <w:rFonts w:ascii="Arial" w:hAnsi="Arial" w:cs="Arial"/>
          <w:sz w:val="22"/>
          <w:szCs w:val="22"/>
        </w:rPr>
        <w:t xml:space="preserve">  u članu 1. stav 2. propisano da se pojedina prava i dužnosti državnih službenika u pojedinim državnim organima mogu posebnim zakonom urediti i drukčije ako to proizlazi iz prirode njihovih poslova. Međutim, iako priroda posla koji obavljaju zaposleni u Agenciji za borbu protiv korupcije daje osnova za drukčije uređenje pojedinih (ne svih) prava i dužnosti, Nacrtom zakona položaj državnih službenika na izvršilačkim radnim mestima u službi Agencije nije uređen na sistemski način, niti u duhu navedene odredbe Zakona o državnim službenicima. Poverenik je ukazao da propisivanje posebnih obaveza za državne službenike na izvršilačkim radnim mestima ne prati i propisivanje odgovarajućih prava. Takvo rešenje se ne može smatrati drukčijim uređivanjem pojedinih prava i obaveza državnih službenika, već se radi o tome da se državni službenici na izvršilačkim radnim mestima upodobljavaju javnim funkcionerima na način koji nije u skladu s temeljnim propisima kojima je uređen položaj državnih službenika. Naime, Zakon o državnim službenicima u pogledu prava i obaveza jasno razlikuje državne službenike na izvršilačkim mestima i državne službenike na položaju koji su u smislu Nacrta zakona – javni funkcioneri. Pored toga, u mišljenju je ukazano na to da Nacrt zakona na različit način sankcioniše povrede odredaba tog zakona zavisno od toga da li je odredbe zakona povredio državni službenik na izvršilačkom radnom mestu ili javni </w:t>
      </w:r>
      <w:r w:rsidRPr="009F6042">
        <w:rPr>
          <w:rFonts w:ascii="Arial" w:hAnsi="Arial" w:cs="Arial"/>
          <w:sz w:val="22"/>
          <w:szCs w:val="22"/>
        </w:rPr>
        <w:lastRenderedPageBreak/>
        <w:t>funkcioner. Na taj način se lica koja su u odnosu na obaveze i zabrane Nacrtom zakona izjednačena, stavljaju u nejednak položaj kada se radi o sankcijama koje im se mogu izreći za povredu odredaba tog zakona, odnosno za istovetnu povredu zakona mogu se izreći mere koje su i po vrsti i po težini posledica bitno različite, a u zavisnosti od toga da li se radi o javnom funkcioneru ili državnom službeniku na izvršilačkom radnom mestu. Takođe, u tekstu Nacrta zakona navedene su reči u muškom rodu (npr. javni funkcioner, odbornik, direktor), kao generički neutralni termini i za muški i ženski rod, čime se narušava princip ravnopravnosti polova, te je u tom smislu predloženo usaglašavanje ove odredbe s antidiskriminacionim propisima.</w:t>
      </w:r>
    </w:p>
    <w:tbl>
      <w:tblPr>
        <w:tblW w:w="0" w:type="auto"/>
        <w:tblInd w:w="108" w:type="dxa"/>
        <w:shd w:val="clear" w:color="auto" w:fill="75E5FB"/>
        <w:tblLook w:val="04A0" w:firstRow="1" w:lastRow="0" w:firstColumn="1" w:lastColumn="0" w:noHBand="0" w:noVBand="1"/>
      </w:tblPr>
      <w:tblGrid>
        <w:gridCol w:w="9072"/>
      </w:tblGrid>
      <w:tr w:rsidR="00135D51" w:rsidRPr="00135D51" w:rsidTr="00135D51">
        <w:trPr>
          <w:trHeight w:val="451"/>
        </w:trPr>
        <w:tc>
          <w:tcPr>
            <w:tcW w:w="9072" w:type="dxa"/>
            <w:shd w:val="clear" w:color="auto" w:fill="75E5FB"/>
            <w:vAlign w:val="center"/>
          </w:tcPr>
          <w:p w:rsidR="00135D51" w:rsidRPr="00135D51" w:rsidRDefault="00182F27" w:rsidP="00135D51">
            <w:pPr>
              <w:pStyle w:val="Body"/>
              <w:tabs>
                <w:tab w:val="left" w:pos="9072"/>
              </w:tabs>
              <w:spacing w:after="100" w:afterAutospacing="1" w:line="276" w:lineRule="auto"/>
              <w:rPr>
                <w:rFonts w:ascii="Arial" w:hAnsi="Arial" w:cs="Arial"/>
                <w:b/>
                <w:sz w:val="22"/>
                <w:szCs w:val="22"/>
                <w:lang w:val="sr-Cyrl-CS"/>
              </w:rPr>
            </w:pPr>
            <w:r w:rsidRPr="00182F27">
              <w:rPr>
                <w:rStyle w:val="Strong"/>
                <w:rFonts w:ascii="Arial" w:hAnsi="Arial" w:cs="Arial"/>
                <w:b w:val="0"/>
                <w:i/>
                <w:sz w:val="22"/>
                <w:szCs w:val="22"/>
                <w:lang w:val="sr-Cyrl-CS"/>
              </w:rPr>
              <w:t>Ostala mišljenja na nacrte zakona i drugih akata</w:t>
            </w:r>
          </w:p>
        </w:tc>
      </w:tr>
    </w:tbl>
    <w:p w:rsidR="00182F27" w:rsidRPr="00182F27" w:rsidRDefault="00182F27" w:rsidP="00182F27">
      <w:pPr>
        <w:pStyle w:val="NormalWeb"/>
        <w:spacing w:line="276" w:lineRule="auto"/>
        <w:rPr>
          <w:rFonts w:ascii="Arial" w:eastAsia="ヒラギノ角ゴ Pro W3" w:hAnsi="Arial" w:cs="Arial"/>
          <w:bCs/>
          <w:color w:val="000000"/>
          <w:sz w:val="22"/>
          <w:szCs w:val="22"/>
          <w:lang w:eastAsia="sr-Cyrl-CS"/>
        </w:rPr>
      </w:pPr>
      <w:r w:rsidRPr="00182F27">
        <w:rPr>
          <w:rFonts w:ascii="Arial" w:eastAsia="ヒラギノ角ゴ Pro W3" w:hAnsi="Arial" w:cs="Arial"/>
          <w:bCs/>
          <w:color w:val="000000"/>
          <w:sz w:val="22"/>
          <w:szCs w:val="22"/>
          <w:lang w:eastAsia="sr-Cyrl-CS"/>
        </w:rPr>
        <w:t xml:space="preserve">U mišljenjima na: Nacrt zakona o jedinstvenom matičnom broju građana, Nacrt zakona o izmenama i dopunama Zakona o plovidbi i lukama na unutrašnjim vodama, Nacrt zakona o izmenama i dopunama Zakona o komunalnoj delatnosti, Nacrt zakona o izmenama i dopunama Zakona o odbrani, Nacrt zakona o nacionalnom DNK registru, Predlog uredbe o sprovođenju internog i javnog konkursa za popunjavanje radnih mesta u autonomnim pokrajinama i jedinicama lokalne samouprave, Predlog uredbe o kriterijumima za razvrstavanje radnih mesta i merilima za opis radnih mesta nameštenika u autonomnim pokrajinama i jedinicama lokalne samouprave, Predlog uredbe o kriterijumima za razvrstavanje radnih mesta i merilima za opis radnih mesta službenika u autonomnim pokrajinama i jedinicama lokalne samouprave i Predlog uredbe o preventivnim merama za bezbedan i zdrav rad pri korišćenju oštrih predmeta koji su medicinska sredstva u zdravstvenoj službi, data je primedba da je u navedenim tekstovima potrebno propisati upotrebu rodno diferenciranog jezika, bilo korišćenjem forme i reči u muškom i ženskom rodu ili uvođenjem klauzule da se sve odredbe akta podjednako odnose i na muškarce i žene,  </w:t>
      </w:r>
    </w:p>
    <w:p w:rsidR="00182F27" w:rsidRPr="00182F27" w:rsidRDefault="00182F27" w:rsidP="00182F27">
      <w:pPr>
        <w:pStyle w:val="NormalWeb"/>
        <w:spacing w:line="276" w:lineRule="auto"/>
        <w:rPr>
          <w:rFonts w:ascii="Arial" w:eastAsia="ヒラギノ角ゴ Pro W3" w:hAnsi="Arial" w:cs="Arial"/>
          <w:bCs/>
          <w:color w:val="000000"/>
          <w:sz w:val="22"/>
          <w:szCs w:val="22"/>
          <w:lang w:eastAsia="sr-Cyrl-CS"/>
        </w:rPr>
      </w:pPr>
      <w:r w:rsidRPr="00182F27">
        <w:rPr>
          <w:rFonts w:ascii="Arial" w:eastAsia="ヒラギノ角ゴ Pro W3" w:hAnsi="Arial" w:cs="Arial"/>
          <w:bCs/>
          <w:color w:val="000000"/>
          <w:sz w:val="22"/>
          <w:szCs w:val="22"/>
          <w:lang w:eastAsia="sr-Cyrl-CS"/>
        </w:rPr>
        <w:t xml:space="preserve">Poverenik za zaštitu ravnopravnosti sa aspekta delokruga svoje nadležnosti dao je mišljenje bez primedaba na Nacrt zakona o zaštiti stanovništva od zaraznih bolesti, Nacrt zakona o javnom zdravlju, Nacrt zakona o transportu opasne robe, Predlog zaključka kojim Vlada prihvatila Izveštaj Političkog saveta o sprovođenju Nacionalnog akcionog plana za primenu Rezolucije 1325 Saveta bezbednosti Ujedinjenih nacija – Žene, mir i bezbednost u Republici Srbiji (2010–2015) u 2015. godini, kao i na Nacrt akcionog plana za sprovođenje Strategije odbrane Republike Srbije, sa Predlogom zaključka. </w:t>
      </w:r>
    </w:p>
    <w:p w:rsidR="00182F27" w:rsidRPr="00182F27" w:rsidRDefault="00182F27" w:rsidP="00182F27">
      <w:pPr>
        <w:pStyle w:val="NormalWeb"/>
        <w:spacing w:line="276" w:lineRule="auto"/>
        <w:rPr>
          <w:rFonts w:ascii="Arial" w:eastAsia="ヒラギノ角ゴ Pro W3" w:hAnsi="Arial" w:cs="Arial"/>
          <w:bCs/>
          <w:color w:val="000000"/>
          <w:sz w:val="22"/>
          <w:szCs w:val="22"/>
          <w:lang w:eastAsia="sr-Cyrl-CS"/>
        </w:rPr>
      </w:pPr>
      <w:r w:rsidRPr="00182F27">
        <w:rPr>
          <w:rFonts w:ascii="Arial" w:eastAsia="ヒラギノ角ゴ Pro W3" w:hAnsi="Arial" w:cs="Arial"/>
          <w:bCs/>
          <w:color w:val="000000"/>
          <w:sz w:val="22"/>
          <w:szCs w:val="22"/>
          <w:lang w:eastAsia="sr-Cyrl-CS"/>
        </w:rPr>
        <w:t>U 2016. godini Poverenik za zaštitu ravnopravnosti dao je mišljenja na Predlog zaključka kojim se usvaja Predlog Pregovaračke pozicije Republike Srbije za Međuvladinu konferenciju o pristupanju Republike Srbije Evropskoj uniji za pregovaračko poglavlje 23 – pravosuđe i osnovna prava i na Predlog zaključka kojim se usvaja Predlog teksta Akcionog plana za pregovaračko poglavlje 23 – Pravosuđe i osnovna prava u okviru pristupnih pregovora Republike Srbije sa Evropskom unijom.</w:t>
      </w:r>
    </w:p>
    <w:p w:rsidR="00182F27" w:rsidRPr="00182F27" w:rsidRDefault="00182F27" w:rsidP="00182F27">
      <w:pPr>
        <w:pStyle w:val="NormalWeb"/>
        <w:spacing w:line="276" w:lineRule="auto"/>
        <w:rPr>
          <w:rFonts w:ascii="Arial" w:eastAsia="ヒラギノ角ゴ Pro W3" w:hAnsi="Arial" w:cs="Arial"/>
          <w:bCs/>
          <w:color w:val="000000"/>
          <w:sz w:val="22"/>
          <w:szCs w:val="22"/>
          <w:lang w:eastAsia="sr-Cyrl-CS"/>
        </w:rPr>
      </w:pPr>
      <w:r w:rsidRPr="00182F27">
        <w:rPr>
          <w:rFonts w:ascii="Arial" w:eastAsia="ヒラギノ角ゴ Pro W3" w:hAnsi="Arial" w:cs="Arial"/>
          <w:bCs/>
          <w:color w:val="000000"/>
          <w:sz w:val="22"/>
          <w:szCs w:val="22"/>
          <w:lang w:eastAsia="sr-Cyrl-CS"/>
        </w:rPr>
        <w:t xml:space="preserve">U toku 2016. godine data su i četiri mišljenja na nacrte akcionih planova i to: Mišljenje na Predlog akcionog plana za ostvarivanje prava nacionalnih manjina, Mišljenje na Nacrt akcionog plana za sprovođenje inkluzivnog obrazovanja 2015–2020, Mišljenje na Nacrt nacionalnog akcionog plana za primenu Rezolucije 1325 Saveta bezbednosti Ujedinjenih nacija – Žene, mir i bezbednost u Republici Srbiji (2016–2020) i Mišljenje na Nacrt akcionog </w:t>
      </w:r>
      <w:r w:rsidRPr="00182F27">
        <w:rPr>
          <w:rFonts w:ascii="Arial" w:eastAsia="ヒラギノ角ゴ Pro W3" w:hAnsi="Arial" w:cs="Arial"/>
          <w:bCs/>
          <w:color w:val="000000"/>
          <w:sz w:val="22"/>
          <w:szCs w:val="22"/>
          <w:lang w:eastAsia="sr-Cyrl-CS"/>
        </w:rPr>
        <w:lastRenderedPageBreak/>
        <w:t>plana za primenu Strategije za socijalno uključivanje Roma i Romkinja u Republici Srbiji 2016–2025. godine, za period 2016–2018. godine.</w:t>
      </w:r>
    </w:p>
    <w:p w:rsidR="00182F27" w:rsidRPr="00182F27" w:rsidRDefault="00182F27" w:rsidP="00182F27">
      <w:pPr>
        <w:pStyle w:val="NormalWeb"/>
        <w:spacing w:line="276" w:lineRule="auto"/>
        <w:rPr>
          <w:rFonts w:ascii="Arial" w:eastAsia="ヒラギノ角ゴ Pro W3" w:hAnsi="Arial" w:cs="Arial"/>
          <w:bCs/>
          <w:color w:val="000000"/>
          <w:sz w:val="22"/>
          <w:szCs w:val="22"/>
          <w:lang w:eastAsia="sr-Cyrl-CS"/>
        </w:rPr>
      </w:pPr>
      <w:r w:rsidRPr="00182F27">
        <w:rPr>
          <w:rFonts w:ascii="Arial" w:eastAsia="ヒラギノ角ゴ Pro W3" w:hAnsi="Arial" w:cs="Arial"/>
          <w:bCs/>
          <w:color w:val="000000"/>
          <w:sz w:val="22"/>
          <w:szCs w:val="22"/>
          <w:lang w:eastAsia="sr-Cyrl-CS"/>
        </w:rPr>
        <w:t>Na zahtev JKP GSP „Beograd“ iz Beograda, dato je mišljenje na čl. 46. i 77. Predloga pravilnika o obavezama saobraćajnog osoblja JKP GSP „Beograd“ iz Beograda o rešenjima sadržanim u odredbama navedenih članova, koja su relevantna sa aspekta propisa o zabrani diskriminacije.</w:t>
      </w:r>
    </w:p>
    <w:p w:rsidR="00182F27" w:rsidRPr="00182F27" w:rsidRDefault="00182F27" w:rsidP="00182F27">
      <w:pPr>
        <w:pStyle w:val="NormalWeb"/>
        <w:spacing w:line="276" w:lineRule="auto"/>
        <w:rPr>
          <w:rFonts w:ascii="Arial" w:eastAsia="ヒラギノ角ゴ Pro W3" w:hAnsi="Arial" w:cs="Arial"/>
          <w:bCs/>
          <w:color w:val="000000"/>
          <w:sz w:val="22"/>
          <w:szCs w:val="22"/>
          <w:lang w:eastAsia="sr-Cyrl-CS"/>
        </w:rPr>
      </w:pPr>
      <w:r w:rsidRPr="00182F27">
        <w:rPr>
          <w:rFonts w:ascii="Arial" w:eastAsia="ヒラギノ角ゴ Pro W3" w:hAnsi="Arial" w:cs="Arial"/>
          <w:bCs/>
          <w:color w:val="000000"/>
          <w:sz w:val="22"/>
          <w:szCs w:val="22"/>
          <w:lang w:eastAsia="sr-Cyrl-CS"/>
        </w:rPr>
        <w:t xml:space="preserve">Na zahtev Zavoda za unapređivanje obrazovanja i vaspitanja, u skladu s odredbama člana 11. Zakona o udžbenicima („Službeni glasnik RS“, broj 68/15) i člana 4. stav 1. Pravilnika o načinu i postupku davanja stručne ocene i stručnog mišljenja o kvalitetu rukopisa udžbenika, priručnika i nastavnog materijala, dodatnih nastavnih sredstava, nastavnih pomagala, didaktičkih sredstva i didaktičkih igrovnih sredstava („Službeni glasnik RS“, broj 75/15), dato je mišljenje o mogućim diskriminatornim sadržajima u rukopisu dodatka udžbeniku Svijet oko nas, Dodatak za nastavu na bosanskom jeziku za prvi razred osnovne škole. </w:t>
      </w:r>
    </w:p>
    <w:p w:rsidR="00182F27" w:rsidRDefault="00182F27" w:rsidP="00182F27">
      <w:pPr>
        <w:pStyle w:val="NormalWeb"/>
        <w:spacing w:line="276" w:lineRule="auto"/>
        <w:rPr>
          <w:rFonts w:ascii="Arial" w:eastAsia="ヒラギノ角ゴ Pro W3" w:hAnsi="Arial" w:cs="Arial"/>
          <w:bCs/>
          <w:color w:val="000000"/>
          <w:sz w:val="22"/>
          <w:szCs w:val="22"/>
          <w:lang w:val="sr-Latn-RS" w:eastAsia="sr-Cyrl-CS"/>
        </w:rPr>
      </w:pPr>
      <w:r w:rsidRPr="00182F27">
        <w:rPr>
          <w:rFonts w:ascii="Arial" w:eastAsia="ヒラギノ角ゴ Pro W3" w:hAnsi="Arial" w:cs="Arial"/>
          <w:bCs/>
          <w:color w:val="000000"/>
          <w:sz w:val="22"/>
          <w:szCs w:val="22"/>
          <w:lang w:eastAsia="sr-Cyrl-CS"/>
        </w:rPr>
        <w:t>Kabinet potpredsednika Vlade, dopisom od 26. decembra 2016. godine, dostavio je Povereniku za zaštitu ravnopravnosti Nacrt zakona o rodnoj ravnopravnosti, radi davanja mišljenja. Prikaz ovog mišljenja biće dat u Redovnom godišnjem izveštaju za 2017. godinu.</w:t>
      </w:r>
    </w:p>
    <w:p w:rsidR="00182F27" w:rsidRPr="00182F27" w:rsidRDefault="00182F27" w:rsidP="00182F27">
      <w:pPr>
        <w:pStyle w:val="NormalWeb"/>
        <w:spacing w:line="276" w:lineRule="auto"/>
        <w:rPr>
          <w:rFonts w:ascii="Arial" w:eastAsia="ヒラギノ角ゴ Pro W3" w:hAnsi="Arial" w:cs="Arial"/>
          <w:color w:val="000000"/>
          <w:sz w:val="22"/>
          <w:szCs w:val="22"/>
          <w:lang w:val="sr-Latn-RS" w:eastAsia="sr-Cyrl-CS"/>
        </w:rPr>
      </w:pPr>
    </w:p>
    <w:p w:rsidR="00135D51" w:rsidRPr="00135D51" w:rsidRDefault="00767112" w:rsidP="00D93153">
      <w:pPr>
        <w:pStyle w:val="ListParagraph"/>
        <w:numPr>
          <w:ilvl w:val="1"/>
          <w:numId w:val="27"/>
        </w:numPr>
        <w:tabs>
          <w:tab w:val="left" w:pos="284"/>
        </w:tabs>
        <w:spacing w:after="100" w:afterAutospacing="1" w:line="276" w:lineRule="auto"/>
        <w:ind w:left="284" w:hanging="284"/>
        <w:jc w:val="left"/>
        <w:rPr>
          <w:rStyle w:val="Heading2Char"/>
          <w:rFonts w:eastAsia="Calibri" w:cs="Arial"/>
          <w:b w:val="0"/>
          <w:bCs w:val="0"/>
          <w:color w:val="FF0000"/>
          <w:sz w:val="22"/>
        </w:rPr>
      </w:pPr>
      <w:bookmarkStart w:id="134" w:name="_Toc477248657"/>
      <w:bookmarkStart w:id="135" w:name="_Toc477251782"/>
      <w:r>
        <w:rPr>
          <w:rStyle w:val="Heading2Char"/>
          <w:rFonts w:ascii="Arial" w:eastAsia="Calibri" w:hAnsi="Arial" w:cs="Arial"/>
          <w:sz w:val="22"/>
          <w:lang w:val="sr-Latn-RS"/>
        </w:rPr>
        <w:t>Sudski postupci</w:t>
      </w:r>
      <w:bookmarkEnd w:id="134"/>
      <w:bookmarkEnd w:id="135"/>
    </w:p>
    <w:p w:rsidR="00767112" w:rsidRPr="00767112" w:rsidRDefault="00767112" w:rsidP="00135D51">
      <w:pPr>
        <w:spacing w:after="100" w:afterAutospacing="1" w:line="276" w:lineRule="auto"/>
        <w:rPr>
          <w:rFonts w:cs="Arial"/>
          <w:lang w:val="sr-Latn-RS"/>
        </w:rPr>
      </w:pPr>
      <w:r w:rsidRPr="00767112">
        <w:rPr>
          <w:rFonts w:cs="Arial"/>
        </w:rPr>
        <w:t>Pored zaštite od diskriminacije koja se ostvaruje pred Poverenikom za zaštitu ravnopravnosti u postupku po pritužbama, postoji i sudska zaštita od diskriminacije. U zavisnosti od pravne prirode povrede koja je proistekla iz akta diskriminacije, i od toga kolika je njena društvena opasnost, razlikujemo građanskopravnu, prekršajnopravnu i krivičnopravnu zaštitu od diskriminacije.</w:t>
      </w:r>
    </w:p>
    <w:p w:rsidR="00135D51" w:rsidRPr="00135D51" w:rsidRDefault="00767112" w:rsidP="00D93153">
      <w:pPr>
        <w:pStyle w:val="Heading3"/>
        <w:numPr>
          <w:ilvl w:val="2"/>
          <w:numId w:val="28"/>
        </w:numPr>
        <w:ind w:left="1985" w:hanging="1276"/>
      </w:pPr>
      <w:bookmarkStart w:id="136" w:name="_Toc477248658"/>
      <w:bookmarkStart w:id="137" w:name="_Toc477251783"/>
      <w:r>
        <w:rPr>
          <w:lang w:val="sr-Latn-RS"/>
        </w:rPr>
        <w:t>Parnični postupci</w:t>
      </w:r>
      <w:bookmarkEnd w:id="136"/>
      <w:bookmarkEnd w:id="137"/>
    </w:p>
    <w:p w:rsidR="00767112" w:rsidRPr="00767112" w:rsidRDefault="00767112" w:rsidP="00767112">
      <w:pPr>
        <w:spacing w:after="100" w:afterAutospacing="1" w:line="276" w:lineRule="auto"/>
        <w:rPr>
          <w:rFonts w:cs="Arial"/>
        </w:rPr>
      </w:pPr>
      <w:r w:rsidRPr="00767112">
        <w:rPr>
          <w:rFonts w:cs="Arial"/>
        </w:rPr>
        <w:t xml:space="preserve">Poverenik za zaštitu ravnopravnosti je jedini nezavisni državni organ s aktivnom procesnom legitimacijom. To znači da je Poverenik ovlašćen da podnosi tužbe sudu zbog povrede propisa koji zabranjuju diskriminaciju, u svoje ime a uz saglasnost i za račun diskriminisanog lica. Poverenik pokreće antidiskriminacione parnice u opštem interesu, a sam procenjuje kada će i u kojim slučajevima podići tužbu za zaštitu od diskriminacije, imajući u vidu činjenicu da cilj i smisao parnice koju pokreće prevazilaze značaj koji ona imaju sa aspekta zaštite prava samih diskriminisanih lica, odnosno grupe lica. U pitanju su tzv. strateške parnice, koje Poverenik pokreće i vodi u javnom interesu, s ciljem da doprinese doslednoj primeni propisa i unapređenju pravne prakse, da dodatno ohrabri i podstakne žrtve diskriminacije na pokretanje antidiskriminacionih parnica, kao i da pravno edukuje i senzibiliše javnost za problem diskriminacije. Pored toga, cilj Poverenika jeste da svojom procesnom aktivnošću izdejstvuje donošenje povoljnih sudskih presuda, kojima se pored pružanja pravne zaštite diskriminisanim licima, upućuje i jasna poruka javnosti da je diskriminacija zabranjena i da se delotvorno sankcioniše. S druge strane, cilj, odnosno svrha strateških parnica treba da budu i obezbeđenje pravilnog tumačenja ili pravilne primene antidiskriminacionih propisa, pa samim tim da se putem sudske prakse pojasni smisao </w:t>
      </w:r>
      <w:r w:rsidRPr="00767112">
        <w:rPr>
          <w:rFonts w:cs="Arial"/>
        </w:rPr>
        <w:lastRenderedPageBreak/>
        <w:t xml:space="preserve">određenog propisa, ili da se putem ove prakse ukaže na to da je određeni propis potrebno izmeniti, dopuniti, odnosno unaprediti. </w:t>
      </w:r>
    </w:p>
    <w:p w:rsidR="00767112" w:rsidRPr="00767112" w:rsidRDefault="00767112" w:rsidP="00767112">
      <w:pPr>
        <w:spacing w:after="100" w:afterAutospacing="1" w:line="276" w:lineRule="auto"/>
        <w:rPr>
          <w:rFonts w:cs="Arial"/>
        </w:rPr>
      </w:pPr>
      <w:r w:rsidRPr="00767112">
        <w:rPr>
          <w:rFonts w:cs="Arial"/>
        </w:rPr>
        <w:t>Postupak po pritužbi koji Poverenik sprovodi i parnica za zaštitu od diskriminacije predstavljaju dva potpuno različita i nezavisna oblika zaštite od diskriminacije, a sam postupak po pritužbi nema karakter prethodnog postupka i ne predstavlja procesnu pretpostavku od koje zavisi dopuštenost pružanja pravne zaštite u antidiskriminacionoj parnici. Takođe, podizanje tužbe za zaštitu od diskriminacije nije mehanizam kojim se obezbeđuje poštovanje preporuka Poverenika za zaštitu ravnopravnosti.</w:t>
      </w:r>
    </w:p>
    <w:p w:rsidR="00767112" w:rsidRPr="00767112" w:rsidRDefault="00767112" w:rsidP="00767112">
      <w:pPr>
        <w:spacing w:after="100" w:afterAutospacing="1" w:line="276" w:lineRule="auto"/>
        <w:rPr>
          <w:rFonts w:cs="Arial"/>
        </w:rPr>
      </w:pPr>
      <w:r w:rsidRPr="00767112">
        <w:rPr>
          <w:rFonts w:cs="Arial"/>
        </w:rPr>
        <w:t xml:space="preserve">Poverenik za zaštitu ravnopravnosti je do sada podneo 13 tužbi radi zaštite od diskriminacije. Od ovog broja, sedam tužbi je podneto zbog diskriminacije na osnovu pripadnosti romskoj nacionalnoj manjini, tri zbog diskriminacije na osnovu pola, jedna tužba zbog diskriminacije na osnovu invaliditeta i dve tužbe zbog diskriminacije po više osnova. </w:t>
      </w:r>
    </w:p>
    <w:p w:rsidR="00767112" w:rsidRPr="00767112" w:rsidRDefault="00767112" w:rsidP="00767112">
      <w:pPr>
        <w:spacing w:after="100" w:afterAutospacing="1" w:line="276" w:lineRule="auto"/>
        <w:rPr>
          <w:rFonts w:cs="Arial"/>
        </w:rPr>
      </w:pPr>
      <w:r w:rsidRPr="00767112">
        <w:rPr>
          <w:rFonts w:cs="Arial"/>
        </w:rPr>
        <w:t xml:space="preserve">Od ukupno 13 parnica za zaštitu od diskriminacije, sedam je pravnosnažno okončano u korist Poverenika za zaštitu ravnopravnosti, tako što je sud u celosti usvojio postavljene tužbene zahteve Poverenika. U većini tužbenih zahteva, a u zavisnosti od oblika i slučajeva diskriminacije, kao i načina na koji je diskriminacija izvršena, pored zahteva za utvrđenje da je tuženi diskriminatorno postupao, Poverenik je od suda zahtevao i da se tuženom zabrani dalje vršenje radnje diskriminacije i/ili zabrani ponavljanje radnje diskriminacije. Ukoliko je u konkretnom slučaju to bilo moguće, Poverenik je tražio od suda da tuženog obaveže na izvršenje radnje kojom bi uklonio posledice diskriminatornog postupanja, kao i na objavljivanje presude u nekom od dnevnih listova s nacionalnim tiražom. </w:t>
      </w:r>
    </w:p>
    <w:p w:rsidR="00767112" w:rsidRPr="00767112" w:rsidRDefault="00767112" w:rsidP="00767112">
      <w:pPr>
        <w:spacing w:after="100" w:afterAutospacing="1" w:line="276" w:lineRule="auto"/>
        <w:rPr>
          <w:rFonts w:cs="Arial"/>
        </w:rPr>
      </w:pPr>
      <w:r w:rsidRPr="00767112">
        <w:rPr>
          <w:rFonts w:cs="Arial"/>
        </w:rPr>
        <w:t>U dva slučaja, Poverenik za zaštitu ravnopravnosti je povukao tužbu, s obzirom na to da je tuženi u jednom slučaju ukinuo spornu odluku, a u drugom slučaju izmenio pravilnik koji je bio povod za tužbu. Jedan postupak je prekinut zbog toga što je tuženi brisan iz registra privrednih društava. Dva postupka su pravosnažno okončana odbijanjem tužbenog zahteva Poverenika za zaštitu ravnopravnosti, a jedan postupak je još uvek u toku.</w:t>
      </w:r>
    </w:p>
    <w:p w:rsidR="00767112" w:rsidRPr="00767112" w:rsidRDefault="00767112" w:rsidP="00767112">
      <w:pPr>
        <w:spacing w:after="100" w:afterAutospacing="1" w:line="276" w:lineRule="auto"/>
        <w:rPr>
          <w:rFonts w:cs="Arial"/>
        </w:rPr>
      </w:pPr>
      <w:r w:rsidRPr="00767112">
        <w:rPr>
          <w:rFonts w:cs="Arial"/>
        </w:rPr>
        <w:t>Poverenik za zaštitu ravnopravnosti ukazao je, još jednom, na važnost hitnosti u postupanju kada su u pitanju parnice za zaštitu od diskriminacije. U dopisu Ministarstvu pravde, kao i predsedniku Višeg suda u Beogradu, poverenica je podsetila na ranije datu Preporuku mera za ostvarivanje ravnopravnosti, koja je dostavljena svim sudovima u Republici Srbiji, kako bi se preduzele potrebne  mere kojima će se obezbediti da se postupci u diskriminacionim parnicama sprovode ekspeditivno i okončavaju u najkraćem roku u skladu sa odredbom člana 41. stav 3. Zakona o zabrani diskriminacije, koji propisuje da je ovaj postupak hitan.</w:t>
      </w:r>
    </w:p>
    <w:p w:rsidR="00767112" w:rsidRPr="00767112" w:rsidRDefault="00767112" w:rsidP="00767112">
      <w:pPr>
        <w:spacing w:after="100" w:afterAutospacing="1" w:line="276" w:lineRule="auto"/>
        <w:rPr>
          <w:rFonts w:cs="Arial"/>
        </w:rPr>
      </w:pPr>
      <w:r w:rsidRPr="00767112">
        <w:rPr>
          <w:rFonts w:cs="Arial"/>
        </w:rPr>
        <w:t xml:space="preserve">Prema informacijama koje je Komitet pravnika za ljudska prava dostavio Povereniku, pred Višim sudom u Beogradu još uvek je u toku postupak za zaštitu od diskriminacije po tužbi koja je podneta 2009. godine. Takođe, još uvek je u toku postupak koji je Poverenik pokrenuo 2012. godine protiv restorana zbog diskriminacije Roma. </w:t>
      </w:r>
    </w:p>
    <w:p w:rsidR="00767112" w:rsidRPr="00767112" w:rsidRDefault="00767112" w:rsidP="00767112">
      <w:pPr>
        <w:spacing w:after="100" w:afterAutospacing="1" w:line="276" w:lineRule="auto"/>
        <w:rPr>
          <w:rFonts w:cs="Arial"/>
          <w:lang w:val="sr-Latn-RS"/>
        </w:rPr>
      </w:pPr>
      <w:r w:rsidRPr="00767112">
        <w:rPr>
          <w:rFonts w:cs="Arial"/>
        </w:rPr>
        <w:t>Tokom 2016. godine, Poverenik za zaštitu ravnopravnosti nije podnosio tužbe za zaštitu od diskriminacije. U ovom delu izveštaja biće predstavljen tok postupaka parnice koja je još uvek u toku. Pored toga, biće predstavljene dve krivične prijave koje je Poverenik podneo nadležnom tužilaštvu, kao i jedan zahtev za pokretanje prekršajnog postupka.</w:t>
      </w:r>
    </w:p>
    <w:p w:rsidR="00135D51" w:rsidRPr="00135D51" w:rsidRDefault="00767112" w:rsidP="000C558B">
      <w:pPr>
        <w:shd w:val="clear" w:color="auto" w:fill="75E5FB"/>
        <w:spacing w:before="360" w:after="100" w:afterAutospacing="1"/>
        <w:outlineLvl w:val="0"/>
        <w:rPr>
          <w:rFonts w:cs="Arial"/>
          <w:i/>
        </w:rPr>
      </w:pPr>
      <w:bookmarkStart w:id="138" w:name="_Toc476904379"/>
      <w:bookmarkStart w:id="139" w:name="_Toc476908731"/>
      <w:bookmarkStart w:id="140" w:name="_Toc477248659"/>
      <w:bookmarkStart w:id="141" w:name="_Toc477250790"/>
      <w:bookmarkStart w:id="142" w:name="_Toc477251784"/>
      <w:r>
        <w:rPr>
          <w:rFonts w:cs="Arial"/>
          <w:i/>
          <w:lang w:val="sr-Latn-RS"/>
        </w:rPr>
        <w:lastRenderedPageBreak/>
        <w:t xml:space="preserve"> </w:t>
      </w:r>
      <w:r w:rsidRPr="00767112">
        <w:rPr>
          <w:rFonts w:cs="Arial"/>
          <w:i/>
          <w:lang w:val="sr-Latn-RS"/>
        </w:rPr>
        <w:t>Tužba zbog diskriminacije romske dece u restoranu brze hrane</w:t>
      </w:r>
      <w:bookmarkEnd w:id="138"/>
      <w:bookmarkEnd w:id="139"/>
      <w:bookmarkEnd w:id="140"/>
      <w:bookmarkEnd w:id="141"/>
      <w:bookmarkEnd w:id="142"/>
    </w:p>
    <w:p w:rsidR="00664080" w:rsidRPr="00664080" w:rsidRDefault="00664080" w:rsidP="00664080">
      <w:pPr>
        <w:spacing w:after="100" w:afterAutospacing="1" w:line="276" w:lineRule="auto"/>
        <w:rPr>
          <w:rFonts w:cs="Arial"/>
        </w:rPr>
      </w:pPr>
      <w:r w:rsidRPr="00664080">
        <w:rPr>
          <w:rFonts w:cs="Arial"/>
        </w:rPr>
        <w:t>Poverenik za zaštitu ravnopravnosti podneo je tužbu protiv restorana brze hrane u 2012. godini, jer radnik obezbeđenja nije dozvolio deci romske nacionalnosti da uđu u restoran sa ženom koja je htela da im kupi hranu. Prvostepeni sud je rešenjem odbacio tužbu, uz obrazloženje da Poverenik za zaštitu ravnopravnosti nije imao saglasnost lica u odnosu na koja se tvrdi da je izvršena radnja neposredne diskriminacije. Viši sud u Smederevu odbio je žalbu Poverenika i potvrdio prvostepenu odluku. Odlučujući po reviziji Poverenika za zaštitu ravnopravnosti, Vrhovni kasacioni sud je u septembru 2014. godine ukinuo rešenje Višeg suda u Smederevu i rešenje Prvog osnovnog suda u Beogradu, te predmet vratio na ponovni postupak i odlučivanje. Vrhovni kasacioni sud je zauzeo stav da Povereniku nije potrebna pisana saglasnost za podnošenje tužbe u konkretnom slučaju, s obzirom na to da je tužbu podneo radi utvrđenja diskriminacije prema grupi lica – deci romske nacionalnosti. Vrhovni kasacioni sud ukazao je da tužba Poverenika nije usmerena na utvrđenje diskriminacije prema određenom licu, u kom slučaju bi Povereniku bila neophodna pisana saglasnost za podnošenje tužbe, već na utvrđivanje diskriminacije prema grupi lica. Kao što je već rečeno, Vrhovni kasacioni sud je zbog ukidanja odluka predmet vratio na ponovni postupak Višem sudu, kao stvarno nadležnom za odlučivanje o sporovima za zaštitu od diskriminacije, s obzirom na to da je izmenama i dopunama Zakona o uređenju sudova („Službeni glasnik RS“, br. 116/08, 104/09, 101/10, 31/11 – dr. zakon, 78/11 – dr. zakon, 101/11, 101/13, 106/15, 40/15 – dr. zakon, 13/16 i 108/16), koji je počeo da se primenjuje od 1. januara 2014. godine, stvarna nadležnost za odlučivanje u sporovima za zaštitu od diskriminacije sa osnovnih sudova prešla u nadležnost viših sudova. Međutim, Viši sud u Beogradu se rešenjem od 16. marta 2015. godine oglasio stvarno nenadležnim za postupanje u ovoj pravnoj stvari i odredio da nakon pravosnažnosti rešenja spise predmeta dostavi Prvom osnovnom sudu u Beogradu, kao stvarno i mesno nadležnom sudu. Viši sud u ovom rešenju navodi da je saglasno članu 23. stav 1. tačka 7. Zakona o uređenju sudova nadležan u sporovima za zaštitu od diskriminacije i zlostavljanja na radu, te kako se u konkretnom slučaju ne radi o diskriminaciji na radu, to je za suđenje nadležan osnovni sud. Prvi osnovni sud je izazvao sukob stvarne nadležnosti, smatrajući da nije nadležan za postupanje u ovoj pravnoj stvari, već da je stvarno nadležan Viši sud u Beogradu, te je dostavio predmet Apelacionom sudu u Beogradu, radi rešavanja sukoba stvarne nadležnosti. Apelacioni sud u Beogradu je rešenjem od 1. jula 2015. godine odlučio da je za suđenje u ovoj pravnoj stvari nadležan Viši sud u Beogradu. Pripremno ročište u ovom predmetu održano je 9. decembra 2015. godine, tri i po godine nakon podnošenja tužbe. Ročište za glavnu raspravu održano je u martu 2016. godine, i nakon toga održana su još dva ročišta tokom 2016. godine. Postupak još uvek nije okončan. Naredno ročište za glavnu raspravu određeno je za mart 2017. godine.</w:t>
      </w:r>
    </w:p>
    <w:p w:rsidR="00767112" w:rsidRDefault="00664080" w:rsidP="00664080">
      <w:pPr>
        <w:spacing w:after="100" w:afterAutospacing="1" w:line="276" w:lineRule="auto"/>
        <w:rPr>
          <w:rFonts w:cs="Arial"/>
          <w:lang w:val="sr-Latn-RS"/>
        </w:rPr>
      </w:pPr>
      <w:r w:rsidRPr="00664080">
        <w:rPr>
          <w:rFonts w:cs="Arial"/>
        </w:rPr>
        <w:t xml:space="preserve">Ovaj postupak je strateški važan iz više razloga. Tužba je podneta prvenstveno da bi se žrtve diskriminacije ohrabrile i podstakle na pokretanje antidiskriminacionih parnica, kao i da bi se javnost senzibilisala za problem diskriminacije i bliže razumela da je u pitanju protivzakonita društvena pojava koja može delotvorno da se sankcioniše. S druge strane, važan cilj jeste unapređenje sudske prakse, kao i doprinos pravilnom tumačenju i primeni normi antidiskriminacionog prava. Tako, iako postupak još uvek nije okončan, ostvareni su neki važni strateški ciljevi. Vrhovni kasacioni sud je zauzeo stav da Povereniku za zaštitu ravnopravnosti nije potrebna saglasnost kada tužbu podnosi radi utvrđivanja diskriminacije </w:t>
      </w:r>
      <w:r w:rsidRPr="00664080">
        <w:rPr>
          <w:rFonts w:cs="Arial"/>
        </w:rPr>
        <w:lastRenderedPageBreak/>
        <w:t>prema grupi lica. S druge strane, otklonjene su sve nejasnoće u vezi s tim da je u postupcima za zaštitu od diskriminacije stvarno nadležan Viši sud.</w:t>
      </w:r>
    </w:p>
    <w:p w:rsidR="00664080" w:rsidRPr="00664080" w:rsidRDefault="00664080" w:rsidP="00664080">
      <w:pPr>
        <w:spacing w:after="100" w:afterAutospacing="1" w:line="276" w:lineRule="auto"/>
        <w:rPr>
          <w:rFonts w:cs="Arial"/>
          <w:lang w:val="sr-Latn-RS"/>
        </w:rPr>
      </w:pPr>
    </w:p>
    <w:p w:rsidR="00135D51" w:rsidRPr="00135D51" w:rsidRDefault="00664080" w:rsidP="00D93153">
      <w:pPr>
        <w:pStyle w:val="Heading3"/>
        <w:numPr>
          <w:ilvl w:val="2"/>
          <w:numId w:val="14"/>
        </w:numPr>
        <w:ind w:left="1134" w:hanging="1134"/>
      </w:pPr>
      <w:bookmarkStart w:id="143" w:name="_Toc477248660"/>
      <w:bookmarkStart w:id="144" w:name="_Toc477251785"/>
      <w:r>
        <w:rPr>
          <w:lang w:val="sr-Latn-RS"/>
        </w:rPr>
        <w:t>Krivične prijave</w:t>
      </w:r>
      <w:bookmarkEnd w:id="143"/>
      <w:bookmarkEnd w:id="144"/>
    </w:p>
    <w:p w:rsidR="00664080" w:rsidRPr="00664080" w:rsidRDefault="00664080" w:rsidP="00135D51">
      <w:pPr>
        <w:spacing w:before="0" w:after="100" w:afterAutospacing="1" w:line="276" w:lineRule="auto"/>
        <w:rPr>
          <w:rFonts w:cs="Arial"/>
          <w:lang w:val="sr-Latn-RS"/>
        </w:rPr>
      </w:pPr>
      <w:r w:rsidRPr="00664080">
        <w:rPr>
          <w:rFonts w:cs="Arial"/>
        </w:rPr>
        <w:t>Poverenik za zaštitu ravnopravnosti, kao i svi drugi državni organi, ovlašćen je da podnosi krivične prijave kada u svom radu sazna za postojanje krivičnog dela ili učinioca.</w:t>
      </w:r>
    </w:p>
    <w:p w:rsidR="00135D51" w:rsidRPr="00664080" w:rsidRDefault="00664080" w:rsidP="00135D51">
      <w:pPr>
        <w:shd w:val="clear" w:color="auto" w:fill="75E5FB"/>
        <w:spacing w:after="100" w:afterAutospacing="1" w:line="276" w:lineRule="auto"/>
        <w:rPr>
          <w:rFonts w:cs="Arial"/>
          <w:i/>
          <w:lang w:val="sr-Latn-RS"/>
        </w:rPr>
      </w:pPr>
      <w:r w:rsidRPr="00664080">
        <w:rPr>
          <w:rFonts w:cs="Arial"/>
          <w:i/>
          <w:lang w:val="sr-Latn-RS"/>
        </w:rPr>
        <w:t>Krivična prijava zbog diskriminacije na osnovu zdravstvenog stanja i pripadnosti romskoj nacionalnoj manjini</w:t>
      </w:r>
    </w:p>
    <w:p w:rsidR="00664080" w:rsidRPr="00664080" w:rsidRDefault="00664080" w:rsidP="00135D51">
      <w:pPr>
        <w:spacing w:after="100" w:afterAutospacing="1" w:line="276" w:lineRule="auto"/>
        <w:rPr>
          <w:rFonts w:eastAsia="Times New Roman" w:cs="Arial"/>
          <w:lang w:val="sr-Latn-RS"/>
        </w:rPr>
      </w:pPr>
      <w:r w:rsidRPr="00664080">
        <w:rPr>
          <w:rFonts w:eastAsia="Times New Roman" w:cs="Arial"/>
        </w:rPr>
        <w:t xml:space="preserve">Podnosilac pritužbe se obratio Povereniku navodeći da je romske nacionalnosti i da je osoba koja živi sa HIV-om. Navedene činjenice predstavljaju osnov zbog kojeg meštani sela u kome živi diskriminišu njegovu porodicu, s ciljem da se cela porodica iseli iz tog mesta. U pritužbi je navedeno da su članovi porodice podnosioca pritužbe sve češće žrtve fizičkih napada i da im je sigurnost ugrožena. Naime, kako se navodi u pritužbi, pojedini meštani su ulazili u njihovo dvorište s automatskim oružjem, bacali kamenje na njihovu kuću, kojom prilikom su polomili prozore na kući, a u noći između 27. i 28. avgusta 2016. godine, u dvorište njihove kuće, bačen je i zapaljen „Molotovljev koktel“. Porodica podnosioca pritužbe živi u stalnom egzistencijalnom strahu i primorana je da traži načine da se iseli iz mesta u kojem trenutno živi. Poverenik za zaštitu ravnopravnosti podneo je krivičnu prijavu zbog postojanja osnova sumnje da su nepoznata lica izvršila krivično delo izazivanje nacionalne, rasne i verske mržnje i netrpeljivosti iz člana </w:t>
      </w:r>
      <w:r>
        <w:rPr>
          <w:rFonts w:eastAsia="Times New Roman" w:cs="Arial"/>
        </w:rPr>
        <w:t>317. stav 2. Krivičnog zakonika</w:t>
      </w:r>
      <w:r>
        <w:rPr>
          <w:rStyle w:val="FootnoteReference"/>
          <w:rFonts w:eastAsia="Times New Roman" w:cs="Arial"/>
        </w:rPr>
        <w:footnoteReference w:id="263"/>
      </w:r>
      <w:r w:rsidRPr="00664080">
        <w:rPr>
          <w:rFonts w:eastAsia="Times New Roman" w:cs="Arial"/>
        </w:rPr>
        <w:t>.</w:t>
      </w:r>
    </w:p>
    <w:p w:rsidR="00135D51" w:rsidRPr="00664080" w:rsidRDefault="00664080" w:rsidP="00135D51">
      <w:pPr>
        <w:shd w:val="clear" w:color="auto" w:fill="75E5FB"/>
        <w:spacing w:after="100" w:afterAutospacing="1" w:line="276" w:lineRule="auto"/>
        <w:rPr>
          <w:rFonts w:cs="Arial"/>
          <w:i/>
          <w:lang w:val="sr-Latn-RS"/>
        </w:rPr>
      </w:pPr>
      <w:r w:rsidRPr="00664080">
        <w:rPr>
          <w:rFonts w:cs="Arial"/>
          <w:i/>
          <w:lang w:val="sr-Latn-RS"/>
        </w:rPr>
        <w:t>Krivična prijava protiv vlasnika portala zbog zagovaranja i podstrekivanja mržnje i nasilja  prema LGBT populaciji</w:t>
      </w:r>
    </w:p>
    <w:p w:rsidR="00664080" w:rsidRPr="00664080" w:rsidRDefault="00664080" w:rsidP="00135D51">
      <w:pPr>
        <w:spacing w:after="100" w:afterAutospacing="1" w:line="276" w:lineRule="auto"/>
        <w:rPr>
          <w:rFonts w:eastAsia="Times New Roman" w:cs="Arial"/>
          <w:lang w:val="sr-Latn-RS"/>
        </w:rPr>
      </w:pPr>
      <w:r w:rsidRPr="00664080">
        <w:rPr>
          <w:rFonts w:eastAsia="Times New Roman" w:cs="Arial"/>
        </w:rPr>
        <w:t>Poverenici za zaštitu ravnopravnosti pritužbom se obratila organizacija civilnog društva čije je delovanje usmereno na poboljšanje položaja LGBT osoba u Srbiji. Podnositelji pritužbe su ukazali na diskriminatornu sadržinu teksta i komentara koji su objavljen na portalu. Ispod objavljenog teksta koji se odnosio na neuspeli pokušaj održavanja tribine o nasilju i diskriminaciji LGBT osoba, usledili su komentari u kojima se otvoreno poziva na nasilje prema građanima drugačije seksualne orijentacije i rodnog identiteta. Imajući u vidu navedeno, Poverenik je podneo krivičnu prijavu zbog krivičnog dela rasna i druga diskriminacija iz člana 387. stav 4. Krivičnog zakonika.</w:t>
      </w:r>
    </w:p>
    <w:p w:rsidR="00135D51" w:rsidRPr="00664080" w:rsidRDefault="00664080" w:rsidP="00135D51">
      <w:pPr>
        <w:shd w:val="clear" w:color="auto" w:fill="75E5FB"/>
        <w:spacing w:after="100" w:afterAutospacing="1" w:line="276" w:lineRule="auto"/>
        <w:rPr>
          <w:rFonts w:eastAsia="Times New Roman" w:cs="Arial"/>
          <w:i/>
          <w:lang w:val="sr-Latn-RS"/>
        </w:rPr>
      </w:pPr>
      <w:r w:rsidRPr="00664080">
        <w:rPr>
          <w:rFonts w:eastAsia="Times New Roman" w:cs="Arial"/>
          <w:i/>
          <w:lang w:val="sr-Latn-RS"/>
        </w:rPr>
        <w:t>Krivična prijava zbog boravka jedne osobe u domu za smeštaj starijih bez njene saglasnosti i v</w:t>
      </w:r>
      <w:r>
        <w:rPr>
          <w:rFonts w:eastAsia="Times New Roman" w:cs="Arial"/>
          <w:i/>
          <w:lang w:val="sr-Latn-RS"/>
        </w:rPr>
        <w:t>olje</w:t>
      </w:r>
    </w:p>
    <w:p w:rsidR="00135D51" w:rsidRDefault="00664080" w:rsidP="00135D51">
      <w:pPr>
        <w:spacing w:after="100" w:afterAutospacing="1" w:line="276" w:lineRule="auto"/>
        <w:rPr>
          <w:rFonts w:eastAsia="Times New Roman" w:cs="Arial"/>
          <w:lang w:val="sr-Latn-RS"/>
        </w:rPr>
      </w:pPr>
      <w:r w:rsidRPr="00664080">
        <w:rPr>
          <w:rFonts w:eastAsia="Times New Roman" w:cs="Arial"/>
        </w:rPr>
        <w:t xml:space="preserve">Jedna organizacija civilnog društva obratila se Povereniku, navodeći da se jedno lice nalazi u domu za smeštaj starijih lica protiv svoje volje. Pojasnili su da kod sebe nema ličnih dokumenata, ključ od stana, i da nije upoznata sa sadržinom ugovora o smeštaju koji je potpisao njen sin. Poverenik za zaštitu ravnopravnosti podneo je krivičnu prijavu protiv direktora doma za smeštaj starih lica zbog krivičnog dela protivpravno lišenje slobode iz </w:t>
      </w:r>
      <w:r w:rsidRPr="00664080">
        <w:rPr>
          <w:rFonts w:eastAsia="Times New Roman" w:cs="Arial"/>
        </w:rPr>
        <w:lastRenderedPageBreak/>
        <w:t>člana 132. Krivičnog zakonika. Poverenica je istakla da su starije osobe u Srbiji izložene različitim oblicima zanemarivanja ili zlostavljanja, čemu često prethodi diskriminacija do koje dovode predrasude, stereotipi i ideja o neproduktivnosti starijih, kao i slika da su stariji pasivni primaoci pomoći i teret za društvo. Jedan od oblika zlostavljanja starijih jeste i lišavanje prava na odlučivanje o svom načinu života, što dovodi do ograničavanja ili lišavanja slobode kretanja, ograničavanja slobodnog raspolaganja svojim finansijama, izbora mesta življenja i načina lečenja.</w:t>
      </w:r>
    </w:p>
    <w:p w:rsidR="00664080" w:rsidRPr="00664080" w:rsidRDefault="00664080" w:rsidP="00135D51">
      <w:pPr>
        <w:spacing w:after="100" w:afterAutospacing="1" w:line="276" w:lineRule="auto"/>
        <w:rPr>
          <w:rFonts w:eastAsia="Times New Roman" w:cs="Arial"/>
          <w:sz w:val="6"/>
          <w:lang w:val="sr-Latn-RS"/>
        </w:rPr>
      </w:pPr>
    </w:p>
    <w:p w:rsidR="00135D51" w:rsidRPr="00135D51" w:rsidRDefault="00664080" w:rsidP="00D93153">
      <w:pPr>
        <w:pStyle w:val="Heading3"/>
        <w:numPr>
          <w:ilvl w:val="2"/>
          <w:numId w:val="14"/>
        </w:numPr>
        <w:ind w:left="1134" w:hanging="850"/>
      </w:pPr>
      <w:bookmarkStart w:id="145" w:name="_Toc477248661"/>
      <w:bookmarkStart w:id="146" w:name="_Toc477251786"/>
      <w:r>
        <w:rPr>
          <w:lang w:val="sr-Latn-RS"/>
        </w:rPr>
        <w:t>Prekršajni postupci</w:t>
      </w:r>
      <w:bookmarkEnd w:id="145"/>
      <w:bookmarkEnd w:id="146"/>
    </w:p>
    <w:p w:rsidR="00664080" w:rsidRPr="00664080" w:rsidRDefault="00664080" w:rsidP="00664080">
      <w:pPr>
        <w:spacing w:after="100" w:afterAutospacing="1" w:line="276" w:lineRule="auto"/>
        <w:rPr>
          <w:rFonts w:cs="Arial"/>
        </w:rPr>
      </w:pPr>
      <w:r w:rsidRPr="00664080">
        <w:rPr>
          <w:rFonts w:cs="Arial"/>
        </w:rPr>
        <w:t xml:space="preserve">Poverenik za zaštitu ravnopravnosti pokreće prekršajne postupke zbog povrede prava iz Zakona o zabrani diskriminacije. </w:t>
      </w:r>
    </w:p>
    <w:p w:rsidR="00664080" w:rsidRPr="00664080" w:rsidRDefault="00664080" w:rsidP="00664080">
      <w:pPr>
        <w:spacing w:after="100" w:afterAutospacing="1" w:line="276" w:lineRule="auto"/>
        <w:rPr>
          <w:rFonts w:cs="Arial"/>
          <w:lang w:val="sr-Latn-RS"/>
        </w:rPr>
      </w:pPr>
      <w:r w:rsidRPr="00664080">
        <w:rPr>
          <w:rFonts w:cs="Arial"/>
        </w:rPr>
        <w:t>Tokom 2016. godine podnet je jedan zahtev za pokretanje prekršajnog postupka. Takođe, usvojena je žalba Poverenika za zaštitu ravnopravnosti na rešenje prekršajnog suda po postupku koji je pokrenut 2014. godine.</w:t>
      </w:r>
    </w:p>
    <w:p w:rsidR="00135D51" w:rsidRPr="00135D51" w:rsidRDefault="00664080" w:rsidP="00135D51">
      <w:pPr>
        <w:shd w:val="clear" w:color="auto" w:fill="75E5FB"/>
        <w:spacing w:after="100" w:afterAutospacing="1"/>
        <w:rPr>
          <w:rFonts w:cs="Arial"/>
          <w:i/>
        </w:rPr>
      </w:pPr>
      <w:r w:rsidRPr="00664080">
        <w:rPr>
          <w:rFonts w:cs="Arial"/>
          <w:i/>
        </w:rPr>
        <w:t>Zahtev za pokretanje prekršajnog postupka zbog diskriminacije LGBT populacije</w:t>
      </w:r>
      <w:r>
        <w:rPr>
          <w:rFonts w:cs="Arial"/>
          <w:i/>
          <w:lang w:val="sr-Latn-RS"/>
        </w:rPr>
        <w:t xml:space="preserve"> </w:t>
      </w:r>
    </w:p>
    <w:p w:rsidR="00664080" w:rsidRPr="00664080" w:rsidRDefault="00664080" w:rsidP="00135D51">
      <w:pPr>
        <w:spacing w:before="100" w:beforeAutospacing="1" w:after="100" w:afterAutospacing="1" w:line="276" w:lineRule="auto"/>
        <w:rPr>
          <w:rFonts w:cs="Arial"/>
          <w:lang w:val="sr-Latn-RS"/>
        </w:rPr>
      </w:pPr>
      <w:r w:rsidRPr="00664080">
        <w:rPr>
          <w:rFonts w:cs="Arial"/>
        </w:rPr>
        <w:t>Policijska uprava za grad Beograd obavestila je Poverenika da su dva lica, od kojih je jedno maloletno, na Trgu republike, kod Spomenika Knezu Mihailu, nekoliko dana pre održavanja Parade ponosa u Beogradu istakla transparent koji nedvosmisleno šalje poruku pripadnicima LGBT zajednice da su nepoželjni i grešni, što predstavlja uznemiravajuće postupanje koje povređuje dostojanstvo grupe lica na osnovu njihove seksualne orijentacije, pri čemu se stvaraju strah, neprijateljsko i ponižavajuće okruženje. Zbog toga je Poverenik podneo zahtev za pokretanje prekršajnog postupka protiv ovih lica zbog prekršaja koji je kažnjiv po članu 56. stav 2. Zakona o zabrani diskriminacije.</w:t>
      </w:r>
    </w:p>
    <w:p w:rsidR="00135D51" w:rsidRPr="00664080" w:rsidRDefault="00664080" w:rsidP="00135D51">
      <w:pPr>
        <w:shd w:val="clear" w:color="auto" w:fill="75E5FB"/>
        <w:spacing w:before="240" w:after="100" w:afterAutospacing="1" w:line="276" w:lineRule="auto"/>
        <w:rPr>
          <w:rFonts w:cs="Arial"/>
          <w:i/>
          <w:lang w:val="sr-Latn-RS"/>
        </w:rPr>
      </w:pPr>
      <w:r w:rsidRPr="00664080">
        <w:rPr>
          <w:rFonts w:cs="Arial"/>
          <w:i/>
          <w:lang w:val="sr-Latn-RS"/>
        </w:rPr>
        <w:t>Prekršajni postupak protiv poslodavca zbog diskriminacije lica koja su završila privatne fakultete</w:t>
      </w:r>
    </w:p>
    <w:p w:rsidR="00664080" w:rsidRPr="00664080" w:rsidRDefault="00664080" w:rsidP="008C3606">
      <w:pPr>
        <w:pStyle w:val="Body"/>
        <w:tabs>
          <w:tab w:val="left" w:pos="1134"/>
        </w:tabs>
        <w:spacing w:line="276" w:lineRule="auto"/>
        <w:jc w:val="both"/>
        <w:rPr>
          <w:rFonts w:ascii="Arial" w:eastAsia="Calibri" w:hAnsi="Arial" w:cs="Arial"/>
          <w:color w:val="auto"/>
          <w:sz w:val="22"/>
          <w:szCs w:val="22"/>
          <w:lang w:val="sr-Cyrl-CS" w:eastAsia="en-US"/>
        </w:rPr>
      </w:pPr>
      <w:r w:rsidRPr="00664080">
        <w:rPr>
          <w:rFonts w:ascii="Arial" w:eastAsia="Calibri" w:hAnsi="Arial" w:cs="Arial"/>
          <w:color w:val="auto"/>
          <w:sz w:val="22"/>
          <w:szCs w:val="22"/>
          <w:lang w:val="sr-Cyrl-CS" w:eastAsia="en-US"/>
        </w:rPr>
        <w:t>Postupajući po pritužbama građana, Poverenik za zaštitu ravnopravnosti došao je do saznanja da je na internet berzi poslova oglašen oglas poslodavca koji sadrži diskriminatoran uslov za kandidate/kandidatkinje da su završili državni pravni fakultet. Iz tih razloga Poverenik je podneo zahtev za pokretanje prekršajnog postupka.</w:t>
      </w:r>
    </w:p>
    <w:p w:rsidR="00135D51" w:rsidRDefault="00664080" w:rsidP="008C3606">
      <w:pPr>
        <w:pStyle w:val="Body"/>
        <w:tabs>
          <w:tab w:val="left" w:pos="1134"/>
        </w:tabs>
        <w:spacing w:line="276" w:lineRule="auto"/>
        <w:jc w:val="both"/>
        <w:rPr>
          <w:rFonts w:ascii="Arial" w:eastAsia="Calibri" w:hAnsi="Arial" w:cs="Arial"/>
          <w:color w:val="auto"/>
          <w:sz w:val="22"/>
          <w:szCs w:val="22"/>
          <w:lang w:val="sr-Latn-RS" w:eastAsia="en-US"/>
        </w:rPr>
      </w:pPr>
      <w:r w:rsidRPr="00664080">
        <w:rPr>
          <w:rFonts w:ascii="Arial" w:eastAsia="Calibri" w:hAnsi="Arial" w:cs="Arial"/>
          <w:color w:val="auto"/>
          <w:sz w:val="22"/>
          <w:szCs w:val="22"/>
          <w:lang w:val="sr-Cyrl-CS" w:eastAsia="en-US"/>
        </w:rPr>
        <w:t>Prekršajni sud u Beogradu obustavio je postupak protiv okrivljenog, ne upuštajući se u ocenu da li je izvršen prekršaj iz člana 51. stav 1. Zakona o zabrani diskriminacije. Poverenik za zaštitu ravnopravnosti je uložio žalbu na takvo rešenje, koju je Prekršajni apelacioni sud u potpunosti usvojio, ukinuo rešenje Prekršajnog suda u Beogradu i predmet vratio prvostepenom sudu na ponovni postupak.</w:t>
      </w:r>
    </w:p>
    <w:p w:rsidR="00664080" w:rsidRDefault="00664080" w:rsidP="00664080">
      <w:pPr>
        <w:pStyle w:val="Body"/>
        <w:tabs>
          <w:tab w:val="left" w:pos="1134"/>
        </w:tabs>
        <w:spacing w:line="276" w:lineRule="auto"/>
        <w:jc w:val="both"/>
        <w:rPr>
          <w:rFonts w:ascii="Arial" w:eastAsia="Calibri" w:hAnsi="Arial" w:cs="Arial"/>
          <w:color w:val="auto"/>
          <w:sz w:val="22"/>
          <w:szCs w:val="22"/>
          <w:lang w:val="sr-Latn-RS" w:eastAsia="en-US"/>
        </w:rPr>
      </w:pPr>
    </w:p>
    <w:p w:rsidR="00664080" w:rsidRPr="00664080" w:rsidRDefault="00664080" w:rsidP="00664080">
      <w:pPr>
        <w:pStyle w:val="Body"/>
        <w:tabs>
          <w:tab w:val="left" w:pos="1134"/>
        </w:tabs>
        <w:spacing w:line="276" w:lineRule="auto"/>
        <w:jc w:val="both"/>
        <w:rPr>
          <w:rFonts w:ascii="Arial" w:eastAsia="Times New Roman" w:hAnsi="Arial" w:cs="Arial"/>
          <w:color w:val="auto"/>
          <w:sz w:val="22"/>
          <w:szCs w:val="22"/>
          <w:lang w:val="sr-Latn-RS"/>
        </w:rPr>
      </w:pPr>
    </w:p>
    <w:p w:rsidR="00135D51" w:rsidRPr="00135D51" w:rsidRDefault="00664080" w:rsidP="00D93153">
      <w:pPr>
        <w:pStyle w:val="ListParagraph"/>
        <w:numPr>
          <w:ilvl w:val="1"/>
          <w:numId w:val="29"/>
        </w:numPr>
        <w:tabs>
          <w:tab w:val="left" w:pos="0"/>
          <w:tab w:val="left" w:pos="709"/>
          <w:tab w:val="left" w:pos="1134"/>
        </w:tabs>
        <w:spacing w:after="100" w:afterAutospacing="1" w:line="276" w:lineRule="auto"/>
        <w:ind w:left="567" w:hanging="567"/>
        <w:outlineLvl w:val="0"/>
        <w:rPr>
          <w:rFonts w:ascii="Arial" w:hAnsi="Arial" w:cs="Arial"/>
          <w:b/>
          <w:color w:val="FF0000"/>
        </w:rPr>
      </w:pPr>
      <w:bookmarkStart w:id="147" w:name="_Toc477248662"/>
      <w:bookmarkStart w:id="148" w:name="_Toc477251787"/>
      <w:r>
        <w:rPr>
          <w:rStyle w:val="Heading2Char"/>
          <w:rFonts w:ascii="Arial" w:eastAsia="Calibri" w:hAnsi="Arial" w:cs="Arial"/>
          <w:sz w:val="22"/>
          <w:lang w:val="sr-Latn-RS"/>
        </w:rPr>
        <w:t>Ostali ishodi postupaka</w:t>
      </w:r>
      <w:bookmarkEnd w:id="147"/>
      <w:bookmarkEnd w:id="148"/>
      <w:r w:rsidR="00135D51" w:rsidRPr="00135D51">
        <w:rPr>
          <w:rFonts w:ascii="Arial" w:hAnsi="Arial" w:cs="Arial"/>
          <w:b/>
        </w:rPr>
        <w:t xml:space="preserve"> </w:t>
      </w:r>
    </w:p>
    <w:p w:rsidR="00664080" w:rsidRPr="00664080" w:rsidRDefault="00664080" w:rsidP="00664080">
      <w:pPr>
        <w:spacing w:after="100" w:afterAutospacing="1" w:line="276" w:lineRule="auto"/>
        <w:rPr>
          <w:rFonts w:cs="Arial"/>
        </w:rPr>
      </w:pPr>
      <w:r w:rsidRPr="00664080">
        <w:rPr>
          <w:rFonts w:cs="Arial"/>
        </w:rPr>
        <w:t xml:space="preserve">Zakonom o zabrani diskriminacije propisano je da Poverenik za zaštitu ravnopravnosti ne postupa po pritužbi kada je po istoj stvari pokrenut postupak pred sudom ili je postupak pred </w:t>
      </w:r>
      <w:r w:rsidRPr="00664080">
        <w:rPr>
          <w:rFonts w:cs="Arial"/>
        </w:rPr>
        <w:lastRenderedPageBreak/>
        <w:t xml:space="preserve">sudom pravnosnažno okončan; kada je očigledno da nema diskriminacije na koju podnosilac pritužbe ukazuje; kada je u istoj stvari već postupao, a nisu podneti novi dokazi, kao i kada je zbog proteka vremena od učinjene povrede prava nemoguće postići svrhu postupanja. </w:t>
      </w:r>
    </w:p>
    <w:p w:rsidR="00664080" w:rsidRPr="00664080" w:rsidRDefault="00664080" w:rsidP="00664080">
      <w:pPr>
        <w:spacing w:after="100" w:afterAutospacing="1" w:line="276" w:lineRule="auto"/>
        <w:rPr>
          <w:rFonts w:cs="Arial"/>
        </w:rPr>
      </w:pPr>
      <w:r w:rsidRPr="00664080">
        <w:rPr>
          <w:rFonts w:cs="Arial"/>
        </w:rPr>
        <w:t xml:space="preserve">U toku 2016. godine Poverenik u 68 pritužbi nije postupao zbog nenadležnosti, a u 128 zbog nepotpunosti pritužbe i drugih razloga koje onemogućavaju postupanje po pritužbi. Pritužbe koje su odbačene zbog nenadležnosti odnosile su se na povrede prava koja nisu u nadležnosti Poverenika, već drugih državnih organa. U ovim slučajevima se podnosioci pritužbe obaveštavaju o razlozima za odbacivanje pritužbe, a daju im se i informacije o tome koji je organ nadležan u konkretnom slučaju. Što se tiče pritužbi koje su bile nepotpune, najčešće podnosioci pritužbe ne naznače sve neophodne podatke da bi se po pritužbi moglo postupati, ili ne dostave dokaze, odnosno ne dopune dokumentaciju u ostavljenom roku. Svaki podnosilac nepotpune pritužbe obaveštava se o razlozima zbog kojih je pritužba nepotpuna, kao i o tome koje podatke je neophodno da dostavi i/ili šta treba da priloži uz pritužbu, uz ostavljanje roka od 15 dana za dopunu pritužbe. Ukoliko u ostavljenom roku podnosilac ne otkloni nedostatke, Poverenik za zaštitu ravnopravnosti ne postupa dalje po pritužbi. </w:t>
      </w:r>
    </w:p>
    <w:p w:rsidR="00664080" w:rsidRPr="00664080" w:rsidRDefault="00664080" w:rsidP="00664080">
      <w:pPr>
        <w:spacing w:after="100" w:afterAutospacing="1" w:line="276" w:lineRule="auto"/>
        <w:rPr>
          <w:rFonts w:cs="Arial"/>
        </w:rPr>
      </w:pPr>
      <w:r w:rsidRPr="00664080">
        <w:rPr>
          <w:rFonts w:cs="Arial"/>
        </w:rPr>
        <w:t>U 276 pritužbi je bilo očigledno da nema povrede prava na koju podnosilac pritužbe ukazuje, u 18 slučajeva je bio pokrenut ili okončan sudski postupak u istoj stvari, u četiri slučaja nije postupano zbog proteka vremena, zbog čega nije bilo moguće postići svrhu postupanja, u sedam slučajeva po pritužbi je već postupano a nisu ponuđeni novi dokazi, a 13 slučajeva pritužbi je povučeno.</w:t>
      </w:r>
    </w:p>
    <w:p w:rsidR="00664080" w:rsidRPr="00664080" w:rsidRDefault="00664080" w:rsidP="00664080">
      <w:pPr>
        <w:spacing w:after="100" w:afterAutospacing="1" w:line="276" w:lineRule="auto"/>
        <w:rPr>
          <w:rFonts w:cs="Arial"/>
          <w:lang w:val="sr-Latn-RS"/>
        </w:rPr>
      </w:pPr>
      <w:r w:rsidRPr="00664080">
        <w:rPr>
          <w:rFonts w:cs="Arial"/>
        </w:rPr>
        <w:t>U ovom delu izveštaja biće predstavljeni pojedini primeri značajni po sadržaju za razumevanje pojma diskriminacije, iz pritužbi koje su upućene Povereniku, a povodom kojih Poverenik nije dalje postupao jer je bilo očigledno da nema povrede prava na koje podnosilac pritužbe ukazuje, ili iz drugih razloga propisanih zakonom.</w:t>
      </w:r>
    </w:p>
    <w:p w:rsidR="00135D51" w:rsidRPr="00135D51" w:rsidRDefault="00664080" w:rsidP="00135D51">
      <w:pPr>
        <w:shd w:val="clear" w:color="auto" w:fill="04D9F6"/>
        <w:spacing w:before="240" w:after="100" w:afterAutospacing="1" w:line="276" w:lineRule="auto"/>
        <w:rPr>
          <w:rFonts w:eastAsia="Times New Roman" w:cs="Arial"/>
          <w:i/>
        </w:rPr>
      </w:pPr>
      <w:r w:rsidRPr="00664080">
        <w:rPr>
          <w:rFonts w:eastAsia="Times New Roman" w:cs="Arial"/>
          <w:i/>
          <w:lang w:val="sr-Latn-RS"/>
        </w:rPr>
        <w:t>Podnosilac pritužbe ne može da ostvari „puni radni staž“ zato što je završio fakultet</w:t>
      </w:r>
      <w:r>
        <w:rPr>
          <w:rFonts w:eastAsia="Times New Roman" w:cs="Arial"/>
          <w:i/>
          <w:lang w:val="sr-Latn-RS"/>
        </w:rPr>
        <w:t xml:space="preserve">  </w:t>
      </w:r>
    </w:p>
    <w:p w:rsidR="00664080" w:rsidRPr="00664080" w:rsidRDefault="00664080" w:rsidP="00664080">
      <w:pPr>
        <w:spacing w:before="240" w:after="100" w:afterAutospacing="1" w:line="276" w:lineRule="auto"/>
        <w:rPr>
          <w:rFonts w:cs="Arial"/>
        </w:rPr>
      </w:pPr>
      <w:r w:rsidRPr="00664080">
        <w:rPr>
          <w:rFonts w:cs="Arial"/>
        </w:rPr>
        <w:t>Pritužba je podneta protiv Ministarstva zdravlja zbog odluke da se sa zaposlenima u zdravstvenim ustanovama ne zaključuju sporazumi o produženju radnog odnosa nakon prestanka radnog odnosa zaposlenih koji su navršili 65 godina života i stekli najmanje 15 godina staža osiguranja. Podnosilac pritužbe smatra da je na ovaj način ministar zloupotrebio svoja ovlašćenja i da je diskriminisan u odnosu na osobe koje su radni odnos zasnovale sa osnovnom ili srednjom školom, pa mogu da ostvare duži staž osiguranja do svoje 65. godine života.</w:t>
      </w:r>
    </w:p>
    <w:p w:rsidR="00664080" w:rsidRPr="00664080" w:rsidRDefault="00664080" w:rsidP="00664080">
      <w:pPr>
        <w:spacing w:before="240" w:after="100" w:afterAutospacing="1" w:line="276" w:lineRule="auto"/>
        <w:rPr>
          <w:rFonts w:cs="Arial"/>
        </w:rPr>
      </w:pPr>
      <w:r w:rsidRPr="00664080">
        <w:rPr>
          <w:rFonts w:cs="Arial"/>
        </w:rPr>
        <w:t>Zakon o radu</w:t>
      </w:r>
      <w:r>
        <w:rPr>
          <w:rStyle w:val="FootnoteReference"/>
          <w:rFonts w:cs="Arial"/>
        </w:rPr>
        <w:footnoteReference w:id="264"/>
      </w:r>
      <w:r w:rsidRPr="00664080">
        <w:rPr>
          <w:rFonts w:cs="Arial"/>
        </w:rPr>
        <w:t xml:space="preserve">  u članu 175. propisuje situacije u kojima radni odnos prestaje po sili zakona. Jedan od razloga je kad zaposleni navrši 65 godina života i najmanje 15 godina staža osiguranja, ukoliko se poslodavac i zaposleni drugačije ne sporazumeju. </w:t>
      </w:r>
    </w:p>
    <w:p w:rsidR="00664080" w:rsidRPr="00664080" w:rsidRDefault="00664080" w:rsidP="00664080">
      <w:pPr>
        <w:spacing w:before="240" w:after="100" w:afterAutospacing="1" w:line="276" w:lineRule="auto"/>
        <w:rPr>
          <w:rFonts w:cs="Arial"/>
        </w:rPr>
      </w:pPr>
      <w:r w:rsidRPr="00664080">
        <w:rPr>
          <w:rFonts w:cs="Arial"/>
        </w:rPr>
        <w:t>S druge strane, Zakon o penzijskom i invalidskom osiguranju</w:t>
      </w:r>
      <w:r>
        <w:rPr>
          <w:rStyle w:val="FootnoteReference"/>
          <w:rFonts w:cs="Arial"/>
        </w:rPr>
        <w:footnoteReference w:id="265"/>
      </w:r>
      <w:r w:rsidRPr="00664080">
        <w:rPr>
          <w:rFonts w:cs="Arial"/>
        </w:rPr>
        <w:t xml:space="preserve">  utvrđuje prava iz penzijskog i invalidskog osiguranja i to za slučaj starosti, invalidnosti, smrti, telesnog oštećenja </w:t>
      </w:r>
      <w:r w:rsidRPr="00664080">
        <w:rPr>
          <w:rFonts w:cs="Arial"/>
        </w:rPr>
        <w:lastRenderedPageBreak/>
        <w:t xml:space="preserve">prouzrokovanog povredom na radu ili profesionalnom bolešću, kao i za slučaj potrebe za negom i pomoći trećeg lica. Prema odredbi člana 19. ovog zakona, osiguranik stiče pravo na penziju: 1) kada navrši 65 godina života i najmanje 15 godina staža osiguranja; 2) kada navrši 45 godina staža osiguranja. Navedene uslove ne treba poistovećivati s razlozima za prestanak radnog odnosa. Ovo su uslovi za ostvarivanje prava na starosnu penziju. </w:t>
      </w:r>
    </w:p>
    <w:p w:rsidR="00664080" w:rsidRPr="00664080" w:rsidRDefault="00664080" w:rsidP="00664080">
      <w:pPr>
        <w:spacing w:before="240" w:after="100" w:afterAutospacing="1" w:line="276" w:lineRule="auto"/>
        <w:rPr>
          <w:rFonts w:cs="Arial"/>
        </w:rPr>
      </w:pPr>
      <w:r w:rsidRPr="00664080">
        <w:rPr>
          <w:rFonts w:cs="Arial"/>
        </w:rPr>
        <w:t xml:space="preserve">Poslodavac nije izrazio potrebu da se zaključi sporazum o produženju radnog odnosa. Takva odluka poslodavca odnosi se na sva lica zaposlena u zdravstvenim ustanovama, bez razlike u odnosu na bilo koje lično svojstvo. </w:t>
      </w:r>
    </w:p>
    <w:p w:rsidR="00664080" w:rsidRPr="00664080" w:rsidRDefault="00664080" w:rsidP="00664080">
      <w:pPr>
        <w:spacing w:before="240" w:after="100" w:afterAutospacing="1" w:line="276" w:lineRule="auto"/>
        <w:rPr>
          <w:rFonts w:cs="Arial"/>
        </w:rPr>
      </w:pPr>
      <w:r w:rsidRPr="00664080">
        <w:rPr>
          <w:rFonts w:cs="Arial"/>
        </w:rPr>
        <w:t xml:space="preserve">Neka lica u trenutku kada navrše 65 godina života imaju duži, a neka kraći staž osiguranja. Međutim, navedena činjenica nije u vezi s bilo kojim ličnim svojstvom osiguranika, već s vremenskim periodom uplaćivanja doprinosa u fond penzijskog i invalidskog osiguranja. Treba imati u vidu i da se nekim osiguranicima staž osiguranja računa s uvećanim trajanjem (takozvani beneficirani radni staž). Takođe, sticanjem uslova za ostvarivanje starosne penzije, osiguranici ne gube pravo na rad, pa radni odnos mogu produžiti kod poslodavca ukoliko postoji obostrana saglasnost, ili zasnovati radni odnos kod drugog poslodavca. </w:t>
      </w:r>
    </w:p>
    <w:p w:rsidR="00664080" w:rsidRPr="00664080" w:rsidRDefault="00664080" w:rsidP="00664080">
      <w:pPr>
        <w:spacing w:before="240" w:after="100" w:afterAutospacing="1" w:line="276" w:lineRule="auto"/>
        <w:rPr>
          <w:rFonts w:cs="Arial"/>
        </w:rPr>
      </w:pPr>
      <w:r w:rsidRPr="00664080">
        <w:rPr>
          <w:rFonts w:cs="Arial"/>
        </w:rPr>
        <w:t xml:space="preserve">Period od 45 godina staža osiguranja, koji je naveden u odredbi člana 19. Zakona o penzijskom i invalidskom osiguranju, nije uslov za prestanak radnog odnosa, niti je to period staža osiguranja koji svi osiguranici moraju da imaju, već to predstavlja uslov za sticanje starosne penzije bez obzira na godine života. Kako što je već navedeno, to nije jedini način na koji osiguranik može da ostvari pravo na penziju. </w:t>
      </w:r>
    </w:p>
    <w:p w:rsidR="00664080" w:rsidRPr="00664080" w:rsidRDefault="00664080" w:rsidP="00664080">
      <w:pPr>
        <w:spacing w:before="240" w:after="100" w:afterAutospacing="1" w:line="276" w:lineRule="auto"/>
        <w:rPr>
          <w:rFonts w:cs="Arial"/>
          <w:lang w:val="sr-Latn-RS"/>
        </w:rPr>
      </w:pPr>
      <w:r w:rsidRPr="00664080">
        <w:rPr>
          <w:rFonts w:cs="Arial"/>
        </w:rPr>
        <w:t>Prema činjenicama koje su navedene očigledno je da nije došlo do pravljenja razlike ili nejednakog postupanja po bilo kom ličnom svojstvu podnosioca pritužbe, te zbog toga u konkretnom slučaju nema povrede prava u smislu Zakona o zabrani diskriminacije.</w:t>
      </w:r>
    </w:p>
    <w:p w:rsidR="00135D51" w:rsidRPr="00A35596" w:rsidRDefault="00A35596" w:rsidP="00DE1D8E">
      <w:pPr>
        <w:shd w:val="clear" w:color="auto" w:fill="04D9F6"/>
        <w:spacing w:before="240" w:after="0" w:line="276" w:lineRule="auto"/>
        <w:rPr>
          <w:rFonts w:eastAsia="Times New Roman" w:cs="Arial"/>
          <w:i/>
          <w:lang w:val="sr-Latn-RS"/>
        </w:rPr>
      </w:pPr>
      <w:r w:rsidRPr="00A35596">
        <w:rPr>
          <w:rFonts w:eastAsia="Times New Roman" w:cs="Arial"/>
          <w:i/>
        </w:rPr>
        <w:t>Postavljanjem gornje starosne granice, Fond za mlade talente nije učinio akt diskriminacije</w:t>
      </w:r>
    </w:p>
    <w:p w:rsidR="00A35596" w:rsidRPr="00A35596" w:rsidRDefault="00A35596" w:rsidP="00A35596">
      <w:pPr>
        <w:spacing w:after="360" w:line="276" w:lineRule="auto"/>
        <w:rPr>
          <w:rFonts w:eastAsia="Times New Roman" w:cs="Arial"/>
        </w:rPr>
      </w:pPr>
      <w:r w:rsidRPr="00A35596">
        <w:rPr>
          <w:rFonts w:eastAsia="Times New Roman" w:cs="Arial"/>
        </w:rPr>
        <w:t xml:space="preserve">Pritužba je podneta protiv Ministarstva prosvete i nauke, zbog navodne diskriminacije studenata na osnovu starosnog doba, zbog toga što pravo učešća na konkursu za mlade talente imaju samo studenti koji nisu stariji od 30 godina. </w:t>
      </w:r>
    </w:p>
    <w:p w:rsidR="00A35596" w:rsidRPr="00A35596" w:rsidRDefault="00A35596" w:rsidP="00A35596">
      <w:pPr>
        <w:spacing w:after="360" w:line="276" w:lineRule="auto"/>
        <w:rPr>
          <w:rFonts w:eastAsia="Times New Roman" w:cs="Arial"/>
        </w:rPr>
      </w:pPr>
      <w:r w:rsidRPr="00A35596">
        <w:rPr>
          <w:rFonts w:eastAsia="Times New Roman" w:cs="Arial"/>
        </w:rPr>
        <w:t xml:space="preserve">Podnosiocu pritužbe je najpre pojašnjeno da je Fond za mlade talente koji je raspisao konkurs za stipendiranje najboljih studenata, u nadležnosti Ministarstva omladine i sporta. Obrazovan je s ciljem da se stvore mogućnosti za pružanje podrške u finansiranju školovanja i usavršavanja mladih talenata i predstavlja jednu od posebnih mera koje su usmerene ka tome da se pruži dodatna podrška mladim ljudima. Postavljanje gornje starosne granice obezbeđuje da stipendiju dobiju studenti koji nisu pravili pauzu u obrazovanju i koji su tokom svog školovanja bili efikasni. Naime, ukoliko se uzme u obzir da se osnovne studije redovno upisuju odmah posle završene srednje škole, sa 18 ili 19 godina, efikasni studenti će upisati završnu godinu studija za 4,5 ili 6 godina, zavisno od broja semestara, odnosno godina trajanja studija. Iz tog razloga je postavljen uslov da stipendiju mogu dobiti studenti osnovnih akademskih studija koji nisu navršili 25 godina, odnosno, master akademskih studija koji nisu </w:t>
      </w:r>
      <w:r w:rsidRPr="00A35596">
        <w:rPr>
          <w:rFonts w:eastAsia="Times New Roman" w:cs="Arial"/>
        </w:rPr>
        <w:lastRenderedPageBreak/>
        <w:t>navršili 27 godina. Pri tome treba imati u vidu da je Nacionalnom strategijom za mlade</w:t>
      </w:r>
      <w:r w:rsidR="00546B13">
        <w:rPr>
          <w:rStyle w:val="FootnoteReference"/>
          <w:rFonts w:eastAsia="Times New Roman" w:cs="Arial"/>
        </w:rPr>
        <w:footnoteReference w:id="266"/>
      </w:r>
      <w:r w:rsidRPr="00A35596">
        <w:rPr>
          <w:rFonts w:eastAsia="Times New Roman" w:cs="Arial"/>
        </w:rPr>
        <w:t xml:space="preserve">  i Zakonom o mladima</w:t>
      </w:r>
      <w:r w:rsidR="00546B13">
        <w:rPr>
          <w:rStyle w:val="FootnoteReference"/>
          <w:rFonts w:eastAsia="Times New Roman" w:cs="Arial"/>
        </w:rPr>
        <w:footnoteReference w:id="267"/>
      </w:r>
      <w:r w:rsidRPr="00A35596">
        <w:rPr>
          <w:rFonts w:eastAsia="Times New Roman" w:cs="Arial"/>
        </w:rPr>
        <w:t xml:space="preserve">  propisano da su mladi osobe od 15 do 30 godina. Drugim rečima, država na ovaj način pomaže školovanje studenata koji su mladi talenti, koji su se za akademsko obrazovanje opredelili odmah nakon završene srednje škole, koji uredno izvršavaju svoje obaveze, koji su svoj talenat već potvrdili visokom prosečnom ocenom i upisom završne godine do određenog životnog doba, tako što im kroz stipendiju obezbeđuje bolje uslove rada i školovanja. </w:t>
      </w:r>
    </w:p>
    <w:p w:rsidR="00A35596" w:rsidRPr="00A35596" w:rsidRDefault="00A35596" w:rsidP="00A35596">
      <w:pPr>
        <w:spacing w:after="360" w:line="276" w:lineRule="auto"/>
        <w:rPr>
          <w:rFonts w:eastAsia="Times New Roman" w:cs="Arial"/>
          <w:lang w:val="sr-Latn-RS"/>
        </w:rPr>
      </w:pPr>
      <w:r w:rsidRPr="00A35596">
        <w:rPr>
          <w:rFonts w:eastAsia="Times New Roman" w:cs="Arial"/>
        </w:rPr>
        <w:t>Imajući sve to u vidu, evidentno je da finansiranje studenata završnih godina osnovnih ili master studija koji nisu navršili određene godine života predstavlja jednu od posebnih (afirmativnih) mera koje su usmerene ka tome da se pruži dodatna podrška mladim ljudima, kao i pravo i mogućnost države da pruži dodatnu podršku jednom broju studenata koji su školovanje na akademskim studijama nastavili bez prekida u obrazovanju. Zbog svega navedenog, može se konstatovati da u konkretnom slučaju nema povrede propisa koji zabranjuju diskriminaciju.</w:t>
      </w:r>
    </w:p>
    <w:p w:rsidR="00135D51" w:rsidRPr="00135D51" w:rsidRDefault="00AB6686" w:rsidP="00135D51">
      <w:pPr>
        <w:shd w:val="clear" w:color="auto" w:fill="04D9F6"/>
        <w:spacing w:after="0" w:line="276" w:lineRule="auto"/>
        <w:rPr>
          <w:rFonts w:eastAsia="Times New Roman" w:cs="Arial"/>
          <w:i/>
        </w:rPr>
      </w:pPr>
      <w:r w:rsidRPr="00AB6686">
        <w:rPr>
          <w:rFonts w:eastAsia="Times New Roman" w:cs="Arial"/>
          <w:i/>
        </w:rPr>
        <w:t>Učesnik ratova 90-ih smatra da je diskriminisan u odnosu na učesnike NOB-a, jer mu nije odobreno pravo na besplatan prevoz</w:t>
      </w:r>
      <w:r>
        <w:rPr>
          <w:rFonts w:eastAsia="Times New Roman" w:cs="Arial"/>
          <w:i/>
          <w:lang w:val="sr-Latn-RS"/>
        </w:rPr>
        <w:t xml:space="preserve"> </w:t>
      </w:r>
    </w:p>
    <w:p w:rsidR="00AB6686" w:rsidRPr="00AB6686" w:rsidRDefault="00AB6686" w:rsidP="00AB6686">
      <w:pPr>
        <w:spacing w:before="240" w:after="0" w:line="276" w:lineRule="auto"/>
        <w:rPr>
          <w:rFonts w:eastAsia="Times New Roman" w:cs="Arial"/>
        </w:rPr>
      </w:pPr>
      <w:r w:rsidRPr="00AB6686">
        <w:rPr>
          <w:rFonts w:eastAsia="Times New Roman" w:cs="Arial"/>
        </w:rPr>
        <w:t>Poverenik za zaštitu ravnopravnosti primio je pritužbu protiv Gradske uprave Grada Beograda, Sekretarijata za saobraćaj, Direkcije za javni prevoz. U pritužbi je navedeno da je podnosilac pritužbe četiri godine koristio „bus plus“ karticu tipa „V 11“, na osnovu tada važećeg pravilnika, koji je propisivao pravo na besplatan prevoz borcima narodnooslobodilačkih ratova i slično. Pozivao se na tu odredbu s obzirom da je borac ratova devedesetih i član Udruženja boraca ratova devedesetih. Krajem septembra 2016. godine, molba podnosioca pritužbe je odbijena, iako je podneo istu dokumentaciju, a upućen je na Direkciju za javni prevoz, koja je takođe odbila njegovu molbu. Podnosilac pritužbe je naveo da je novim pravilnikom određeno da pravo na „V 11“ karticu imaju nosioci ordena, kao i da je dodata rečenica – da „borci ratova posle 1990. nemaju pravo na ’V 11’ karticu“. Smatra da je diskriminisan u odnosu na učesnike NOB-a.</w:t>
      </w:r>
    </w:p>
    <w:p w:rsidR="00AB6686" w:rsidRPr="00AB6686" w:rsidRDefault="00AB6686" w:rsidP="00AB6686">
      <w:pPr>
        <w:spacing w:before="240" w:after="0" w:line="276" w:lineRule="auto"/>
        <w:rPr>
          <w:rFonts w:eastAsia="Times New Roman" w:cs="Arial"/>
        </w:rPr>
      </w:pPr>
      <w:r w:rsidRPr="00AB6686">
        <w:rPr>
          <w:rFonts w:eastAsia="Times New Roman" w:cs="Arial"/>
        </w:rPr>
        <w:t>Uvidom u Pravilnik o tarifnom sistemu u javnom linijskom prevozu putnika na teritoriji grada Beograda</w:t>
      </w:r>
      <w:r w:rsidR="00A90793">
        <w:rPr>
          <w:rStyle w:val="FootnoteReference"/>
          <w:rFonts w:eastAsia="Times New Roman" w:cs="Arial"/>
        </w:rPr>
        <w:footnoteReference w:id="268"/>
      </w:r>
      <w:r w:rsidRPr="00AB6686">
        <w:rPr>
          <w:rFonts w:eastAsia="Times New Roman" w:cs="Arial"/>
        </w:rPr>
        <w:t xml:space="preserve"> , utvrđeno je da je članom 34. stav 1. tačka 13. propisano da pravo na besplatan prevoz imaju nosioci Ordena narodnog heroja i nosioci Partizanske spomenice 1941. godine, kao i korisnici koji su to pravo stekli na osnovu saveznih i republičkih propisa, pod uslovom da imaju odgovarajuću legitimaciju izdatu od nadležnog organa kojom dokazuju ovaj status. Dakle, ovo pravo ne ostvaruju svi učesnici NOB-a, kao što je istaknuto u pritužbi, a u pravilniku se takođe ne navodi da borci ratova 90-ih nemaju pravo na besplatan prevoz.</w:t>
      </w:r>
    </w:p>
    <w:p w:rsidR="00AB6686" w:rsidRPr="00AB6686" w:rsidRDefault="00AB6686" w:rsidP="00AB6686">
      <w:pPr>
        <w:spacing w:before="240" w:after="0" w:line="276" w:lineRule="auto"/>
        <w:rPr>
          <w:rFonts w:eastAsia="Times New Roman" w:cs="Arial"/>
        </w:rPr>
      </w:pPr>
      <w:r w:rsidRPr="00AB6686">
        <w:rPr>
          <w:rFonts w:eastAsia="Times New Roman" w:cs="Arial"/>
        </w:rPr>
        <w:t>Zakon o osnovnim pravima lica odlikovanih Ordenom narodnog heroja</w:t>
      </w:r>
      <w:r w:rsidR="00A90793">
        <w:rPr>
          <w:rStyle w:val="FootnoteReference"/>
          <w:rFonts w:eastAsia="Times New Roman" w:cs="Arial"/>
        </w:rPr>
        <w:footnoteReference w:id="269"/>
      </w:r>
      <w:r w:rsidRPr="00AB6686">
        <w:rPr>
          <w:rFonts w:eastAsia="Times New Roman" w:cs="Arial"/>
        </w:rPr>
        <w:t xml:space="preserve">  propisuje svim licima koja su odlikovana Ordenom narodnog heroja pravo na povlašćenu i besplatnu vožnju.</w:t>
      </w:r>
    </w:p>
    <w:p w:rsidR="00AB6686" w:rsidRPr="00AB6686" w:rsidRDefault="00AB6686" w:rsidP="00AB6686">
      <w:pPr>
        <w:spacing w:before="240" w:after="0" w:line="276" w:lineRule="auto"/>
        <w:rPr>
          <w:rFonts w:eastAsia="Times New Roman" w:cs="Arial"/>
        </w:rPr>
      </w:pPr>
      <w:r w:rsidRPr="00AB6686">
        <w:rPr>
          <w:rFonts w:eastAsia="Times New Roman" w:cs="Arial"/>
        </w:rPr>
        <w:lastRenderedPageBreak/>
        <w:t>Zakon o osnovnim pravima boraca, vojnih invalida i porodica palih boraca</w:t>
      </w:r>
      <w:r w:rsidR="00A90793">
        <w:rPr>
          <w:rStyle w:val="FootnoteReference"/>
          <w:rFonts w:eastAsia="Times New Roman" w:cs="Arial"/>
        </w:rPr>
        <w:footnoteReference w:id="270"/>
      </w:r>
      <w:r w:rsidRPr="00AB6686">
        <w:rPr>
          <w:rFonts w:eastAsia="Times New Roman" w:cs="Arial"/>
        </w:rPr>
        <w:t xml:space="preserve">  pod nazivom „borac“ podrazumeva i učesnike narodnooslobodilačkog rata, kao i lica koja su vršila dužnosti za vojne ciljeve i ciljeve državne bezbednosti u oružanim akcijama nakon 17. avgusta 1990. godine. Istim zakonom u članu 21. propisano je pravo na besplatnu i povlašćenu vožnju vojnih invalida, članova porodice palih boraca i članova porodice vojnih invalida. Dakle, ovom merom nisu obuhvaćeni svi borci, bez obzira na to u kom ratu su učestvovali, već je kriterijum invaliditet koji su tim učešćem zadobili.</w:t>
      </w:r>
    </w:p>
    <w:p w:rsidR="00AB6686" w:rsidRPr="00AB6686" w:rsidRDefault="00AB6686" w:rsidP="00AB6686">
      <w:pPr>
        <w:spacing w:before="240" w:after="0" w:line="276" w:lineRule="auto"/>
        <w:rPr>
          <w:rFonts w:eastAsia="Times New Roman" w:cs="Arial"/>
        </w:rPr>
      </w:pPr>
      <w:r w:rsidRPr="00AB6686">
        <w:rPr>
          <w:rFonts w:eastAsia="Times New Roman" w:cs="Arial"/>
        </w:rPr>
        <w:t xml:space="preserve">Poverenik za zaštitu ravnopravnosti je ukazao da, prema zakonskim propisima u oblasti zaštite od diskriminacije, nije svako pravljenje razlike istovremeno i diskriminatorno postupanje. U skladu sa svojim mogućnostima, pružalac usluge može da pruži određene povlastice pojedinim grupama korisnika koji se nalaze u nejednakom položaju sa ostalim građanima, tj. da prema tim grupama korisnika ustanovi posebne (afirmativne) mere. Naime, odredbom člana 14. Zakona o zabrani diskriminacije propisano je da se ne smatraju diskriminacijom posebne mere uvedene radi postizanja pune ravnopravnosti, zaštite i napretka lica, odnosno grupe lica koja se nalaze u nejednakom položaju. </w:t>
      </w:r>
    </w:p>
    <w:p w:rsidR="00AB6686" w:rsidRPr="00AB6686" w:rsidRDefault="00AB6686" w:rsidP="00AB6686">
      <w:pPr>
        <w:spacing w:before="240" w:after="0" w:line="276" w:lineRule="auto"/>
        <w:rPr>
          <w:rFonts w:eastAsia="Times New Roman" w:cs="Arial"/>
        </w:rPr>
      </w:pPr>
      <w:r w:rsidRPr="00AB6686">
        <w:rPr>
          <w:rFonts w:eastAsia="Times New Roman" w:cs="Arial"/>
        </w:rPr>
        <w:t>Tako na primer, Gradska uprava grada Beograda je Pravilnikom o tarifnom sistemu, izdvojila određene grupe lica (lica obolela od cerebralne paralize, slepa lica i njihov pratilac, lica obolela od mišićne distrofije i hemofilije, invalidi rada usled posledica bolesti sa 100% invalidnosti itd.) za koje je propisala posebnu (afirmativnu) meru, koja se sastoji u omogućavanju besplatnog prevoza.</w:t>
      </w:r>
    </w:p>
    <w:p w:rsidR="00AB6686" w:rsidRDefault="00AB6686" w:rsidP="00AB6686">
      <w:pPr>
        <w:spacing w:before="240" w:after="0" w:line="276" w:lineRule="auto"/>
        <w:rPr>
          <w:rFonts w:eastAsia="Times New Roman" w:cs="Arial"/>
          <w:lang w:val="sr-Latn-RS"/>
        </w:rPr>
      </w:pPr>
      <w:r w:rsidRPr="00AB6686">
        <w:rPr>
          <w:rFonts w:eastAsia="Times New Roman" w:cs="Arial"/>
        </w:rPr>
        <w:t>Na osnovu navedenih zakonskih propisa proizlazi da pravo na besplatan prevoz imaju ili ona lica kojima je to pravo priznato posebnim propisima ili posebno ranjive grupe u okviru afirmativnih mera za postizanje ravnopravnosti. Učesnicima ratova koji nisu nosioci odlikovanja, bez obzira na to da li su borci Narodnooslobodilačkog rata ili ratova posle 1990. godine, nije utvrđeno pravo na besplatan prevoz na osnovu zakona, kao ni na osnovu Pravilnika o tarifnom sistemu u javnom linijskom prevozu putnika na teritoriji grada Beograda. S obzirom na navedene činjenice, nema povrede prava na koju podnosilac ukazuje.</w:t>
      </w:r>
    </w:p>
    <w:p w:rsidR="00135D51" w:rsidRPr="00135D51" w:rsidRDefault="00A90793" w:rsidP="000C558B">
      <w:pPr>
        <w:shd w:val="clear" w:color="auto" w:fill="04D9F6"/>
        <w:spacing w:before="360" w:after="0"/>
        <w:outlineLvl w:val="0"/>
        <w:rPr>
          <w:rFonts w:eastAsia="Times New Roman" w:cs="Arial"/>
          <w:i/>
        </w:rPr>
      </w:pPr>
      <w:bookmarkStart w:id="149" w:name="_Toc476904383"/>
      <w:bookmarkStart w:id="150" w:name="_Toc476908735"/>
      <w:bookmarkStart w:id="151" w:name="_Toc477248227"/>
      <w:bookmarkStart w:id="152" w:name="_Toc477248663"/>
      <w:bookmarkStart w:id="153" w:name="_Toc477250794"/>
      <w:bookmarkStart w:id="154" w:name="_Toc477251788"/>
      <w:r>
        <w:rPr>
          <w:rFonts w:cs="Arial"/>
          <w:i/>
          <w:lang w:val="sr-Latn-RS"/>
        </w:rPr>
        <w:t>Posredna diskriminacija interno raseljenih lica</w:t>
      </w:r>
      <w:bookmarkEnd w:id="149"/>
      <w:bookmarkEnd w:id="150"/>
      <w:bookmarkEnd w:id="151"/>
      <w:bookmarkEnd w:id="152"/>
      <w:bookmarkEnd w:id="153"/>
      <w:bookmarkEnd w:id="154"/>
    </w:p>
    <w:p w:rsidR="00A90793" w:rsidRPr="00A90793" w:rsidRDefault="00A90793" w:rsidP="00A90793">
      <w:pPr>
        <w:spacing w:after="0" w:line="276" w:lineRule="auto"/>
        <w:rPr>
          <w:rFonts w:eastAsia="Times New Roman" w:cs="Arial"/>
        </w:rPr>
      </w:pPr>
      <w:r w:rsidRPr="00A90793">
        <w:rPr>
          <w:rFonts w:eastAsia="Times New Roman" w:cs="Arial"/>
        </w:rPr>
        <w:t xml:space="preserve">Poverenik za zaštitu ravnopravnosti primio je više pritužbi protiv jedne lokalne samouprave povodom Odluke o ostvarivanju prava na naknadu troškova za vantelesnu oplodnju. Odlukom se određuju bliži uslovi, kriterijumi, način i postupak za ostvarivanje prava na naknadu troškova za vantelesnu oplodnju. Članom 3. stav 1. tačka 2. Odluke propisano je da par može ostvariti pravo na naknadu troškova vantelesne oplodnje „ukoliko ima prebivalište na teritoriji grada Kraljeva najmanje tri godine pre podnošenja zahteva“. Podnositelji pritužbi navode da ovako formulisana odredba diskriminiše interno raseljena lica koja imaju prebivališta u opštinama na Kosovu, a boravište u ovoj lokalnoj samoupravi. Naime, oni se već duži niz godina (duže od tri godine) zbog stanja na Kosovu nalaze u ovoj lokalnoj samoupravi, koja predstavlja središte njihovih privatnih i poslovnih aktivnosti, ali zbog svog statusa interno raseljenog lica nemaju prijavljeno prebivalište, već boravište. </w:t>
      </w:r>
    </w:p>
    <w:p w:rsidR="00A90793" w:rsidRPr="00A90793" w:rsidRDefault="00A90793" w:rsidP="00A90793">
      <w:pPr>
        <w:spacing w:after="0" w:line="276" w:lineRule="auto"/>
        <w:rPr>
          <w:rFonts w:eastAsia="Times New Roman" w:cs="Arial"/>
        </w:rPr>
      </w:pPr>
      <w:r w:rsidRPr="00A90793">
        <w:rPr>
          <w:rFonts w:eastAsia="Times New Roman" w:cs="Arial"/>
        </w:rPr>
        <w:lastRenderedPageBreak/>
        <w:t>Podnositelji pritužbi ukazali su na relevantne odredbe Evropske konvencije za zaštitu ljudskih prava i osnovnih sloboda</w:t>
      </w:r>
      <w:r>
        <w:rPr>
          <w:rStyle w:val="FootnoteReference"/>
          <w:rFonts w:eastAsia="Times New Roman" w:cs="Arial"/>
        </w:rPr>
        <w:footnoteReference w:id="271"/>
      </w:r>
      <w:r w:rsidRPr="00A90793">
        <w:rPr>
          <w:rFonts w:eastAsia="Times New Roman" w:cs="Arial"/>
        </w:rPr>
        <w:t xml:space="preserve"> , Ženevske konvencije o statusu izbeglica iz 1951. godine, ali i na Vodeće principe Ujedinjenih nacija o internom raseljavanju, u kojima se navodi da interno raseljena lica uživaju potpuno jednako ista prava i slobode po međunarodnom i domaćem pravu kao i svi drugi pojedinci u njihovoj zemlji.</w:t>
      </w:r>
    </w:p>
    <w:p w:rsidR="00A90793" w:rsidRPr="00A90793" w:rsidRDefault="00A90793" w:rsidP="00A90793">
      <w:pPr>
        <w:spacing w:after="0" w:line="276" w:lineRule="auto"/>
        <w:rPr>
          <w:rFonts w:eastAsia="Times New Roman" w:cs="Arial"/>
        </w:rPr>
      </w:pPr>
      <w:r w:rsidRPr="00A90793">
        <w:rPr>
          <w:rFonts w:eastAsia="Times New Roman" w:cs="Arial"/>
        </w:rPr>
        <w:t>Tokom postupka, predsednik Skupštine grada je obavestio Poverenika za zaštitu ravnopravnosti da je Odluka o vantelesnoj oplodnji dopunjena, tako da obuhvata i lica koja imaju boravište na teritoriji grada duže od tri godine, a ispunjavaju ostale uslove.</w:t>
      </w:r>
    </w:p>
    <w:p w:rsidR="00A90793" w:rsidRPr="00A90793" w:rsidRDefault="00A90793" w:rsidP="00A90793">
      <w:pPr>
        <w:spacing w:after="0" w:line="276" w:lineRule="auto"/>
        <w:rPr>
          <w:rFonts w:eastAsia="Times New Roman" w:cs="Arial"/>
          <w:lang w:val="sr-Latn-RS"/>
        </w:rPr>
      </w:pPr>
      <w:r w:rsidRPr="00A90793">
        <w:rPr>
          <w:rFonts w:eastAsia="Times New Roman" w:cs="Arial"/>
        </w:rPr>
        <w:t>Zbog navedene izmene, podnositelji pritužbe su povukli pritužbe, usled čega je postupak obustavljen.</w:t>
      </w:r>
    </w:p>
    <w:p w:rsidR="00135D51" w:rsidRPr="00A90793" w:rsidRDefault="00A90793" w:rsidP="000C558B">
      <w:pPr>
        <w:shd w:val="clear" w:color="auto" w:fill="04D9F6"/>
        <w:spacing w:before="360" w:after="0" w:line="276" w:lineRule="auto"/>
        <w:rPr>
          <w:rFonts w:cs="Arial"/>
          <w:lang w:val="sr-Latn-RS"/>
        </w:rPr>
      </w:pPr>
      <w:r w:rsidRPr="00A90793">
        <w:rPr>
          <w:rFonts w:cs="Arial"/>
          <w:i/>
        </w:rPr>
        <w:t>Studiranje na fakultetima čiji je osnivač Republika Srbija kao uslov za stipendiranje romskih s</w:t>
      </w:r>
      <w:r>
        <w:rPr>
          <w:rFonts w:cs="Arial"/>
          <w:i/>
        </w:rPr>
        <w:t>tudenata od lokalne samouprave</w:t>
      </w:r>
    </w:p>
    <w:p w:rsidR="000467FC" w:rsidRPr="000467FC" w:rsidRDefault="000467FC" w:rsidP="000467FC">
      <w:pPr>
        <w:spacing w:line="276" w:lineRule="auto"/>
        <w:rPr>
          <w:rFonts w:cs="Arial"/>
        </w:rPr>
      </w:pPr>
      <w:r w:rsidRPr="000467FC">
        <w:rPr>
          <w:rFonts w:cs="Arial"/>
        </w:rPr>
        <w:t>Službeno lice gradske uprave za društvene delatnosti, finansije, imovinske i inspekcijske poslove zatražilo je mišljenje Poverenika za zaštitu ravnopravnosti povodom Odluke o stipendiranju romskih studenata koju uprava namerava da sačini. Naime, ovo lice interesovalo je da li bi uslov za kandidate da pohađaju fakultete i univerzitete čiji je osnivač Republika Srbija bio diskriminatoran, budući da gradska uprava razmatra postavljanje ovog uslova imajući u vidu praksu koju praktikuje Ministarstvo prosvete kada dodeljuje učeničke i studentske stipendije i kredite, kao i praksu koja već postoji prilikom stipendiranja talentovanih valjevskih učenika i studenata.</w:t>
      </w:r>
    </w:p>
    <w:p w:rsidR="000467FC" w:rsidRPr="000467FC" w:rsidRDefault="000467FC" w:rsidP="000467FC">
      <w:pPr>
        <w:spacing w:line="276" w:lineRule="auto"/>
        <w:rPr>
          <w:rFonts w:cs="Arial"/>
        </w:rPr>
      </w:pPr>
      <w:r w:rsidRPr="000467FC">
        <w:rPr>
          <w:rFonts w:cs="Arial"/>
        </w:rPr>
        <w:t xml:space="preserve">Poverenica za zaštitu ravnopravnosti ukazala je da su lokalne samouprave i Republika Srbija u potpuno drugačijem položaju po pitanju sprovođenja politike obrazovanja i finansiranja studenata, te da se njihove nadležnosti ne mogu upoređivati. Naime, Republika Srbija je, za razliku od jedinica lokalne samouprave, osnivač određenih visokoškolskih ustanova, te u skladu s tim država može da omogući nešto bolje uslove školovanja onim studentima koji se školuju na fakultetima čiji je ona osnivač. Drugim rečima, opravdano je da država pomaže školovanje studenata fakulteta čiji je osnivač, a koji pripadaju marginalizovanim društvenim grupama, tako što im kroz stipendiju obezbeđuje bolje uslove rada i školovanja i na taj način im pruža podršku da dostignu stvarnu ravnopravnost sa većinskim stanovništvom. Na ovaj način nije ugroženo pravo studenata fakulteta čiji osnivač nije država, jer oni mogu da budu stipendirani preko drugih finansijera, među koje spadaju i jedinice lokalne samouprave na čijem području imaju prebivalište.  </w:t>
      </w:r>
    </w:p>
    <w:p w:rsidR="000467FC" w:rsidRPr="000467FC" w:rsidRDefault="000467FC" w:rsidP="000467FC">
      <w:pPr>
        <w:spacing w:line="276" w:lineRule="auto"/>
        <w:rPr>
          <w:rFonts w:cs="Arial"/>
        </w:rPr>
      </w:pPr>
      <w:r w:rsidRPr="000467FC">
        <w:rPr>
          <w:rFonts w:cs="Arial"/>
        </w:rPr>
        <w:t xml:space="preserve">Iz dopisa službenog lica gradske uprave može se utvrditi da je cilj grada da sprovede posebnu (afirmativnu) meru tako što će stipendirati studente pripadnike romske nacionalne manjine, čime će se u krajnjoj liniji povećati broj visokoobrazovanih Roma i Romkinja koji žive na teritoriji ovog grada, što je, prema mišljenju poverenice, od velike važnosti za postizanje pune ravnopravnosti ove marginalizovane društvene grupe. Stoga, imajući u vidu cilj grada da stipendira romske studente i time poveća broj fakultetski obrazovanih pripadnika romske nacionalne manjine, nije jasno iz kog razloga bi se postavljao uslov koji bi isključio romske studente koji pohađaju fakultete čiji je osnivač privatni subjekt. </w:t>
      </w:r>
    </w:p>
    <w:p w:rsidR="000467FC" w:rsidRPr="000467FC" w:rsidRDefault="000467FC" w:rsidP="000467FC">
      <w:pPr>
        <w:spacing w:line="276" w:lineRule="auto"/>
        <w:rPr>
          <w:rFonts w:cs="Arial"/>
        </w:rPr>
      </w:pPr>
      <w:r w:rsidRPr="000467FC">
        <w:rPr>
          <w:rFonts w:cs="Arial"/>
        </w:rPr>
        <w:t xml:space="preserve">Odredbom člana 14. Zakona o zabrani diskriminacije propisano je da se ne smatraju diskriminacijom posebne mere uvedene radi postizanja pune ravnopravnosti, zaštite i </w:t>
      </w:r>
      <w:r w:rsidRPr="000467FC">
        <w:rPr>
          <w:rFonts w:cs="Arial"/>
        </w:rPr>
        <w:lastRenderedPageBreak/>
        <w:t>napretka lica, odnosno grupe lica koja se nalaze u nejednakom položaju. Nadalje, odredbama člana 4. Zakona o visokom obrazovanju</w:t>
      </w:r>
      <w:r>
        <w:rPr>
          <w:rStyle w:val="FootnoteReference"/>
          <w:rFonts w:cs="Arial"/>
        </w:rPr>
        <w:footnoteReference w:id="272"/>
      </w:r>
      <w:r w:rsidRPr="000467FC">
        <w:rPr>
          <w:rFonts w:cs="Arial"/>
        </w:rPr>
        <w:t xml:space="preserve">  propisani su principi visokog obrazovanja, između ostalog i princip poštovanja ljudskih prava i građanskih sloboda, uključujući zabranu svih vidova diskriminacije, kao i princip ravnopravnosti visokoobrazovnih ustanova bez obzira na oblik svojine, odnosno na to ko je osnivač.</w:t>
      </w:r>
    </w:p>
    <w:p w:rsidR="000467FC" w:rsidRPr="000467FC" w:rsidRDefault="000467FC" w:rsidP="000467FC">
      <w:pPr>
        <w:spacing w:line="276" w:lineRule="auto"/>
        <w:rPr>
          <w:rFonts w:eastAsia="Times New Roman" w:cs="Arial"/>
          <w:lang w:val="sr-Latn-RS"/>
        </w:rPr>
      </w:pPr>
      <w:r w:rsidRPr="000467FC">
        <w:rPr>
          <w:rFonts w:cs="Arial"/>
        </w:rPr>
        <w:t>Poverenica je ukazala da bi postavljanjem uslova da se stipendiraju romski studenti koji pohađaju fakultete i univerzitete čiji je osnivač Republika Srbija neopravdano u neravnopravan položaj bili stavljeni romski studenti koji pohađaju fakultete čiji je osnivač privatni subjekt. U oba slučaja nesumnjivo su u pitanju pripadnici romske nacionalne manjine koji žele da studiraju, te je poverenica ukazala da cilj posebne (afirmativne) mere čiji je cilj da se sprovede (stipendiranje romskih studenata) nije ni u kakvoj korelaciji s tim ko je osnivač obrazovne institucije koju romski student/kinja pohađa. Stoga, analiza je pokazala da bi uslov da se stipendiraju samo romski studenti koji pohađaju fakultete čiji je osnivač Republika Srbija bio u suprotnosti s odredbama Zakona o zabrani diskriminacije i Zakona o visokom obrazovanju.</w:t>
      </w:r>
    </w:p>
    <w:p w:rsidR="00135D51" w:rsidRPr="00135D51" w:rsidRDefault="009B4E9B" w:rsidP="00135D51">
      <w:pPr>
        <w:shd w:val="clear" w:color="auto" w:fill="04D9F6"/>
        <w:spacing w:before="240" w:after="100" w:afterAutospacing="1" w:line="276" w:lineRule="auto"/>
        <w:rPr>
          <w:rFonts w:cs="Arial"/>
          <w:i/>
        </w:rPr>
      </w:pPr>
      <w:r w:rsidRPr="009B4E9B">
        <w:rPr>
          <w:rFonts w:cs="Arial"/>
          <w:i/>
        </w:rPr>
        <w:t>Službenica parking servisa nije dozvolila parkiranje osobi sa invaliditetom na javnom gradskom parkingu dok ne plati prethodno zaduženje</w:t>
      </w:r>
      <w:r>
        <w:rPr>
          <w:rFonts w:cs="Arial"/>
          <w:i/>
          <w:lang w:val="sr-Latn-RS"/>
        </w:rPr>
        <w:t xml:space="preserve"> </w:t>
      </w:r>
    </w:p>
    <w:p w:rsidR="009B4E9B" w:rsidRPr="009B4E9B" w:rsidRDefault="009B4E9B" w:rsidP="00135D51">
      <w:pPr>
        <w:spacing w:after="100" w:afterAutospacing="1" w:line="276" w:lineRule="auto"/>
        <w:rPr>
          <w:rFonts w:cs="Arial"/>
          <w:lang w:val="sr-Latn-RS"/>
        </w:rPr>
      </w:pPr>
      <w:r w:rsidRPr="009B4E9B">
        <w:rPr>
          <w:rFonts w:cs="Arial"/>
        </w:rPr>
        <w:t>Podnosilac pritužbe je osoba sa invaliditetom, a pritužbu je podneo protiv JKP „Parking servis“, u kojoj je naveo da mu službenica parking servisa nije dozvolila ulazak na gradski parking, iako poseduje parking kartu za osobe sa invaliditetom koja je izdata u Evropskoj uniji, dok ne plati prethodno zaduženje zbog korišćenja opšteg parking mesta na posebnom parkiralištu. U cilju utvrđivanja pravno relevantnih činjenica zatraženo je izjašnjenje Parking servisa grada u kome se desio navedeni slučaj, te je ustanovljeno da u konkretnom slučaju ne postoji uzročno-posledična veza između postupanja gradskog Parking servisa i ličnog svojstva podnosioca pritužbe. Naime, postupanje gradskog parking servisa prema podnosiocu pritužbe nije bilo zasnovano na njegovom ličnim svojstvu – invaliditetu, imajući u vidu da je zaduženje nastalo zbog korišćenja opšteg parking mesta na posebnom parkiralištu u skladu sa Odlukom i Pravilnikom grada. Takođe je ustanovljeno da na postupanje gradskog parking servisa nije bila od uticaja činjenica da podnosilac pritužbe poseduje posebnu karticu za parkiranje osoba sa invaliditetom, koja je izdata u Evropskoj uniji. Postupak je obustavljen.</w:t>
      </w:r>
    </w:p>
    <w:p w:rsidR="00135D51" w:rsidRPr="00135D51" w:rsidRDefault="009B4E9B" w:rsidP="00DE1D8E">
      <w:pPr>
        <w:shd w:val="clear" w:color="auto" w:fill="04D9F6"/>
        <w:spacing w:before="240" w:after="100" w:afterAutospacing="1"/>
        <w:outlineLvl w:val="0"/>
        <w:rPr>
          <w:rFonts w:cs="Arial"/>
          <w:i/>
        </w:rPr>
      </w:pPr>
      <w:bookmarkStart w:id="155" w:name="_Toc476904384"/>
      <w:bookmarkStart w:id="156" w:name="_Toc476908736"/>
      <w:bookmarkStart w:id="157" w:name="_Toc477248228"/>
      <w:bookmarkStart w:id="158" w:name="_Toc477248664"/>
      <w:bookmarkStart w:id="159" w:name="_Toc477250795"/>
      <w:bookmarkStart w:id="160" w:name="_Toc477251789"/>
      <w:r>
        <w:rPr>
          <w:rFonts w:cs="Arial"/>
          <w:i/>
          <w:lang w:val="sr-Latn-RS"/>
        </w:rPr>
        <w:t>Gde su granice slobode govora</w:t>
      </w:r>
      <w:bookmarkEnd w:id="155"/>
      <w:bookmarkEnd w:id="156"/>
      <w:bookmarkEnd w:id="157"/>
      <w:bookmarkEnd w:id="158"/>
      <w:bookmarkEnd w:id="159"/>
      <w:bookmarkEnd w:id="160"/>
    </w:p>
    <w:p w:rsidR="009B4E9B" w:rsidRPr="009B4E9B" w:rsidRDefault="009B4E9B" w:rsidP="009B4E9B">
      <w:pPr>
        <w:spacing w:after="100" w:afterAutospacing="1" w:line="276" w:lineRule="auto"/>
        <w:rPr>
          <w:rFonts w:eastAsia="Times New Roman" w:cs="Arial"/>
        </w:rPr>
      </w:pPr>
      <w:r w:rsidRPr="009B4E9B">
        <w:rPr>
          <w:rFonts w:eastAsia="Times New Roman" w:cs="Arial"/>
        </w:rPr>
        <w:t xml:space="preserve">Organizacija civilnog društva podnela je pritužbu protiv poznate spisateljice, novinarke i voditeljke programa sa nacionalnom frekvencijom zbog izjave koju je imenovana dala u intervjuu jednom dnevnom listu, a u kojoj je, između ostalog, rekla da je protivnica gej parade zato što su joj gej poznanici rekli „da je to glupost“. Podnosilac pritužbe smatra da je izjavama: „Nemam ništa protiv homoseksualnih parova, ali oni što paradiraju i oni koji ih biju su mi na istom nivou plemenske svesti“, kao i da su „u ovoj zemlji više ugrožena prava samohranih majki, među kojima sam i ja, pa opet nikada ne bih paradirala sa detetom u naručju“, izvršena diskriminacija na osnovu seksualne orijentacije, i da je vrlo opasno da se </w:t>
      </w:r>
      <w:r w:rsidRPr="009B4E9B">
        <w:rPr>
          <w:rFonts w:eastAsia="Times New Roman" w:cs="Arial"/>
        </w:rPr>
        <w:lastRenderedPageBreak/>
        <w:t xml:space="preserve">porede organizatori i učesnici parade s onima koji primenjuju nasilje prema ovoj osetljivoj grupi. </w:t>
      </w:r>
    </w:p>
    <w:p w:rsidR="009B4E9B" w:rsidRPr="009B4E9B" w:rsidRDefault="009B4E9B" w:rsidP="009B4E9B">
      <w:pPr>
        <w:spacing w:after="100" w:afterAutospacing="1" w:line="276" w:lineRule="auto"/>
        <w:rPr>
          <w:rFonts w:eastAsia="Times New Roman" w:cs="Arial"/>
        </w:rPr>
      </w:pPr>
      <w:r w:rsidRPr="009B4E9B">
        <w:rPr>
          <w:rFonts w:eastAsia="Times New Roman" w:cs="Arial"/>
        </w:rPr>
        <w:t xml:space="preserve">Imajući u vidu relevantne međunarodne i domaće pravne propise kojima se zabranjuje diskriminacija, ali i garantuje sloboda mišljenja i izražavanja, konstatovano je da se ne može smatrati da postoji sloboda govora ako očekujemo da sve što drugi izjave mora biti u skladu s našim ličnim vrednostima. Suština slobode govora jeste da imamo lično mišljenje, da ga iznosimo, ali i da drugi (uključujući i javne ličnosti i novinare/ke) imaju mogućnost da iznesu svoje mišljenje i stavove. U skladu s tim, stav poznate novinarke, književnice i voditeljke izražen povodom održavanja gej parade može biti i predmet rasprave, pa čitaoci i čitateljke mogu da se slože sa ovim stavovima, ali mogu i da ove stavove smatraju primitivnim, zastarelim ili zasnovanim na nedovoljnom poznavanju prava i položaja LGBT polulacije. </w:t>
      </w:r>
    </w:p>
    <w:p w:rsidR="009B4E9B" w:rsidRPr="009B4E9B" w:rsidRDefault="009B4E9B" w:rsidP="009B4E9B">
      <w:pPr>
        <w:spacing w:after="100" w:afterAutospacing="1" w:line="276" w:lineRule="auto"/>
        <w:rPr>
          <w:rFonts w:eastAsia="Times New Roman" w:cs="Arial"/>
        </w:rPr>
      </w:pPr>
      <w:r w:rsidRPr="009B4E9B">
        <w:rPr>
          <w:rFonts w:eastAsia="Times New Roman" w:cs="Arial"/>
        </w:rPr>
        <w:t xml:space="preserve">U mnogim svojim odlukama Evropski sud za ljudska prava izrazio je stav da sloboda izražavanja predstavlja jedan od osnovnih temelja demokratskog društva, jedan od os¬novnih uslova njegovog napretka i razvoja svakog pojedinca/ke. Zbog toga su i granice slobode izražavanja postavljene veoma široko, tako da ovo pravo uživa zaštitu i kada je u pitanju govor koji se može smatrati šokantnim, uvredljivim ili uznemiravajućim, što nameću zahtevi tolerancije, pluralizma i slobodoumlja, bez kojih nema demokratskog društva. </w:t>
      </w:r>
    </w:p>
    <w:p w:rsidR="009B4E9B" w:rsidRPr="009B4E9B" w:rsidRDefault="009B4E9B" w:rsidP="009B4E9B">
      <w:pPr>
        <w:spacing w:after="100" w:afterAutospacing="1" w:line="276" w:lineRule="auto"/>
        <w:rPr>
          <w:rFonts w:cs="Arial"/>
          <w:lang w:val="sr-Latn-RS"/>
        </w:rPr>
      </w:pPr>
      <w:r w:rsidRPr="009B4E9B">
        <w:rPr>
          <w:rFonts w:eastAsia="Times New Roman" w:cs="Arial"/>
        </w:rPr>
        <w:t>Sloboda izražavanja je veoma značajna u svakom demokratskom društvu i obuhvata, pre svega, slobodu da se ima sopstveno mišljenje, zatim slobodu da se informacije i ideje saopštavaju, ali isto tako i slobodu da se informacije i ideje primaju. Ova vrsta slobode je apsolutno zaštićena, odnosno, ona se može ograničiti samo izuzetno i kao što se na osnovu navedenih propisa može videti, to može biti u interesu nacionalne bezbednosti, teritorijalnog integriteta ili javne bezbednosti, radi sprečavanja nereda ili kriminala, zaštite zdravlja ili morala, zaštite ugleda ili prava drugih, sprečavanja otkrivanja obaveštenja dobijenih u poverenju ili radi očuvanja autoriteta i nepristrasnosti sudstva. Komitet ministara Saveta Evrope navodi da se „sva ograničenja ovog prava smatraju nespojivim sa prirodom demokratskog društva“. Takođe, prema stanovištu Evropskog suda za ljudska prava, odredbom člana 10. Konvencije ne štite se samo informacije ili ideje koje se povoljno primaju ili se smatraju neuvredljivim ili nečim što ne izaziva reakcije, već i one koje vređaju, šokiraju ili uznemiravaju, jer su takvi zahtevi pluralizma, tolerancije i širokoumnosti bez kojih nema demokratskog društva. Saglasno tome, a prema činjenicama navedenim u pritužbi, očigledno je da nije došlo do nejednakog postupanja prema licima u čije ime je pritužba podneta. To, međutim, ne znači da nema povrede nekog drugog prava, koje nije u nadležnosti Poverenika za zaštitu ravnopravnosti.</w:t>
      </w:r>
    </w:p>
    <w:p w:rsidR="00135D51" w:rsidRPr="00135D51" w:rsidRDefault="009B4E9B" w:rsidP="000C558B">
      <w:pPr>
        <w:shd w:val="clear" w:color="auto" w:fill="04D9F6"/>
        <w:spacing w:before="360" w:after="100" w:afterAutospacing="1" w:line="276" w:lineRule="auto"/>
        <w:rPr>
          <w:rFonts w:cs="Arial"/>
          <w:i/>
        </w:rPr>
      </w:pPr>
      <w:r w:rsidRPr="009B4E9B">
        <w:rPr>
          <w:rFonts w:cs="Arial"/>
          <w:i/>
        </w:rPr>
        <w:t>Kandidatkinja za posao smatra da nije dobila posao jer ju je gradska uprava za opšte i zajedničke poslove stavila u nejednak položaj u odnosu na ostale kandidate</w:t>
      </w:r>
      <w:r>
        <w:rPr>
          <w:rFonts w:cs="Arial"/>
          <w:i/>
          <w:lang w:val="sr-Latn-RS"/>
        </w:rPr>
        <w:t xml:space="preserve"> </w:t>
      </w:r>
    </w:p>
    <w:p w:rsidR="009B4E9B" w:rsidRPr="009B4E9B" w:rsidRDefault="009B4E9B" w:rsidP="00135D51">
      <w:pPr>
        <w:spacing w:after="100" w:afterAutospacing="1" w:line="276" w:lineRule="auto"/>
        <w:rPr>
          <w:rFonts w:eastAsia="Times New Roman" w:cs="Arial"/>
          <w:lang w:val="sr-Latn-RS"/>
        </w:rPr>
      </w:pPr>
      <w:r w:rsidRPr="009B4E9B">
        <w:rPr>
          <w:rFonts w:cs="Arial"/>
        </w:rPr>
        <w:t xml:space="preserve">Podnositeljka pritužbe se prijavila na konkurs za radno mesto normativni poslovi za građanska stanja, koji je objavljen u listu Nacionalne službe za zapošljavanje, ali prijava nije uzeta u razmatranje prilikom donošenja odluke o izboru kandidata, već je zaključkom odbačena pet dana nakon donošenja odluke. Kao razlog je navedeno da nije dostavila lekarsko uverenje, dok je kandidatkinja koja je dobila posao dostavila lekarsko uverenje staro sedam godina. Podnositeljka pritužbe je istakla da drugih kandidata nije bilo i da jedino ona ispunjava uslove konkursa, s obzirom na to da ima položen državni stručni ispit, što je takođe </w:t>
      </w:r>
      <w:r w:rsidRPr="009B4E9B">
        <w:rPr>
          <w:rFonts w:cs="Arial"/>
        </w:rPr>
        <w:lastRenderedPageBreak/>
        <w:t>bio jedan od uslova. Smatra da je ovakvom odlukom gradske uprave stavljena u nejednak položaj u odnosu na druga lica. Podnositeljki pritužbe je ukazano da nema povrede prava u smislu Zakona o zabrani diskriminacije, jer nedostaje jedan od suštinskih i konstitutivnih elemenata diskriminacije – osnov diskriminacije, te da ne može postupati u ovom predmetu, saglasno članu 36. stav 2. Zakona o zabrani diskriminacije.</w:t>
      </w:r>
    </w:p>
    <w:p w:rsidR="00135D51" w:rsidRPr="00135D51" w:rsidRDefault="00325F86" w:rsidP="000C558B">
      <w:pPr>
        <w:shd w:val="clear" w:color="auto" w:fill="04D9F6"/>
        <w:spacing w:before="240" w:after="100" w:afterAutospacing="1"/>
        <w:rPr>
          <w:rFonts w:eastAsia="Times New Roman" w:cs="Arial"/>
          <w:i/>
          <w:lang w:eastAsia="sr-Cyrl-CS"/>
        </w:rPr>
      </w:pPr>
      <w:r w:rsidRPr="00325F86">
        <w:rPr>
          <w:rFonts w:cs="Arial"/>
          <w:i/>
        </w:rPr>
        <w:t>Pritužba protiv Vlade Republike Srbije zbog načina obračunavanja visine penzije</w:t>
      </w:r>
      <w:r>
        <w:rPr>
          <w:rFonts w:cs="Arial"/>
          <w:i/>
          <w:lang w:val="sr-Latn-RS"/>
        </w:rPr>
        <w:t xml:space="preserve"> </w:t>
      </w:r>
    </w:p>
    <w:p w:rsidR="00325F86" w:rsidRPr="00325F86" w:rsidRDefault="00325F86" w:rsidP="00135D51">
      <w:pPr>
        <w:spacing w:after="100" w:afterAutospacing="1" w:line="276" w:lineRule="auto"/>
        <w:rPr>
          <w:rFonts w:cs="Arial"/>
          <w:lang w:val="sr-Latn-RS"/>
        </w:rPr>
      </w:pPr>
      <w:r w:rsidRPr="00325F86">
        <w:rPr>
          <w:rFonts w:eastAsia="Times New Roman" w:cs="Arial"/>
        </w:rPr>
        <w:t>Pritužba je podneta protiv Vlade Republike Srbije. Podnositeljka pritužbe navela je da se visina penzije ranije obračunavala uzimajući u obzir prosek za 10 godina u kojima je penzija bila najviša, kao i stepen obrazovanja, odnosno kvalifikacija, te da je do 2014. godine penzija više puta povećavana, a jednom prilikom, zbog političkih razloga, povećana je čak 10%. Istaknuto je da je za sticanje uslova za odlazak u penziju ranije bilo potrebno manje godina života i radnog staža nego sada i da je takva odluka diskriminatorna. Imajući u vidu da se prema Zakonu o privremenom uređivanju načina isplate penzija, penzija umanjuje pojedinim kategorijama penzionera i primenjuje na zatečene i buduće korisnike penzija, što znači da se odnosi na sve penzionere određene kategorije, bez pravljenja razlike kada je korisnik stekao uslove za odlazak u penziju, očigledno je da nema povrede prava u smislu Zakona o zabrani diskriminacije, jer u opisanoj situaciji nije došlo do neopravdanog pravljenja razlike, odnosno nejednakog postupanja prema podnositeljki pritužbe na osnovu njenog ličnog svojstva – godina starosti.</w:t>
      </w:r>
    </w:p>
    <w:p w:rsidR="00135D51" w:rsidRPr="00135D51" w:rsidRDefault="00325F86" w:rsidP="00DE1D8E">
      <w:pPr>
        <w:shd w:val="clear" w:color="auto" w:fill="04D9F6"/>
        <w:spacing w:before="240" w:after="100" w:afterAutospacing="1" w:line="276" w:lineRule="auto"/>
        <w:rPr>
          <w:rFonts w:eastAsia="Times New Roman" w:cs="Arial"/>
          <w:i/>
          <w:lang w:eastAsia="sr-Cyrl-CS"/>
        </w:rPr>
      </w:pPr>
      <w:r w:rsidRPr="00325F86">
        <w:rPr>
          <w:rFonts w:cs="Arial"/>
          <w:i/>
          <w:lang w:val="sr-Latn-RS"/>
        </w:rPr>
        <w:t>Udruženje gluvih i nagluvih podnelo pritužbu protiv opštine zbog nekonsultovanja udruženja prilikom odluke o sufinansiranju medija čiji je predmet, između ostalog, podizanje kvaliteta informisanja osoba sa invaliditetom</w:t>
      </w:r>
      <w:r>
        <w:rPr>
          <w:rFonts w:cs="Arial"/>
          <w:i/>
          <w:lang w:val="sr-Latn-RS"/>
        </w:rPr>
        <w:t xml:space="preserve"> </w:t>
      </w:r>
    </w:p>
    <w:p w:rsidR="00325F86" w:rsidRPr="00325F86" w:rsidRDefault="00325F86" w:rsidP="00325F86">
      <w:pPr>
        <w:spacing w:after="100" w:afterAutospacing="1" w:line="276" w:lineRule="auto"/>
        <w:rPr>
          <w:rFonts w:eastAsia="Times New Roman" w:cs="Arial"/>
        </w:rPr>
      </w:pPr>
      <w:r w:rsidRPr="00325F86">
        <w:rPr>
          <w:rFonts w:eastAsia="Times New Roman" w:cs="Arial"/>
        </w:rPr>
        <w:t xml:space="preserve">Pritužbu je podnelo udruženje gluvih i nagluvih protiv jedne lokalne samouprave. Naime, navedeno je da je opština raspisala konkurs za sufinansiranje medija, u kojem je navela da je pored informisanja građana, predmet podizanje kvaliteta informisanja osoba sa invaliditetom i nacionalnih manjina. Takođe, navedeno je da nijedan TV medij nije kontaktirao udruženje, koje ima ključnu ulogu u podizanju standarda gluvih i nagluvih osoba, gde se može ukazati na prikladnost određenih standarda na koje pružaoci medijskih usluga treba da obrate pažnju, o informacijama gluvih i nagluvih osoba na znakovnom jeziku, a kako bi se na najbolji način iskoristila posvećenost opštinske uprave i troškovi namenjeni informisanju osoba sa invaliditetom. </w:t>
      </w:r>
    </w:p>
    <w:p w:rsidR="00325F86" w:rsidRPr="00325F86" w:rsidRDefault="00325F86" w:rsidP="00325F86">
      <w:pPr>
        <w:spacing w:after="100" w:afterAutospacing="1" w:line="276" w:lineRule="auto"/>
        <w:rPr>
          <w:rFonts w:eastAsia="Times New Roman" w:cs="Arial"/>
          <w:lang w:val="sr-Latn-RS"/>
        </w:rPr>
      </w:pPr>
      <w:r w:rsidRPr="00325F86">
        <w:rPr>
          <w:rFonts w:eastAsia="Times New Roman" w:cs="Arial"/>
        </w:rPr>
        <w:t>Poverenica za zaštitu ravnopravnosti ukazala je da polazeći od zakonom utvrđene nadležnosti Poverenik ne može da utiče na izbor kandidata na konkursu, međutim može da utvrđuje da li je u konkretnom slučaju izvršen akt diskriminacije. Na osnovu navoda iz pritužbe i dokaza koji su dostavljeni, udruženje nije učinilo verovatnim postojanje uzročno-posledične veze između ličnog svojstva (invaliditet) i postupaka lokalne samouprave, koja je odredila sredstva i raspisala konkurs, između ostalog, i za podizanje kvaliteta informisanja osoba sa invaliditetom, odnosno iz dopisa se ne vidi na koji način je opština  diskriminisala udruženje. Poverenica je dodala da namensko odnosno nenamensko trošenje sredstava, kao i pravilnost sprovođenja konkursne procedure, nisu u nadležnosti Poverenika za zaštitu ravnopravnosti, te da udruženje ima mogućnost da se obrati Republičkoj radio-difuznoj agenciji, Službi za nadzor i analizu programa emitera, kao i Zaštitniku građana.</w:t>
      </w:r>
    </w:p>
    <w:p w:rsidR="00135D51" w:rsidRPr="0022688B" w:rsidRDefault="0022688B" w:rsidP="00135D51">
      <w:pPr>
        <w:shd w:val="clear" w:color="auto" w:fill="04D9F6"/>
        <w:spacing w:after="100" w:afterAutospacing="1" w:line="276" w:lineRule="auto"/>
        <w:rPr>
          <w:rFonts w:eastAsia="Times New Roman" w:cs="Arial"/>
          <w:i/>
          <w:lang w:val="sr-Latn-RS" w:eastAsia="sr-Cyrl-CS"/>
        </w:rPr>
      </w:pPr>
      <w:r w:rsidRPr="0022688B">
        <w:rPr>
          <w:rFonts w:cs="Arial"/>
          <w:i/>
          <w:lang w:val="sr-Latn-RS"/>
        </w:rPr>
        <w:lastRenderedPageBreak/>
        <w:t>Podnositeljka pritužbe smatra da je diskriminisana na osnovu članstva u sindikalnoj organizaciji</w:t>
      </w:r>
    </w:p>
    <w:p w:rsidR="0022688B" w:rsidRPr="0022688B" w:rsidRDefault="0022688B" w:rsidP="00135D51">
      <w:pPr>
        <w:spacing w:after="100" w:afterAutospacing="1" w:line="276" w:lineRule="auto"/>
        <w:rPr>
          <w:rFonts w:cs="Arial"/>
          <w:lang w:val="sr-Latn-RS"/>
        </w:rPr>
      </w:pPr>
      <w:r w:rsidRPr="0022688B">
        <w:rPr>
          <w:rFonts w:eastAsia="Times New Roman" w:cs="Arial"/>
        </w:rPr>
        <w:t>Podnositeljka pritužbe se učlanila u Sindikat prosvetnih radnika, nakon čega je direktorka škole u kojoj radi pozvala na razgovor i navela da nije trebalo da se učlani u sindikat. Podnositeljka pritužbe je takođe navela da je saznala da planiraju da je izbace iz Sindikata. Nakon toga je održana sednica Sindikata prosvetnih radnika, na kojoj je isključena iz Sindikata. Takođe je navela da je pored diskriminacije na osnovu članstva u sindikalnoj organizaciji, prema njoj izvršen i akt diskriminacije na osnovu starosnog doba i imovnog stanja. Na osnovu navoda iz pritužbe, zapisnika sa sednice Nastavničkog veća škole i izjava svedoka  zaključeno je da je događaj na koji se podnositeljka pritužuje lični konflikt između nje i direktorke škole, odnosno, da ovaj konflikt nije bio u uzročno-posledičnoj vezi s bilo kojim njenim ličnim svojstvom.</w:t>
      </w:r>
    </w:p>
    <w:p w:rsidR="00135D51" w:rsidRPr="00135D51" w:rsidRDefault="0022688B" w:rsidP="000C558B">
      <w:pPr>
        <w:shd w:val="clear" w:color="auto" w:fill="04D9F6"/>
        <w:spacing w:before="240" w:after="100" w:afterAutospacing="1" w:line="276" w:lineRule="auto"/>
        <w:rPr>
          <w:rFonts w:eastAsia="Times New Roman" w:cs="Arial"/>
          <w:i/>
          <w:lang w:eastAsia="sr-Cyrl-CS"/>
        </w:rPr>
      </w:pPr>
      <w:r w:rsidRPr="0022688B">
        <w:rPr>
          <w:rFonts w:cs="Arial"/>
          <w:i/>
          <w:lang w:val="sr-Latn-RS"/>
        </w:rPr>
        <w:t>Profesionalni vatrogasac smatra da nije unapređen na više radno mesto zbog romske nacionalne pripadnosti</w:t>
      </w:r>
      <w:r>
        <w:rPr>
          <w:rFonts w:cs="Arial"/>
          <w:i/>
          <w:lang w:val="sr-Latn-RS"/>
        </w:rPr>
        <w:t xml:space="preserve"> </w:t>
      </w:r>
    </w:p>
    <w:p w:rsidR="0022688B" w:rsidRPr="0022688B" w:rsidRDefault="0022688B" w:rsidP="0022688B">
      <w:pPr>
        <w:spacing w:after="100" w:afterAutospacing="1" w:line="276" w:lineRule="auto"/>
        <w:rPr>
          <w:rFonts w:eastAsia="Times New Roman" w:cs="Arial"/>
        </w:rPr>
      </w:pPr>
      <w:r w:rsidRPr="0022688B">
        <w:rPr>
          <w:rFonts w:eastAsia="Times New Roman" w:cs="Arial"/>
        </w:rPr>
        <w:t xml:space="preserve">Pritužba je podneta protiv Ministarstva unutrašnjih poslova, Sektora za vanredne situacije, zbog diskriminacije na osnovu romske nacionalne pripadnosti. Podnosilac pritužbe je zaposlen kao profesionalni vatrogasac i s kolegama je imao fer i korektan odnos sve do događaja koji se desio u banci, kada su oni ismevali njegovog oca jer je tamnije puti. U pritužbi je istakao da je od tada svakodnevno izložen diskriminaciji na poslu, u vidu šala, doskočica i prozivki na račun romske nacionalne pripadnosti. Naknadno je završio višu mašinsku školu, smer zaštita od požara, i očekivao je da će biti unapređen, međutim od tada su se pogoršali uslovi rada i atmosfera na poslu. Kako je naveo, inscenirani su disciplinski prekršaji, čak je počinjeno i nekoliko krivičnih dela i zloupotreba službenog položaja, da bi se obezbedili dokazi protiv njega, nakon čega ga je starešina po kazni rasporedio na radne zadatke u opisu poslova nižeg radnog mesta. Ubrzo je insceniran još jedan disciplinski prekršaj, nakon čega je udaljen s rada. U decembru 2015. godine proglašen je viškom i prebačen na radno mesto analiza rizika, koje je istog meseca ukinuto. Podnosilac pritužbe ističe da nije angažovan na poslovima na kojima radi, iako je plaćen isto kao komandir odeljenja koji ide na intervencije i izvršava ostale poslovne obaveze, a njegova jedina obaveza jeste da bude fizički prisutan na poslu, zbog čega smatra da je i to vid diskriminacije poslodavca prema njemu. </w:t>
      </w:r>
    </w:p>
    <w:p w:rsidR="0022688B" w:rsidRDefault="0022688B" w:rsidP="0022688B">
      <w:pPr>
        <w:spacing w:after="100" w:afterAutospacing="1" w:line="276" w:lineRule="auto"/>
        <w:rPr>
          <w:rFonts w:eastAsia="Times New Roman" w:cs="Arial"/>
          <w:lang w:val="sr-Latn-RS"/>
        </w:rPr>
      </w:pPr>
      <w:r w:rsidRPr="0022688B">
        <w:rPr>
          <w:rFonts w:eastAsia="Times New Roman" w:cs="Arial"/>
        </w:rPr>
        <w:t>Poverenica za zaštitu ravnopravnosti je, tražeći naknadne dokaze, došla do saznanja da je od šest studenata koji su u isto vreme naknadno završili istu školu kao i podnosilac pritužbe, napredovalo četvoro, a da koleginica i on nisu unapređeni na radna mesta s višom školom. Takođe, za koleginicu je navedeno da je primljena u stalni radni odnos 2005. godine i da je iste godine upisala višu školu, te da je uporedo išla na kurs za vatrogasce i dolazila na predavanja. S obzirom na to da ni podnosilac pritužbe ni njegova koleginica, koja nije pripadnica romske nacionalne pripadnosti, nisu unapređeni na viša radna mesta nakon završene više škole, očigledno je da podnosilac pritužbe nije učinio verovatnim da je postupanje Ministarstva unutrašnjih poslova, Sektora za vanredne situacije prema njemu u uzročno-posledičnoj vezi s njegovim ličnim svojstvom, pripadnost romskoj nacionalnoj manjini, već da postoji drugi razlog nenapredovanja.</w:t>
      </w:r>
    </w:p>
    <w:p w:rsidR="008C3606" w:rsidRPr="008C3606" w:rsidRDefault="008C3606" w:rsidP="00443CC4">
      <w:pPr>
        <w:spacing w:after="100" w:afterAutospacing="1" w:line="276" w:lineRule="auto"/>
        <w:rPr>
          <w:rFonts w:eastAsia="Times New Roman" w:cs="Arial"/>
          <w:lang w:val="sr-Latn-RS"/>
        </w:rPr>
      </w:pPr>
    </w:p>
    <w:p w:rsidR="00135D51" w:rsidRPr="00135D51" w:rsidRDefault="0022688B" w:rsidP="000C558B">
      <w:pPr>
        <w:shd w:val="clear" w:color="auto" w:fill="04D9F6"/>
        <w:spacing w:before="240" w:after="100" w:afterAutospacing="1"/>
        <w:outlineLvl w:val="0"/>
        <w:rPr>
          <w:rFonts w:eastAsia="Times New Roman" w:cs="Arial"/>
          <w:i/>
        </w:rPr>
      </w:pPr>
      <w:bookmarkStart w:id="161" w:name="_Toc476904386"/>
      <w:bookmarkStart w:id="162" w:name="_Toc476908738"/>
      <w:bookmarkStart w:id="163" w:name="_Toc477248229"/>
      <w:bookmarkStart w:id="164" w:name="_Toc477248665"/>
      <w:bookmarkStart w:id="165" w:name="_Toc477250796"/>
      <w:bookmarkStart w:id="166" w:name="_Toc477251790"/>
      <w:r w:rsidRPr="0022688B">
        <w:rPr>
          <w:rFonts w:eastAsia="Times New Roman" w:cs="Arial"/>
          <w:i/>
        </w:rPr>
        <w:lastRenderedPageBreak/>
        <w:t>Nastavnica muzičke kulture radi nepuno radno vreme</w:t>
      </w:r>
      <w:r>
        <w:rPr>
          <w:rFonts w:eastAsia="Times New Roman" w:cs="Arial"/>
          <w:i/>
          <w:lang w:val="sr-Latn-RS"/>
        </w:rPr>
        <w:t xml:space="preserve"> </w:t>
      </w:r>
      <w:bookmarkEnd w:id="161"/>
      <w:bookmarkEnd w:id="162"/>
      <w:bookmarkEnd w:id="163"/>
      <w:bookmarkEnd w:id="164"/>
      <w:bookmarkEnd w:id="165"/>
      <w:bookmarkEnd w:id="166"/>
    </w:p>
    <w:p w:rsidR="0022688B" w:rsidRPr="0022688B" w:rsidRDefault="0022688B" w:rsidP="00135D51">
      <w:pPr>
        <w:spacing w:after="100" w:afterAutospacing="1" w:line="276" w:lineRule="auto"/>
        <w:rPr>
          <w:rFonts w:eastAsia="ヒラギノ角ゴ Pro W3" w:cs="Arial"/>
          <w:color w:val="000000"/>
          <w:lang w:val="sr-Latn-RS"/>
        </w:rPr>
      </w:pPr>
      <w:r w:rsidRPr="0022688B">
        <w:rPr>
          <w:rFonts w:eastAsia="Times New Roman" w:cs="Arial"/>
        </w:rPr>
        <w:t>Podnositeljka pritužbe je navela da od 1991. godine radi kao nastavnica muzičke kulture u osnovnoj školi, i da od septembra 2015. godine, u školi u kojoj je zaposlena radi nepuno radno vreme. Istakla je da je u drugoj školi nastavnik muzičke kulture otišao u penziju i da se iz tog razloga obratila direktoru te škole, kako bi se popunilo radno mesto, ali joj direktor škole nije odgovorio na zahtev. Navela je da se obraćala prosvetnoj inspekciji i načelnici školske uprave, ali je dobila odgovor da direktori škola odlučuju koga žele da zaposle. Između ostalog, istakla je da je direktor škole zatražio mišljenje Ministarstva prosvete, nauke i tehnološkog razvoja o mogućnosti da je radno angažuje s obzirom da je završila višu školu u trajanju od tri godine. Navela je da je prema Zakonu o osnovama sistema obrazovanja i vaspitanja nastavnik i lice sa stečenim odgovarajućim visokim obrazovanjem na studijama u trajanju od tri godine ili višim obrazovanjem. Podnositeljki pritužbe je ukazano da u konkretnom slučaju nema povrede prava u smislu Zakona o zabrani diskriminacije, jer nedostaje jedan od suštinskih i konstitutivnih elemenata diskriminacije – osnov diskriminacije.</w:t>
      </w:r>
    </w:p>
    <w:p w:rsidR="00135D51" w:rsidRPr="00135D51" w:rsidRDefault="0022688B" w:rsidP="000C558B">
      <w:pPr>
        <w:shd w:val="clear" w:color="auto" w:fill="04D9F6"/>
        <w:spacing w:before="240" w:after="100" w:afterAutospacing="1" w:line="276" w:lineRule="auto"/>
        <w:rPr>
          <w:rFonts w:eastAsia="Times New Roman" w:cs="Arial"/>
          <w:i/>
        </w:rPr>
      </w:pPr>
      <w:r w:rsidRPr="0022688B">
        <w:rPr>
          <w:rFonts w:eastAsia="Times New Roman" w:cs="Arial"/>
          <w:i/>
        </w:rPr>
        <w:t xml:space="preserve">Podnositeljka pritužbe smatra da je diskriminisna na osnovu sporazuma o preuzimanju  </w:t>
      </w:r>
      <w:r>
        <w:rPr>
          <w:rFonts w:eastAsia="Times New Roman" w:cs="Arial"/>
          <w:i/>
          <w:lang w:val="sr-Latn-RS"/>
        </w:rPr>
        <w:t xml:space="preserve"> </w:t>
      </w:r>
    </w:p>
    <w:p w:rsidR="0022688B" w:rsidRPr="0022688B" w:rsidRDefault="0022688B" w:rsidP="0022688B">
      <w:pPr>
        <w:spacing w:after="100" w:afterAutospacing="1" w:line="276" w:lineRule="auto"/>
        <w:rPr>
          <w:rFonts w:eastAsia="Times New Roman" w:cs="Arial"/>
        </w:rPr>
      </w:pPr>
      <w:r w:rsidRPr="0022688B">
        <w:rPr>
          <w:rFonts w:eastAsia="Times New Roman" w:cs="Arial"/>
        </w:rPr>
        <w:t>Podnositeljka pritužbe je navela da je zaposlena kao sudijska pomoćnica u jednom osnovnom sudu u Republici Srbiji i da je na osnovu Odluke o maksimalnom broju zaposlenih u javnom sektoru smanjen broj državnih službenika u tom sudu. Broj je smanjen za dva sudijska pomoćnika od ukupno četiri, koliko je zaposleno. Istakla je da je prilikom odlučivanja o tome kome će da ponudi sporazum o preuzimanju u drugom osnovnom sudu, predsednik osnovnog suda u kojem je zaposlena imao u vidu ocenjivanje četiri sudijska pomoćnika, zatim godine staža u pravosudnim organima, kao i druge socijalne i lične činjenice (starost, bračno stanje, broj izdržavanih lica i slično). Navela je da je kao i troje drugih sudijskih pomoćnika u protekle dve godine ocenjena ocenom „naročito se ističe“, te da je predsednik suda odlučio da sporazum o preuzimanju ponudi podnositeljki pritužbe, a izuzme njenu koleginicu, između ostalog jer je samohrana majka, i kolegu, jer je osoba sa oštećenim vidom (slepo lice), kome bi bilo znatno otežano putovanje u drugu opštinu budući da dolazi i odlazi na posao u pratnji. Podnositeljka smatra da je diskriminisana na osnovu bračnog i porodičnog statusa i godina starosti.</w:t>
      </w:r>
    </w:p>
    <w:p w:rsidR="0022688B" w:rsidRPr="0022688B" w:rsidRDefault="0022688B" w:rsidP="0022688B">
      <w:pPr>
        <w:spacing w:after="100" w:afterAutospacing="1" w:line="276" w:lineRule="auto"/>
        <w:rPr>
          <w:rFonts w:eastAsia="Times New Roman" w:cs="Arial"/>
        </w:rPr>
      </w:pPr>
      <w:r w:rsidRPr="0022688B">
        <w:rPr>
          <w:rFonts w:eastAsia="Times New Roman" w:cs="Arial"/>
        </w:rPr>
        <w:t>Podnositeljka pritužbe je obaveštena da je odredbom člana 66. stav 1. Ustava Republike Srbije</w:t>
      </w:r>
      <w:r w:rsidR="00E15568">
        <w:rPr>
          <w:rStyle w:val="FootnoteReference"/>
          <w:rFonts w:eastAsia="Times New Roman" w:cs="Arial"/>
        </w:rPr>
        <w:footnoteReference w:id="273"/>
      </w:r>
      <w:r w:rsidRPr="0022688B">
        <w:rPr>
          <w:rFonts w:eastAsia="Times New Roman" w:cs="Arial"/>
        </w:rPr>
        <w:t xml:space="preserve">  propisano da porodica, majka, samohrani roditelj i dete uživaju posebnu zaštitu, u skladu sa zakonom. Samohrane majke se u Srbiji suočavaju s mnogim problemima, kao što su nezaposlenost i diskriminacija, a prema podacima Republičkog zavoda za statistiku</w:t>
      </w:r>
      <w:r w:rsidR="00E15568">
        <w:rPr>
          <w:rStyle w:val="FootnoteReference"/>
          <w:rFonts w:eastAsia="Times New Roman" w:cs="Arial"/>
        </w:rPr>
        <w:footnoteReference w:id="274"/>
      </w:r>
      <w:r w:rsidRPr="0022688B">
        <w:rPr>
          <w:rFonts w:eastAsia="Times New Roman" w:cs="Arial"/>
        </w:rPr>
        <w:t xml:space="preserve">   jednu od najviših stopa rizika od siromaštva čine samohrani roditelji s jednim detetom ili više izdržavane dece (36,2%). Prema članu 16. Zakona o zabrani diskriminacije, diskriminacija u oblasti rada propisana je kao poseban slučaj diskriminacije. Stavom 3. ovog člana propisan je izuzetak od opšte zabrane diskriminacije u oblasti rada, a to je preduzimanje zaštitnih mera prema određenim kategorijama lica koje se nalaze u ranjivom položaju: žene, trudnice, porodilje, roditelji, maloletnici, osobe sa invaliditetom i druge grupe. Ove posebne mere </w:t>
      </w:r>
      <w:r w:rsidRPr="0022688B">
        <w:rPr>
          <w:rFonts w:eastAsia="Times New Roman" w:cs="Arial"/>
        </w:rPr>
        <w:lastRenderedPageBreak/>
        <w:t>uvode se radi postizanja pune ravnopravnosti, zaštite i napretka lica, odnosno grupe lica koja se nalaze u nejednakom položaju. Odredbom člana 8. stav 1. Zakona o sprečavanju diskriminacije osoba sa invaliditetom</w:t>
      </w:r>
      <w:r w:rsidR="00E15568">
        <w:rPr>
          <w:rStyle w:val="FootnoteReference"/>
          <w:rFonts w:eastAsia="Times New Roman" w:cs="Arial"/>
        </w:rPr>
        <w:footnoteReference w:id="275"/>
      </w:r>
      <w:r w:rsidRPr="0022688B">
        <w:rPr>
          <w:rFonts w:eastAsia="Times New Roman" w:cs="Arial"/>
        </w:rPr>
        <w:t xml:space="preserve"> , propisano je da se ne smatraju povredom načela jednakih prava i obaveza niti diskriminacijom odredbe zakona, propisa, kao ni odluke ili posebne mere donete s ciljem poboljšanja položaja osoba sa invaliditetom, članova njihovih porodica i udruženja osoba sa invaliditetom, kojima se pruža posebna podrška, neophodna za uživanje i ostvarivanje njihovih prava pod istim uslovima pod kojima ih uživaju i ostvaruju drugi. </w:t>
      </w:r>
    </w:p>
    <w:p w:rsidR="0022688B" w:rsidRPr="0022688B" w:rsidRDefault="0022688B" w:rsidP="0022688B">
      <w:pPr>
        <w:spacing w:after="100" w:afterAutospacing="1" w:line="276" w:lineRule="auto"/>
        <w:rPr>
          <w:rFonts w:eastAsia="Times New Roman" w:cs="Arial"/>
          <w:lang w:val="sr-Latn-RS"/>
        </w:rPr>
      </w:pPr>
      <w:r w:rsidRPr="0022688B">
        <w:rPr>
          <w:rFonts w:eastAsia="Times New Roman" w:cs="Arial"/>
        </w:rPr>
        <w:t>S obzirom na činjenicu da samohrane majke i osobe sa invaliditetom predstavljaju ranjive društvene grupe, te da im je propisima Republike Srbije garantovana posebna zaštita, odluka predsednika osnovnog suda da prilikom izbora sudijskih pomoćnika koji će biti preuzeti u drugi osnovni sud izuzme samohranu majku i osobu sa invaliditetom, može se smatrati opravdanom. Saglasno tome nije došlo do neopravdanog pravljenja razlike ili nejednakog postupanja po bilo kom ličnom svojstvu. Samim tim, nema povrede prava u smislu Zakona o zabrani diskriminacije.</w:t>
      </w:r>
    </w:p>
    <w:p w:rsidR="00135D51" w:rsidRPr="00135D51" w:rsidRDefault="00A65AEA" w:rsidP="000C558B">
      <w:pPr>
        <w:shd w:val="clear" w:color="auto" w:fill="04D9F6"/>
        <w:spacing w:before="360" w:after="100" w:afterAutospacing="1" w:line="276" w:lineRule="auto"/>
        <w:rPr>
          <w:rFonts w:cs="Arial"/>
          <w:i/>
        </w:rPr>
      </w:pPr>
      <w:r w:rsidRPr="00A65AEA">
        <w:rPr>
          <w:rFonts w:cs="Arial"/>
          <w:i/>
        </w:rPr>
        <w:t>Podnositeljka pritužbe nije učinila verovatnim postojanje uzročno-posledične veze između njenog ličnog svojstva (pol) i postupanja Poreske uprave i poreske inspektorke</w:t>
      </w:r>
      <w:r>
        <w:rPr>
          <w:rFonts w:cs="Arial"/>
          <w:i/>
          <w:lang w:val="sr-Latn-RS"/>
        </w:rPr>
        <w:t xml:space="preserve"> </w:t>
      </w:r>
    </w:p>
    <w:p w:rsidR="00A65AEA" w:rsidRPr="00A65AEA" w:rsidRDefault="00A65AEA" w:rsidP="000C558B">
      <w:pPr>
        <w:spacing w:after="100" w:afterAutospacing="1" w:line="276" w:lineRule="auto"/>
        <w:rPr>
          <w:rFonts w:cs="Arial"/>
          <w:lang w:val="sr-Latn-RS"/>
        </w:rPr>
      </w:pPr>
      <w:r w:rsidRPr="00A65AEA">
        <w:rPr>
          <w:rFonts w:cs="Arial"/>
        </w:rPr>
        <w:t>Pritužbu je podnela predsednica udruženja penzionera protiv jedne filijale Ministarstva finansija, Poreske uprave i poreske inspektorke. U pritužbi je navedeno da je inspektorka, prilikom kontrole obračunavanja i plaćanja poreza i doprinosa, „upala“ u kancelariju Udruženja penzionera veoma arogantno i da su se prema podnositeljki pritužbe „kao ženi i prema udruženju odnosili drugačije“. Još je navedeno i da je poreska kontrola bila i ranije u udruženju i da inspektori tada nisu imali nikakvih primedbi, kao i da je kod ostalih udruženja kontrolisan kraći period, da je kontrola kraće trajala, da su inspektori kod drugih „često žmurili na jedno, a bogami i na oba oka“, a da su se prema podnositeljki pritužbe neravnopravno ponašali zato što je žena – predsednica udruženja, jedina žena na ovom mestu u okrugu. Uvidom u pritužbu i priloge konstatovano je da je Poreska uprava postupala u okviru svog zakonskog ovlašćenja da vrši poresku kontrolu, kao i da podnositeljka pritužbe nije učinila verovatnim postojanje uzročno-posledične veze između njenog ličnog svojstva (pol) i postupanja Poreske uprave i poreske inspektorke.</w:t>
      </w:r>
    </w:p>
    <w:p w:rsidR="00135D51" w:rsidRPr="00135D51" w:rsidRDefault="00A65AEA" w:rsidP="000C558B">
      <w:pPr>
        <w:shd w:val="clear" w:color="auto" w:fill="04D9F6"/>
        <w:spacing w:after="100" w:afterAutospacing="1"/>
        <w:rPr>
          <w:rFonts w:cs="Arial"/>
          <w:i/>
        </w:rPr>
      </w:pPr>
      <w:r w:rsidRPr="00A65AEA">
        <w:rPr>
          <w:rFonts w:cs="Arial"/>
          <w:i/>
        </w:rPr>
        <w:t>Revanšizam kao osnov diskriminacije prema viđenju podnosioca pritužbe</w:t>
      </w:r>
      <w:r>
        <w:rPr>
          <w:rFonts w:cs="Arial"/>
          <w:i/>
          <w:lang w:val="sr-Latn-RS"/>
        </w:rPr>
        <w:t xml:space="preserve"> </w:t>
      </w:r>
    </w:p>
    <w:p w:rsidR="00A65AEA" w:rsidRPr="00A65AEA" w:rsidRDefault="00A65AEA" w:rsidP="00135D51">
      <w:pPr>
        <w:spacing w:after="100" w:afterAutospacing="1" w:line="276" w:lineRule="auto"/>
        <w:rPr>
          <w:rFonts w:eastAsia="Times New Roman" w:cs="Arial"/>
          <w:lang w:val="sr-Latn-RS"/>
        </w:rPr>
      </w:pPr>
      <w:r w:rsidRPr="00A65AEA">
        <w:rPr>
          <w:rFonts w:eastAsia="Times New Roman" w:cs="Arial"/>
        </w:rPr>
        <w:t xml:space="preserve">Pritužbu je podneo bivši zaposleni protiv osnovne škole kao poslodavca i direktorke škole. Podnosilac pritužbe je naveo da je radio u školi 25 godina i da je 1. oktobra 2015. godine „nezakonito dobio otkaz“. Dalje je naveo da je posle incidenta s kolegom, koji ga je vređao u hodniku škole, direktorka pokrenula odvojene disciplinske postupke protiv obojice, te da je podnosilac pritužbe dobio otkaz. Takođe je dodao da je direktorka nejednako postupala prema njemu u odnosu na kolegu, da je dobio otkaz iz čistog revanšizma, kao i da to predstavlja diskriminaciju. Podnosilac pritužbe smatra da je revanšizam osnov diskriminatornog postupanja direktorke, jer je tražio njeno razrešenje. Prema činjenicama koje je podnosilac pritužbe naveo očigledno je da nije došlo do pravljenja razlike ili </w:t>
      </w:r>
      <w:r w:rsidRPr="00A65AEA">
        <w:rPr>
          <w:rFonts w:eastAsia="Times New Roman" w:cs="Arial"/>
        </w:rPr>
        <w:lastRenderedPageBreak/>
        <w:t>nejednakog postupanja po bilo kom njegovom ličnom svojstvu. Zbog toga u konkretnom slučaju nema povrede prava u smislu Zakona o zabrani diskriminacije.</w:t>
      </w:r>
    </w:p>
    <w:p w:rsidR="00135D51" w:rsidRPr="00135D51" w:rsidRDefault="00A65AEA" w:rsidP="000C558B">
      <w:pPr>
        <w:shd w:val="clear" w:color="auto" w:fill="04D9F6"/>
        <w:spacing w:before="240" w:after="100" w:afterAutospacing="1" w:line="276" w:lineRule="auto"/>
        <w:rPr>
          <w:rFonts w:cs="Arial"/>
          <w:i/>
        </w:rPr>
      </w:pPr>
      <w:r w:rsidRPr="00A65AEA">
        <w:rPr>
          <w:rFonts w:cs="Arial"/>
          <w:i/>
        </w:rPr>
        <w:t>Postupanje centra za socijalni rad nije zasnovano na ličnom svojstvu podnositeljke pritužbe</w:t>
      </w:r>
      <w:r>
        <w:rPr>
          <w:rFonts w:cs="Arial"/>
          <w:i/>
          <w:lang w:val="sr-Latn-RS"/>
        </w:rPr>
        <w:t xml:space="preserve"> </w:t>
      </w:r>
    </w:p>
    <w:p w:rsidR="00A65AEA" w:rsidRDefault="00A65AEA" w:rsidP="00135D51">
      <w:pPr>
        <w:spacing w:after="100" w:afterAutospacing="1" w:line="276" w:lineRule="auto"/>
        <w:rPr>
          <w:rFonts w:cs="Arial"/>
          <w:lang w:val="sr-Latn-RS"/>
        </w:rPr>
      </w:pPr>
      <w:r w:rsidRPr="00A65AEA">
        <w:rPr>
          <w:rFonts w:cs="Arial"/>
        </w:rPr>
        <w:t>Podnositeljka pritužbe je podnela pritužbu protiv centra za socijalni rad i navela da je u toku brakorazvodna parnica između nje i supruga s kojim ima maloletnog sina. Dalje je navela da je sud doneo privremenu meru kojom je maloletni sin privremeno poveren ocu i kojom je uređeno njeno viđanje s detetom. Dodala je da je služba centra za socijalni rad od samog početka postupala pristrasno u korist njenog supruga, da je njihov rad neprofesionalan i na štetu deteta. Podnositeljka pritužbe tražila je da Poverenik preduzme sve radnje iz svoje nadležnosti da se ovakav rad centra za socijalni rad zaustavi. Prema činjenicama koje je podnositeljka pritužbe navela očigledno je da nije došlo do pravljenja razlike ili nejednakog postupanja po bilo kom njenom ličnom svojstvu. Zbog toga u konkretnom slučaju nema povrede prava u smislu Zakona o zabrani diskriminacije.</w:t>
      </w:r>
    </w:p>
    <w:p w:rsidR="00135D51" w:rsidRPr="00135D51" w:rsidRDefault="00A65AEA" w:rsidP="000C558B">
      <w:pPr>
        <w:shd w:val="clear" w:color="auto" w:fill="04D9F6"/>
        <w:spacing w:before="240" w:after="0"/>
        <w:outlineLvl w:val="0"/>
        <w:rPr>
          <w:rFonts w:cs="Arial"/>
          <w:i/>
        </w:rPr>
      </w:pPr>
      <w:bookmarkStart w:id="167" w:name="_Toc476904387"/>
      <w:bookmarkStart w:id="168" w:name="_Toc476908739"/>
      <w:bookmarkStart w:id="169" w:name="_Toc477248230"/>
      <w:bookmarkStart w:id="170" w:name="_Toc477248666"/>
      <w:bookmarkStart w:id="171" w:name="_Toc477250797"/>
      <w:bookmarkStart w:id="172" w:name="_Toc477251791"/>
      <w:r w:rsidRPr="00A65AEA">
        <w:rPr>
          <w:rFonts w:cs="Arial"/>
          <w:i/>
        </w:rPr>
        <w:t>Da li je vređanje na osnovu fizičkog izgleda diskriminacija?</w:t>
      </w:r>
      <w:r>
        <w:rPr>
          <w:rFonts w:cs="Arial"/>
          <w:i/>
          <w:lang w:val="sr-Latn-RS"/>
        </w:rPr>
        <w:t xml:space="preserve"> </w:t>
      </w:r>
      <w:bookmarkEnd w:id="167"/>
      <w:bookmarkEnd w:id="168"/>
      <w:bookmarkEnd w:id="169"/>
      <w:bookmarkEnd w:id="170"/>
      <w:bookmarkEnd w:id="171"/>
      <w:bookmarkEnd w:id="172"/>
    </w:p>
    <w:p w:rsidR="00135D51" w:rsidRDefault="00A65AEA" w:rsidP="00135D51">
      <w:pPr>
        <w:spacing w:before="240" w:after="100" w:afterAutospacing="1" w:line="276" w:lineRule="auto"/>
        <w:rPr>
          <w:rFonts w:cs="Arial"/>
          <w:lang w:val="sr-Latn-RS"/>
        </w:rPr>
      </w:pPr>
      <w:r w:rsidRPr="00A65AEA">
        <w:rPr>
          <w:rFonts w:cs="Arial"/>
        </w:rPr>
        <w:t>Povereniku za zaštitu ravnopravnosti je elektronskim pismom postavljeno pitanje: „Da li vređanje na osnovu fizičkog izgleda spada u vid diskriminacije?“ U odgovoru je ukazano da je izgled lično svojstvo koje je izričito navedeno kao mogući osnov diskriminacije, kao i da lista osnova diskriminacije nije zatvorena i da zakonodavac ostavlja mogućnost da osnov diskriminacije bude i neko drugo stvarno ili pretpostavljeno lično svojstvo. Dalje, objašnjeno je da je odredbama člana 12. Zakona o zabrani diskriminacije zabranjeno uznemiravanje i ponižavajuće postupanje koje ima za cilj ili predstavlja povredu dostojanstva lica ili grupe lice na osnovu njihovog ličnog svojstva, a naročito ako se time stvara strah ili neprijateljsko, ponižavajuće i uvredljivo okruženje. Takođe, data je i pouka na koji način se Povereniku za zaštitu ravnopravnosti može podneti pritužba za zaštitu od diskriminacije.</w:t>
      </w:r>
    </w:p>
    <w:p w:rsidR="00A65AEA" w:rsidRPr="00A65AEA" w:rsidRDefault="00A65AEA" w:rsidP="00135D51">
      <w:pPr>
        <w:spacing w:before="240" w:after="100" w:afterAutospacing="1" w:line="276" w:lineRule="auto"/>
        <w:rPr>
          <w:rFonts w:cs="Arial"/>
          <w:lang w:val="sr-Latn-RS"/>
        </w:rPr>
      </w:pPr>
    </w:p>
    <w:p w:rsidR="00135D51" w:rsidRPr="00135D51" w:rsidRDefault="00085865" w:rsidP="00135D51">
      <w:pPr>
        <w:pStyle w:val="Heading1"/>
        <w:tabs>
          <w:tab w:val="left" w:pos="142"/>
        </w:tabs>
        <w:spacing w:line="276" w:lineRule="auto"/>
        <w:ind w:left="0" w:firstLine="0"/>
        <w:jc w:val="left"/>
        <w:rPr>
          <w:rFonts w:cs="Arial"/>
          <w:szCs w:val="22"/>
        </w:rPr>
      </w:pPr>
      <w:bookmarkStart w:id="173" w:name="_Toc477248667"/>
      <w:bookmarkStart w:id="174" w:name="_Toc477251792"/>
      <w:r>
        <w:rPr>
          <w:rFonts w:cs="Arial"/>
          <w:szCs w:val="22"/>
          <w:lang w:val="sr-Latn-RS"/>
        </w:rPr>
        <w:t>saradnja poverenika</w:t>
      </w:r>
      <w:bookmarkEnd w:id="173"/>
      <w:bookmarkEnd w:id="174"/>
    </w:p>
    <w:p w:rsidR="00135D51" w:rsidRPr="00135D51" w:rsidRDefault="00135D51" w:rsidP="00135D51">
      <w:pPr>
        <w:pStyle w:val="NoSpacing"/>
        <w:spacing w:line="276" w:lineRule="auto"/>
        <w:rPr>
          <w:rFonts w:ascii="Arial" w:hAnsi="Arial" w:cs="Arial"/>
          <w:lang w:val="sr-Cyrl-CS"/>
        </w:rPr>
      </w:pPr>
    </w:p>
    <w:p w:rsidR="00085865" w:rsidRPr="00085865" w:rsidRDefault="00085865" w:rsidP="00135D51">
      <w:pPr>
        <w:spacing w:after="100" w:afterAutospacing="1" w:line="276" w:lineRule="auto"/>
        <w:rPr>
          <w:rFonts w:cs="Arial"/>
          <w:lang w:val="sr-Latn-RS"/>
        </w:rPr>
      </w:pPr>
      <w:r w:rsidRPr="00085865">
        <w:rPr>
          <w:rFonts w:cs="Arial"/>
        </w:rPr>
        <w:t>Poverenik za zaštitu ravnopravnosti je tokom 2016. godine nastavio s radom na uspostavljanju, održavanju i razvijanju saradnje s organima javne vlasti, međunarodnim i domaćim organizacijama i institucijama, medijima, Evropskom mrežom tela za ravnopravnost (EKVINET), a naročito s regionalnim telima za ravnopravnost iz Crne Gore, Bosne i Hercegovine, Makedonije, Albanije i Hrvatske, s ciljem zaštite ljudskih prava i promocije ravnopravnosti i zajedničkog iznalaženja efikasnih i delotvornih načina za suzbijanje diskriminacije. Pored toga, u cilju podizanja vidljivosti institucije, unapređenja ravnopravnosti i podizanja nivoa informisanja građana i građanki o vidovima zaštite od diskriminacije koje pruža Poverenik, predstavnici Poverenika za zaštitu ravnopravnosti učestvovali su, kao predavači ili učesnici, na različitim seminarima, radionicama, konferencijama, stručnim skupovima, predavanjima, prezentacijama, obukama i treninzima. U delu koji sledi predstavljena je saradnja, odnosno predstavljene su najvažnije aktivnosti u kojima je učestvovala poverenica za zaštitu ravnopravnosti, kao i zaposleni u stručnoj službi Poverenika za zaštitu ravnopravnosti.</w:t>
      </w:r>
    </w:p>
    <w:p w:rsidR="00135D51" w:rsidRPr="00135D51" w:rsidRDefault="00135D51" w:rsidP="00135D51">
      <w:pPr>
        <w:spacing w:after="100" w:afterAutospacing="1" w:line="276" w:lineRule="auto"/>
        <w:rPr>
          <w:rFonts w:cs="Arial"/>
        </w:rPr>
      </w:pPr>
    </w:p>
    <w:p w:rsidR="00135D51" w:rsidRPr="00085865" w:rsidRDefault="00085865" w:rsidP="00D93153">
      <w:pPr>
        <w:pStyle w:val="Heading2"/>
        <w:numPr>
          <w:ilvl w:val="0"/>
          <w:numId w:val="30"/>
        </w:numPr>
        <w:ind w:left="567"/>
        <w:rPr>
          <w:rFonts w:ascii="Arial" w:hAnsi="Arial" w:cs="Arial"/>
          <w:sz w:val="22"/>
        </w:rPr>
      </w:pPr>
      <w:bookmarkStart w:id="175" w:name="_Toc477248668"/>
      <w:bookmarkStart w:id="176" w:name="_Toc477251793"/>
      <w:r w:rsidRPr="00085865">
        <w:rPr>
          <w:rFonts w:ascii="Arial" w:hAnsi="Arial" w:cs="Arial"/>
          <w:sz w:val="22"/>
          <w:lang w:val="sr-Latn-RS"/>
        </w:rPr>
        <w:t>Saradnja sa</w:t>
      </w:r>
      <w:r>
        <w:rPr>
          <w:rFonts w:asciiTheme="minorHAnsi" w:hAnsiTheme="minorHAnsi"/>
          <w:sz w:val="22"/>
          <w:lang w:val="sr-Latn-RS"/>
        </w:rPr>
        <w:t xml:space="preserve"> </w:t>
      </w:r>
      <w:r w:rsidRPr="00085865">
        <w:rPr>
          <w:rFonts w:ascii="Arial" w:hAnsi="Arial" w:cs="Arial"/>
          <w:sz w:val="22"/>
          <w:lang w:val="sr-Latn-RS"/>
        </w:rPr>
        <w:t>organima javne vlasti</w:t>
      </w:r>
      <w:bookmarkEnd w:id="175"/>
      <w:bookmarkEnd w:id="176"/>
    </w:p>
    <w:p w:rsidR="00135D51" w:rsidRPr="00135D51" w:rsidRDefault="00085865" w:rsidP="00D93153">
      <w:pPr>
        <w:pStyle w:val="Heading3"/>
        <w:numPr>
          <w:ilvl w:val="0"/>
          <w:numId w:val="31"/>
        </w:numPr>
      </w:pPr>
      <w:bookmarkStart w:id="177" w:name="_Toc477248669"/>
      <w:bookmarkStart w:id="178" w:name="_Toc477251794"/>
      <w:r>
        <w:rPr>
          <w:lang w:val="sr-Latn-RS"/>
        </w:rPr>
        <w:t>Saradnja sa Narodnom skupštinom Republike Srbije</w:t>
      </w:r>
      <w:bookmarkEnd w:id="177"/>
      <w:bookmarkEnd w:id="178"/>
    </w:p>
    <w:p w:rsidR="00085865" w:rsidRPr="00085865" w:rsidRDefault="00085865" w:rsidP="00085865">
      <w:pPr>
        <w:spacing w:after="100" w:afterAutospacing="1" w:line="276" w:lineRule="auto"/>
        <w:rPr>
          <w:rFonts w:eastAsia="BatangChe" w:cs="Arial"/>
        </w:rPr>
      </w:pPr>
      <w:r w:rsidRPr="00085865">
        <w:rPr>
          <w:rFonts w:eastAsia="BatangChe" w:cs="Arial"/>
        </w:rPr>
        <w:t xml:space="preserve">U skladu sa Zakonom o zabrani diskriminacije, Poverenik za zaštitu ravnopravnosti podnosi Narodnoj skupštini godišnji izveštaj o stanju u oblasti zaštite ravnopravnosti. Redovni godišnji izveštaj za 2015. godinu nije razmatran na sednici Narodne skupštine. Detaljno je razmatran na šestoj sednici Odbora za ljudska i manjinska prava i ravnopravnost polova, održanoj 26. septembra 2016. godine, kao i na drugoj sednici Odbora za pravosuđe, državnu upravu i lokalnu samoupravu, održanoj 14. septembra 2016. godine. Ovaj odbor je Izveštaj Poverenika za zaštitu ravnopravnosti razmatrao zajedno sa izveštajima još dva nezavisna državna organa, Zaštitnika građana i Poverenika za informacije od javnog značaja i zaštitu podataka o ličnosti. </w:t>
      </w:r>
    </w:p>
    <w:p w:rsidR="00085865" w:rsidRPr="00085865" w:rsidRDefault="00085865" w:rsidP="00085865">
      <w:pPr>
        <w:spacing w:after="100" w:afterAutospacing="1" w:line="276" w:lineRule="auto"/>
        <w:rPr>
          <w:rFonts w:eastAsia="BatangChe" w:cs="Arial"/>
        </w:rPr>
      </w:pPr>
      <w:r w:rsidRPr="00085865">
        <w:rPr>
          <w:rFonts w:eastAsia="BatangChe" w:cs="Arial"/>
        </w:rPr>
        <w:t xml:space="preserve">Tokom 2016. godine nastavljena je uspešna saradnja sa Ženskom parlamentarnom mrežom, koju čine narodne poslanice okupljene oko pet ciljeva: zdravlje žena i porodice, borba protiv nasilja nad ženama i decom, ekonomsko osnaživanje žena, obrazovanje žena i promocija ženskog znanja, kao i veće učešće žena u političkom i javnom životu. </w:t>
      </w:r>
    </w:p>
    <w:p w:rsidR="00085865" w:rsidRPr="00085865" w:rsidRDefault="00085865" w:rsidP="00085865">
      <w:pPr>
        <w:spacing w:after="100" w:afterAutospacing="1" w:line="276" w:lineRule="auto"/>
        <w:rPr>
          <w:rFonts w:eastAsia="BatangChe" w:cs="Arial"/>
        </w:rPr>
      </w:pPr>
      <w:r w:rsidRPr="00085865">
        <w:rPr>
          <w:rFonts w:eastAsia="BatangChe" w:cs="Arial"/>
        </w:rPr>
        <w:t xml:space="preserve">Na četvrtoj konferenciji Ženske parlamentarne mreže, održanoj početkom novembra 2016. godine, poverenica za zaštitu ravnopravnosti je istakla da javne politike  moraju sadržati komponentu rodne perspektive i da se bez ravnopravne zastupljenosti žena u parlamentu ne može govoriti o stvarnoj ravnopravnosti žene ni u jednoj oblasti društvenog života. Takođe, poverenica je naglasila da učešće žena u javnom i političkom životu Srbije još uvek nije na zadovoljavajućem nivou, iako su pomaci vidljivi u odnosu na prethodni period. Naročito je podvukla da su žene iz manjinskih grupa gotovo potpuno nevidljive u političkom i javnom životu i naglasila da se mora raditi na promeni pogrešnih, ali duboko ukorenjenih uverenja da rukovodeća mesta treba da budu u rukama muškaraca i da su žene manje sposobne da donose odluke i da reaguju u kriznim situacijama. </w:t>
      </w:r>
    </w:p>
    <w:p w:rsidR="00085865" w:rsidRPr="00085865" w:rsidRDefault="00085865" w:rsidP="00085865">
      <w:pPr>
        <w:spacing w:after="100" w:afterAutospacing="1" w:line="276" w:lineRule="auto"/>
        <w:rPr>
          <w:rFonts w:eastAsia="BatangChe" w:cs="Arial"/>
        </w:rPr>
      </w:pPr>
      <w:r w:rsidRPr="00085865">
        <w:rPr>
          <w:rFonts w:eastAsia="BatangChe" w:cs="Arial"/>
        </w:rPr>
        <w:t xml:space="preserve">Pored toga, u saradnji sa Ženskom parlamentarnom mrežom, a na inicijativu aktivistkinja i ekspertkinja okupljenih oko Ženske platforme, u Narodnoj skupštini je održan „Forum za rodne politike – Vladavina prava i antidiskriminacija“, na kojoj su učestvovali predstavnici Poverenika za zaštitu ravnopravnosti. Cilj Foruma bio je da se u dijalogu s ekspertkinjama, aktivistkinjama i političarkama razgovara o dostignućima u oblasti vladavine prava i antidiskriminacije, a u kontekstu praćenja postignuća definisanih Ženskom platformom za razvoj Srbije. </w:t>
      </w:r>
    </w:p>
    <w:p w:rsidR="00085865" w:rsidRPr="00085865" w:rsidRDefault="00085865" w:rsidP="00085865">
      <w:pPr>
        <w:spacing w:after="100" w:afterAutospacing="1" w:line="276" w:lineRule="auto"/>
        <w:rPr>
          <w:rFonts w:eastAsia="BatangChe" w:cs="Arial"/>
        </w:rPr>
      </w:pPr>
      <w:r w:rsidRPr="00085865">
        <w:rPr>
          <w:rFonts w:eastAsia="BatangChe" w:cs="Arial"/>
        </w:rPr>
        <w:t xml:space="preserve">Poverenica je učestvovala na skupu „Značaj neformalnih parlamentarnih grupa“, koji je u Narodnoj skupštini Republike Srbije organizovala Ženska platforma za razvoj Srbije. Na ovom skupu su predstavljene Grupa za osnaživanje osoba sa invaliditetom i Ženska parlamentarna mreža, koje predstavljaju važne primere modernog parlamentarnog delovanja u saradnji s organizacijama civilnog društva. Tom prilikom, poverenica je ukazala da je institucija Poverenika od početka podržala projekat „Jačanje političkog učešća osoba sa invaliditetom u Srbiji“, kao i formiranje stalne parlamentarne radne grupe koja se bavi pitanjima prava osoba sa invaliditetom. Naglasila je da je, kada je reč o toj osetljivoj grupi i </w:t>
      </w:r>
      <w:r w:rsidRPr="00085865">
        <w:rPr>
          <w:rFonts w:eastAsia="BatangChe" w:cs="Arial"/>
        </w:rPr>
        <w:lastRenderedPageBreak/>
        <w:t>njihovim pravima, učinjen veliki pomak, ali da predstoji još mnogo posla, naročito u oblasti obrazovanja, bezbednosti, rada i zapošljavanja, socijalne i zdravstvene zaštite.</w:t>
      </w:r>
    </w:p>
    <w:p w:rsidR="00085865" w:rsidRPr="00085865" w:rsidRDefault="00085865" w:rsidP="00085865">
      <w:pPr>
        <w:spacing w:after="100" w:afterAutospacing="1" w:line="276" w:lineRule="auto"/>
        <w:rPr>
          <w:rFonts w:eastAsia="BatangChe" w:cs="Arial"/>
          <w:lang w:val="sr-Latn-RS"/>
        </w:rPr>
      </w:pPr>
      <w:r w:rsidRPr="00085865">
        <w:rPr>
          <w:rFonts w:eastAsia="BatangChe" w:cs="Arial"/>
        </w:rPr>
        <w:t>Poverenica je učestvovala i na zajedničkom sastanku narodnih poslanica i poslanika, predstavnika državnih institucija i civilnog sektora o Predlogu zakona o ravnopravnosti žena i muškaraca, koji se tada nalazio u skupštinskoj proceduri. Sastanak je organizovala Ženska parlamentarna mreža, na inicijativu grupe aktivistkinja i ekspertkinja okupljenih oko Ženske platforme za razvoj Srbije. Poverenica je, između ostalog, ukazala na određene nedostatke i potrebu za dodatnim razmatranjem i unapređenjem pojedinih odredaba kako bismo došli do kvalitetnijeg zakonskog predloga, čija primena će voditi punom poštovanju principa ravnopravnopsti. Ovaj zakon je povučen iz skupštinske procedure.</w:t>
      </w:r>
    </w:p>
    <w:p w:rsidR="00135D51" w:rsidRPr="00135D51" w:rsidRDefault="00135D51" w:rsidP="00135D51">
      <w:pPr>
        <w:spacing w:after="100" w:afterAutospacing="1" w:line="276" w:lineRule="auto"/>
        <w:rPr>
          <w:rFonts w:eastAsia="BatangChe" w:cs="Arial"/>
        </w:rPr>
      </w:pPr>
    </w:p>
    <w:p w:rsidR="00135D51" w:rsidRPr="00135D51" w:rsidRDefault="00085865" w:rsidP="00D93153">
      <w:pPr>
        <w:pStyle w:val="Heading3"/>
        <w:numPr>
          <w:ilvl w:val="0"/>
          <w:numId w:val="31"/>
        </w:numPr>
      </w:pPr>
      <w:bookmarkStart w:id="179" w:name="_Toc477248670"/>
      <w:bookmarkStart w:id="180" w:name="_Toc477251795"/>
      <w:r>
        <w:rPr>
          <w:lang w:val="sr-Latn-RS"/>
        </w:rPr>
        <w:t>Saradnja sa predstavnicima izvršne vlasti</w:t>
      </w:r>
      <w:bookmarkEnd w:id="179"/>
      <w:bookmarkEnd w:id="180"/>
    </w:p>
    <w:p w:rsidR="00085865" w:rsidRPr="00085865" w:rsidRDefault="00085865" w:rsidP="00085865">
      <w:pPr>
        <w:spacing w:after="100" w:afterAutospacing="1" w:line="276" w:lineRule="auto"/>
        <w:rPr>
          <w:rFonts w:cs="Arial"/>
        </w:rPr>
      </w:pPr>
      <w:r w:rsidRPr="00085865">
        <w:rPr>
          <w:rFonts w:cs="Arial"/>
        </w:rPr>
        <w:t>Dobra saradnja s predstavnicima izvršne vlasti od velikog je značaja za suzbijanje diskriminacije i ostvarivanje načela ravnopravnosti. U cilju efikasnijeg preventivnog delovanja, Poverenik je uputio dopis svim ministarstvima ukazujući na zakonsku obavezu organa državne uprave da Povereniku za zaštitu ravnopravnosti dostavljaju na mišljenje sve nacrte zakona, kao i predloge drugih propisa, s ciljem sprečavanja donošenja propisa koji sadrže diskriminatorne odredbe, a time i sprečavanja diskriminacije građana u različitim oblastima društvenog života. S tim u vezi, postupanje organa državne uprave rezultiralo je znatno većim brojem dostavljenih nacrta na mišljenje Povereniku, a pre svega sprečavanjem eventualne sistemske diskriminacije građana sadržane u predloženim odredbama. Neophodno je da svi državni organi i ubuduće poštuju propisanu zakonsku obavezu koja se odnosi na proceduru usvajanja zakona i drugih propisa.</w:t>
      </w:r>
    </w:p>
    <w:p w:rsidR="00085865" w:rsidRPr="00085865" w:rsidRDefault="00085865" w:rsidP="00085865">
      <w:pPr>
        <w:spacing w:after="100" w:afterAutospacing="1" w:line="276" w:lineRule="auto"/>
        <w:rPr>
          <w:rFonts w:cs="Arial"/>
        </w:rPr>
      </w:pPr>
      <w:r w:rsidRPr="00085865">
        <w:rPr>
          <w:rFonts w:cs="Arial"/>
        </w:rPr>
        <w:t xml:space="preserve">Oblast obrazovanja je od izuzetnog značaja za izgradnju tolerantnog društva i bolje razumevanje različitosti, što je i potvrđeno na prvom sastanku novoizabranog ministra prosvete, nauke i tehnološkog razvoja Mladena Šarčevića i poverenice za zaštitu ravnopravnosti. Na sastanku je razgovarano o budućoj saradnji i aktuelnim problemima u oblasti unapređenja ravnopravnosti i o ulozi sistema obrazovanja u suzbijanju diskriminacije. Postignuta je saglasnost da je zajednički cilj edukacija mladih o ljudskim pravima, ravnopravnosti i zaštiti od diskriminacije kroz obavezne školske programe. Tom prilikom potvrđena je spremnost Ministarstva da učestvuje u projektu koji Poverenik realizuje u saradnji sa Unicefom, i koji obuhvata izradu priručnika za prepoznavanje diskriminacije u školama za zaposlene i roditelje, zatim izradu priručnika koji je namenjen učenicima, kao i izradu edukativnih materijala koji će na adekvatan način približiti deci i mladima značaj i njihovu ulogu u borbi protiv diskriminacije. Takođe, dogovorena je i zajednička organizacija obuka koje su namenjene najpre prosvetnim radnicima, a zatim i prosvetnim savetnicima, inspektorima i svim zaposlenima u sistemu obrazovanja. </w:t>
      </w:r>
    </w:p>
    <w:p w:rsidR="00085865" w:rsidRPr="00085865" w:rsidRDefault="00085865" w:rsidP="00085865">
      <w:pPr>
        <w:spacing w:after="100" w:afterAutospacing="1" w:line="276" w:lineRule="auto"/>
        <w:rPr>
          <w:rFonts w:cs="Arial"/>
        </w:rPr>
      </w:pPr>
      <w:r w:rsidRPr="00085865">
        <w:rPr>
          <w:rFonts w:cs="Arial"/>
        </w:rPr>
        <w:t xml:space="preserve">Uzimajući u obzir činjenicu da se slučajevi diskriminacije često dešavaju prilikom ostvarivanja prava građana pred organima javne vlasti, poverenica se sastala s novoizabranom ministarkom za državnu upravu i lokalnu samoupravu Anom Brnabić. Na sastanku je dogovorena buduća zajednička aktivnost edukacije državnih službenika i zaposlenih u lokalnim samoupravama u pogledu primene antidiskriminacionih propisa i upoznavanja s </w:t>
      </w:r>
      <w:r w:rsidRPr="00085865">
        <w:rPr>
          <w:rFonts w:cs="Arial"/>
        </w:rPr>
        <w:lastRenderedPageBreak/>
        <w:t>praksom i politikama iz ove oblasti. Ministarka i poverenica saglasile su se da poznavanje antidiskriminacionog zakonodavstva treba da bude deo programa za polaganje državnog stručnog ispita i deo obuke buduće Akademije za državnu upravu. Takođe, dogovorena je zajednička distribucija lokalnim samoupravama novog Priručnika za prepoznavanje slučajeva diskriminacije pred organima javne vlasti, koji je namenjen predstavnicima državnih organa, organa autonomne pokrajine i lokalne samouprave, ali i zaposlenima u javnim preduzećima, ustanovama, javnim agencijama i drugim organizacijama kojima su poverena javna ovlašćenja.</w:t>
      </w:r>
    </w:p>
    <w:p w:rsidR="00085865" w:rsidRPr="00085865" w:rsidRDefault="00085865" w:rsidP="00085865">
      <w:pPr>
        <w:spacing w:after="100" w:afterAutospacing="1" w:line="276" w:lineRule="auto"/>
        <w:rPr>
          <w:rFonts w:cs="Arial"/>
        </w:rPr>
      </w:pPr>
      <w:r w:rsidRPr="00085865">
        <w:rPr>
          <w:rFonts w:cs="Arial"/>
        </w:rPr>
        <w:t>Sa Ministarstvom unutrašnjih poslova u 2016. godini nastavljena je uspešna saradnja. Između ostalog, održan je ciklus obuka za policijske službenike i službenice pod nazivom „Prepoznavanje i reagovanje na diskriminaciju“. Uz podršku OEBS-a realizovano je osam seminara i obukom je obuhvaćeno preko 160 policijskih službenika iz policijskih uprava u Beogradu, Novom Sadu, Subotici, Kragujevcu, Vršcu, Novom Pazaru i na Divčibarama. Program obuke sadržao je nekoliko tematskih oblasti s ciljem boljeg prepoznavanja i reagovanja policijskih službenika u slučajevima diskriminacije. U uvodnom delu svakog pojedinačnog seminara poverenica je držala predavanja o ulozi, nadležnostima i radu Poverenika za zaštitu ravnopravnosti i predstavila primere iz prakse koji se odnose na najčešće slučajeve diskriminacije. Polaznici obuka, pripadnici saobraćajne i kriminalističke policije, imali su priliku da se upoznaju i s međunarodnim standardima u oblasti zaštite od diskriminacije, mehanizmima zaštite, kao i sa praksom Evropskog suda za ljudska prava. Pored toga, predstavljene su sprovedene aktivnosti i dostignuća u ostvarivanju rodne ravnopravnosti u sektoru bezbednosti, kao i komunikacijski aspekti u primeni policijskih ovlašćenja i značaj komunikacije u prevenciji diskriminacije.</w:t>
      </w:r>
    </w:p>
    <w:p w:rsidR="00085865" w:rsidRPr="00085865" w:rsidRDefault="00085865" w:rsidP="00085865">
      <w:pPr>
        <w:spacing w:after="100" w:afterAutospacing="1" w:line="276" w:lineRule="auto"/>
        <w:rPr>
          <w:rFonts w:cs="Arial"/>
        </w:rPr>
      </w:pPr>
      <w:r w:rsidRPr="00085865">
        <w:rPr>
          <w:rFonts w:cs="Arial"/>
        </w:rPr>
        <w:t xml:space="preserve">Rezultati evaluacije su pokazali značajan procenat uvećanja znanja o diskriminaciji nakon završenih obuka u odnosu na upitnik popunjen pre početka svake od obuka (udeo netačnih odgovora od 48,5% nakon održanih seminara pao je na samo 16,6%, dok je prilično nizak procenat tačnih odgovora </w:t>
      </w:r>
      <w:r w:rsidRPr="00085865">
        <w:rPr>
          <w:rFonts w:cs="Arial"/>
        </w:rPr>
        <w:t>samo 14,2%</w:t>
      </w:r>
      <w:r w:rsidRPr="00085865">
        <w:rPr>
          <w:rFonts w:cs="Arial"/>
        </w:rPr>
        <w:t> „skočio“ na 40,2%).</w:t>
      </w:r>
    </w:p>
    <w:p w:rsidR="00085865" w:rsidRPr="00085865" w:rsidRDefault="00085865" w:rsidP="00085865">
      <w:pPr>
        <w:spacing w:after="100" w:afterAutospacing="1" w:line="276" w:lineRule="auto"/>
        <w:rPr>
          <w:rFonts w:cs="Arial"/>
        </w:rPr>
      </w:pPr>
      <w:r w:rsidRPr="00085865">
        <w:rPr>
          <w:rFonts w:cs="Arial"/>
        </w:rPr>
        <w:t xml:space="preserve">Saradnja s nacionalnim savetima nacionalnih manjina je vrlo važna ne samo za Poverenika za zaštitu ravnopravnosti već i za ostale organe javne vlasti. Ministarka državne uprave i lokalne samouprave održala je radni sastanak s predsednicima nacionalnih saveta nacionalnih manjina, kome su prisustvovale i poverenica za zaštitu ravnopravnosti i v. d. direktorka Kancelarije za ljudska i manjinska prava. Konstatovano je da je jedna od najznačajnijih aktivnosti koja je realizovana u oblasti zaštite nacionalnih manjina usvajanje Akcionog plana za ostvarivanje prava pripadnika nacionalnih manjina, čije je donošenje predviđeno u procesu pristupanja Srbije Evropskoj uniji u okviru pregovaračkog poglavlja 23 i naglašeno da je veoma važno učešće nacionalnih saveta u narednim fazama sprovođenja aktivnosti iz Akcionog plana. Tokom sastanka je istaknuto da su u planu i izmene Zakona o zaštiti prava i sloboda nacionalnih manjina, koje će dodatno unaprediti položaj pripadnika nacionalnih manjina. </w:t>
      </w:r>
    </w:p>
    <w:p w:rsidR="00085865" w:rsidRPr="00085865" w:rsidRDefault="00085865" w:rsidP="00085865">
      <w:pPr>
        <w:spacing w:after="100" w:afterAutospacing="1" w:line="276" w:lineRule="auto"/>
        <w:rPr>
          <w:rFonts w:cs="Arial"/>
        </w:rPr>
      </w:pPr>
      <w:r w:rsidRPr="00085865">
        <w:rPr>
          <w:rFonts w:cs="Arial"/>
        </w:rPr>
        <w:t xml:space="preserve">Sa Kancelarijom za ljudska i manjinska prava Vlade Republike Srbije (KLJMP) nastavljena je kontinuirana saradnja na projektu IPA 2011. U periodu 2015–2017. dve institucije zajednički realizuju aktivnosti u okviru tvining projekta IPA 2013, pod nazivom „Podrška unapređenju ljudskih prava i nulta tolerancija na diskriminaciju“. </w:t>
      </w:r>
    </w:p>
    <w:p w:rsidR="00085865" w:rsidRPr="00085865" w:rsidRDefault="00085865" w:rsidP="00085865">
      <w:pPr>
        <w:spacing w:after="100" w:afterAutospacing="1" w:line="276" w:lineRule="auto"/>
        <w:rPr>
          <w:rFonts w:cs="Arial"/>
        </w:rPr>
      </w:pPr>
      <w:r w:rsidRPr="00085865">
        <w:rPr>
          <w:rFonts w:cs="Arial"/>
        </w:rPr>
        <w:lastRenderedPageBreak/>
        <w:t>Imajući u vidu probleme s kojima se građani suočavaju kada su u pitanju siromaštvo i socijalna isključenost, poverenica je održala sastanak s menadžerom Tima za socijalno uključivanje i smanjenje siromaštva Vlade Republike Srbije, Ivanom Sekulovićem. Tema sastanka je upravo bila diskriminacija po osnovu imovinskog stanja i potreba za većom podrškom građanima koji se nalaze u riziku od siromaštva. Jedna od tema razgovora bila je i potreba za sprovođenjem istraživanja o uzrocima diskriminacije, kao i o rezultatima studije „Delotvornost sistemskih mehanizama za sprečavanje nasilja prema ženama i nasilja u porodici“, čiji je cilj unapređenje zaštite i kvalitativne preporuke za dalje rešavanje ovog problema.</w:t>
      </w:r>
    </w:p>
    <w:p w:rsidR="00085865" w:rsidRPr="00085865" w:rsidRDefault="00085865" w:rsidP="00085865">
      <w:pPr>
        <w:spacing w:after="100" w:afterAutospacing="1" w:line="276" w:lineRule="auto"/>
        <w:rPr>
          <w:rFonts w:cs="Arial"/>
        </w:rPr>
      </w:pPr>
      <w:r w:rsidRPr="00085865">
        <w:rPr>
          <w:rFonts w:cs="Arial"/>
        </w:rPr>
        <w:t xml:space="preserve">Poverenica za zaštitu ravnopravnosti učestvovala je u procesu javnih konsultacija za izradu Nacrta nacionalnog akcionog plana za primenu Rezolucije 1325 SB UN – Žene, mir i bezbednost. Tokom konsultacija, poverenica je ukazivala da su rodna ravnopravnost, unapređenje prava žena i njihovo veće učešće u sistemu nacionalne bezbednosti među osnovnim postulatima NAP-a za primenu Rezolucije 1325 SB UN. Rodna ravnopravnost je važan preduslov za razvoj društva u celini, posebno na nivou lokalnih zajednica, gde je uključivanje žena u sistem bezbednosti do sada bilo nedovoljno. Ukazano je i na domete prethodnog Nacionalnog akcionog plana, u periodu od 2010. do 2015. godine, posebno u vezi sa sistemom nacionalne bezbednosti, u kojem je primetan povećan broj i učešće žena, ali je neophodno stvoriti uslove za povećanje broja žena u operativnim poslovima i na višim hijerarhijskim pozicijama unutar sistema nacionalne bezbednosti. Poverenica je posebno istakla potrebu za boljom koordinacijom lokalnih tela za rodnu ravnopravnost i različitih tela koja rade na unapređenju lokalne bezbednosti, jer su njihova saradnja i koordinacija do sada bile nedovoljne, zbog čega je u narednom periodu veoma važno unaprediti rad i ojačati savete za bezbednost na lokalnom nivou. </w:t>
      </w:r>
    </w:p>
    <w:p w:rsidR="00085865" w:rsidRPr="00085865" w:rsidRDefault="00085865" w:rsidP="00085865">
      <w:pPr>
        <w:spacing w:after="100" w:afterAutospacing="1" w:line="276" w:lineRule="auto"/>
        <w:rPr>
          <w:rFonts w:cs="Arial"/>
          <w:highlight w:val="darkGray"/>
          <w:lang w:val="sr-Latn-RS"/>
        </w:rPr>
      </w:pPr>
      <w:r w:rsidRPr="00085865">
        <w:rPr>
          <w:rFonts w:cs="Arial"/>
        </w:rPr>
        <w:t>Poverenica je učestvovala i na okruglom stolu „Unapređenje normativnog okvira za zaštitu dece od zloupotrebe dečijeg rada“, u organizaciji Ministarstva za rad, zapošljavanje, boračka i socijalna pitanja. Tom prilikom ukazano je da eksploatacija dece i dečjeg rada može predstavljati i uzrok i posledicu diskriminacije, odnosno nejednakosti i da brojna istraživanja pokazuju da su usluge u zajednici na lokalnom nivou nedovoljno dostupne, neravnomerno razvijene i često neodržive. Posebno je naglašeno da socijalno-ekonomska sredina u kojoj dete živi može uticati na to da ono bude izloženo zloupotrebi dečijeg rada i da su deca koja pripadaju pojedinim društvenim grupama, kao što su siromašne porodice ili žitelji romskih naselja, više i češće izložena diskriminaciji i mogu biti primorana da rade u domaćinstvu ili da i sama privređuju.</w:t>
      </w:r>
    </w:p>
    <w:p w:rsidR="00135D51" w:rsidRPr="00135D51" w:rsidRDefault="00135D51" w:rsidP="00135D51">
      <w:pPr>
        <w:shd w:val="clear" w:color="auto" w:fill="FFFFFF"/>
        <w:spacing w:before="100" w:beforeAutospacing="1" w:after="0" w:line="276" w:lineRule="auto"/>
        <w:ind w:firstLine="567"/>
        <w:contextualSpacing/>
        <w:rPr>
          <w:rFonts w:eastAsia="Times New Roman" w:cs="Arial"/>
        </w:rPr>
      </w:pPr>
    </w:p>
    <w:p w:rsidR="00135D51" w:rsidRPr="00135D51" w:rsidRDefault="00E00EA0" w:rsidP="00D93153">
      <w:pPr>
        <w:pStyle w:val="Heading3"/>
        <w:numPr>
          <w:ilvl w:val="0"/>
          <w:numId w:val="31"/>
        </w:numPr>
      </w:pPr>
      <w:bookmarkStart w:id="181" w:name="_Toc477248671"/>
      <w:bookmarkStart w:id="182" w:name="_Toc477251796"/>
      <w:r>
        <w:rPr>
          <w:lang w:val="sr-Latn-RS"/>
        </w:rPr>
        <w:t>Saradnja sa jedinicama lokalne samouprave</w:t>
      </w:r>
      <w:bookmarkEnd w:id="181"/>
      <w:bookmarkEnd w:id="182"/>
    </w:p>
    <w:p w:rsidR="00E00EA0" w:rsidRDefault="00E00EA0" w:rsidP="00E00EA0">
      <w:pPr>
        <w:tabs>
          <w:tab w:val="left" w:pos="709"/>
          <w:tab w:val="center" w:pos="4986"/>
        </w:tabs>
        <w:spacing w:line="276" w:lineRule="auto"/>
        <w:rPr>
          <w:rFonts w:eastAsia="BatangChe" w:cs="Arial"/>
          <w:lang w:val="sr-Latn-RS"/>
        </w:rPr>
      </w:pPr>
      <w:r w:rsidRPr="00E00EA0">
        <w:rPr>
          <w:rFonts w:eastAsia="BatangChe" w:cs="Arial"/>
        </w:rPr>
        <w:t xml:space="preserve">Saradnja između Poverenika za zaštitu ravnopravnosti i jedinica lokalnih samouprava u Republici Srbiji od ključnog je značaja za delotvorno sprečavanje i zaštitu od diskriminacije u našem društvu. Poverenik i predstavnici jedinica lokalne samouprave unapređuju svoju saradnju realizovanjem različitih aktivnosti, čiji je cilj, između ostalog, podizanje kapaciteta predstavnika jedinica lokalne samouprave da sami prepoznaju oblike i vidove diskriminacije i da se takvim pojavama suprotstave, kao i da se bolje upoznaju sa samom institucijom </w:t>
      </w:r>
      <w:r w:rsidRPr="00E00EA0">
        <w:rPr>
          <w:rFonts w:eastAsia="BatangChe" w:cs="Arial"/>
        </w:rPr>
        <w:lastRenderedPageBreak/>
        <w:t>Poverenika, njenim delokrugom rada, načinom delovanja, mogućnostima za podnošenje pritužbi i načinima postupanja, iz</w:t>
      </w:r>
      <w:r>
        <w:rPr>
          <w:rFonts w:eastAsia="BatangChe" w:cs="Arial"/>
        </w:rPr>
        <w:t xml:space="preserve">davanja mišljenja i preporuka. </w:t>
      </w:r>
    </w:p>
    <w:p w:rsidR="00E00EA0" w:rsidRPr="00E00EA0" w:rsidRDefault="00E00EA0" w:rsidP="00E00EA0">
      <w:pPr>
        <w:tabs>
          <w:tab w:val="left" w:pos="709"/>
          <w:tab w:val="center" w:pos="4986"/>
        </w:tabs>
        <w:spacing w:line="276" w:lineRule="auto"/>
        <w:rPr>
          <w:rFonts w:eastAsia="BatangChe" w:cs="Arial"/>
        </w:rPr>
      </w:pPr>
      <w:r w:rsidRPr="00E00EA0">
        <w:rPr>
          <w:rFonts w:eastAsia="BatangChe" w:cs="Arial"/>
        </w:rPr>
        <w:t>Pored ostalih aktivnosti, poverenica je govorila na konferenciji za medije povodom 16 dana aktivizma protiv nasilja u organizaciji Udruženja građana „Laris“ i lokalne samouprave grada Čačka. Poverenica se sastala s gradonačelnikom, zamenikom gradonačelnika i pomoćnicom gradonačelnika za pitanje rodne ravnopravnosti grada Čačka. Na sastanku je bilo reči o uzrocima diskriminacije na lokalnom nivou, prepoznavanju i reagovanju na slučajeve diskriminacije, ali i o važnosti preventivnog delovanja. Dogovoreno je da se u narednom periodu pažnja posveti ovim temama i organizuje obuka za sve zaposlene u organima javne vlasti.</w:t>
      </w:r>
    </w:p>
    <w:p w:rsidR="00E00EA0" w:rsidRPr="00E00EA0" w:rsidRDefault="00E00EA0" w:rsidP="00E00EA0">
      <w:pPr>
        <w:tabs>
          <w:tab w:val="left" w:pos="709"/>
          <w:tab w:val="center" w:pos="4986"/>
        </w:tabs>
        <w:spacing w:line="276" w:lineRule="auto"/>
        <w:rPr>
          <w:rFonts w:eastAsia="BatangChe" w:cs="Arial"/>
        </w:rPr>
      </w:pPr>
      <w:r w:rsidRPr="00E00EA0">
        <w:rPr>
          <w:rFonts w:eastAsia="BatangChe" w:cs="Arial"/>
        </w:rPr>
        <w:t xml:space="preserve">U cilju bolje zaštite građana od diskriminacije na lokalnom nivou Poverenik za zaštitu ravnopravnosti učestvovao je u projektu „Nezavisne institucije bliže građanima“, zajedno sa Zaštitnikom građana i Poverenikom za informacije od javnog značaja i zaštitu podataka o ličnosti. Ovaj projekat je sprovela organizacija civilnog društva Građanske inicijative, sa osnovnim ciljem povećanja dostupnosti  nezavisnih institucija građanima na lokalnom nivou. U okviru projektnih aktivnosti održani su informativni skupovi u Somboru, Vranju, Požegi, Novom Sadu, Valjevu. Učesnicima su predstavljeni rezultati rada institucije, mehanizmi za zaštitu od diskriminacije, kao i konkretni primeri postupanja po pritužbama. Učesnici tribina su pokazali najviše interesovanja za pitanja diskriminacije u oblasti rada i zapošljavanja, diskriminaciju u oblasti obrazovanja, pružanja usluga, a naročito za rešavanje pitanja arhitektonskih barijera s kojima se susreću osobe sa invaliditetom. </w:t>
      </w:r>
    </w:p>
    <w:p w:rsidR="00135D51" w:rsidRDefault="00E00EA0" w:rsidP="00E00EA0">
      <w:pPr>
        <w:tabs>
          <w:tab w:val="left" w:pos="709"/>
          <w:tab w:val="center" w:pos="4986"/>
        </w:tabs>
        <w:spacing w:line="276" w:lineRule="auto"/>
        <w:rPr>
          <w:rFonts w:eastAsia="BatangChe" w:cs="Arial"/>
          <w:lang w:val="sr-Latn-RS"/>
        </w:rPr>
      </w:pPr>
      <w:r w:rsidRPr="00E00EA0">
        <w:rPr>
          <w:rFonts w:eastAsia="BatangChe" w:cs="Arial"/>
        </w:rPr>
        <w:t>U okviru  projekta „Zaustavi – Zaštiti – Pomozi – Snažniji institucionalni odgovor na rodno zasnovano nasilje“, u organizaciji Pokrajinskog sekretarijata za zdravstvo i Centra za podršku ženama iz Kikinde, u Novom Sadu održana je konferencija na kojoj su učestvovali predstavnici Poverenika za zaštitu ravnopravnosti. Takođe, predstavnici Stručne službe Poverenika prisustvovali su i sednici Odbora za ravnopravnost polova AP Vojvodine, koja je održana 18. novembra, u susret Međunarodnom danu muškaraca.</w:t>
      </w:r>
    </w:p>
    <w:p w:rsidR="00E00EA0" w:rsidRPr="00E00EA0" w:rsidRDefault="00E00EA0" w:rsidP="00E00EA0">
      <w:pPr>
        <w:tabs>
          <w:tab w:val="left" w:pos="709"/>
          <w:tab w:val="center" w:pos="4986"/>
        </w:tabs>
        <w:spacing w:line="276" w:lineRule="auto"/>
        <w:ind w:left="720"/>
        <w:rPr>
          <w:rFonts w:cs="Arial"/>
          <w:b/>
          <w:lang w:val="sr-Latn-RS"/>
        </w:rPr>
      </w:pPr>
    </w:p>
    <w:p w:rsidR="00135D51" w:rsidRPr="00135D51" w:rsidRDefault="00E00EA0" w:rsidP="00D93153">
      <w:pPr>
        <w:pStyle w:val="Heading2"/>
        <w:numPr>
          <w:ilvl w:val="0"/>
          <w:numId w:val="30"/>
        </w:numPr>
        <w:ind w:left="284" w:hanging="284"/>
        <w:rPr>
          <w:sz w:val="22"/>
        </w:rPr>
      </w:pPr>
      <w:bookmarkStart w:id="183" w:name="_Toc477248672"/>
      <w:bookmarkStart w:id="184" w:name="_Toc477251797"/>
      <w:r>
        <w:rPr>
          <w:rFonts w:ascii="Arial" w:hAnsi="Arial" w:cs="Arial"/>
          <w:sz w:val="22"/>
          <w:lang w:val="sr-Latn-RS"/>
        </w:rPr>
        <w:t>Saradnja sa organizacijama civilnog društva</w:t>
      </w:r>
      <w:bookmarkEnd w:id="183"/>
      <w:bookmarkEnd w:id="184"/>
      <w:r w:rsidR="00135D51" w:rsidRPr="00135D51">
        <w:rPr>
          <w:sz w:val="22"/>
        </w:rPr>
        <w:t xml:space="preserve">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Poverenik za zaštitu ravnopravnosti razvija i unapređuje saradnju naročito sa organizacijama civilnog društva, koje su značajan partner u borbi protiv diskriminacije.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U 2016. godini Poverenik je nastavio uspešnu saradnju s Fondacijom za otvoreno društvo na sprovođenju projekta „Simulacija suđenja (Moot court) u oblasti zaštite od diskriminacije“. Četvrto po redu takmičenje održano je u periodu od oktobra do decembra 2016. godine, a polufinalni i finalni deo takmičenja organizovani su u zgradi Upravnog suda u Beogradu i prostorijama Narodne banke Srbije. Ovo takmičenje, namenjeno studentkinjama i studentima osnovnih i master studija prava u Srbiji, kao i prethodnih godina, sastojalo od izrade tužbe i odgovora na tužbu, kao i simulacije rasprave na ročištu na osnovu zadatog slučaja. Tema ovogodišnjeg takmičenja bila je diskriminacija na osnovu starosnog doba u oblasti rada i zapošljavanja, a sudije na simulaciji suđenja bili su ugledni advokati, sudije i pravni stručnjaci. Pobedio je tim studentkinja Pravnog fakulteta Univerziteta u Nišu, a proglašeni su i najbolji govornik i pobednici u pisanom delu takmičenja. </w:t>
      </w:r>
    </w:p>
    <w:p w:rsidR="00E00EA0" w:rsidRPr="00E00EA0" w:rsidRDefault="00E00EA0" w:rsidP="00E00EA0">
      <w:pPr>
        <w:tabs>
          <w:tab w:val="left" w:pos="567"/>
        </w:tabs>
        <w:spacing w:after="100" w:afterAutospacing="1" w:line="276" w:lineRule="auto"/>
        <w:rPr>
          <w:rFonts w:cs="Arial"/>
        </w:rPr>
      </w:pPr>
      <w:r w:rsidRPr="00E00EA0">
        <w:rPr>
          <w:rFonts w:cs="Arial"/>
        </w:rPr>
        <w:lastRenderedPageBreak/>
        <w:t xml:space="preserve">U okviru saradnje sa Fondacijom za otvoreno društvo, povodom Međunarodnog dana starijih osoba održana je i konferencija „Godine su samo broj – pokažimo međugeneracijsku solidarnost“, u Dečijem kulturnom centru, 30. septembra 2016. godine. Obeležavanje ovog dana imalo je za cilj podizanje svesti o diskriminaciji starijih, kao i o problemima s kojima se susreće ovaj deo populacije. Konferencija je bila medijski propraćena, a prisustvovalo je preko 400 učenika osnovnih i srednjih škola grada Beograda i korisnika usluga Gerontološkog centra Beograd. Nakon završene konferencije, prikazana je predstava Bonton starenja.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Pod sloganom „Ravnopravno do cilja“ Poverenik za zaštitu ravnopravnosti je učestvovao na Beogradskom maratonu 2016. u partnerstvu sa Savezom za sport osoba sa invaliditetom Beograda (SSOSIB) i Beogradskim maratonom. Cilj učešća na maratonu jeste podizanje vidljivosti i ukazivanje na probleme s kojima se susreću osobe sa invaliditetom u oblasti sporta, pri korišćenju javnih površina, objekata i javnog gradskog prevoza. Promotivni pult Poverenika za zaštitu ravnopravnosti i Saveza za sport osoba sa invaliditetom posetilo je oko 500 posetilaca, od kojih oko 300 sportista i sportistkinja sa invaliditetom. Mnogi od njih učestvovali su u Trci zadovoljstva sa zaposlenima u Stručnoj službi poverenika i ostalim građanima Beograda i Srbije. Zainteresovani građani imali su priliku da se upoznaju s radom Poverenika, dok su kroz upitnik testirali svoje znanje iz oblasti diskriminacije i ljudskih prava. </w:t>
      </w:r>
    </w:p>
    <w:p w:rsidR="00E00EA0" w:rsidRPr="00E00EA0" w:rsidRDefault="00E00EA0" w:rsidP="00E00EA0">
      <w:pPr>
        <w:tabs>
          <w:tab w:val="left" w:pos="567"/>
        </w:tabs>
        <w:spacing w:after="100" w:afterAutospacing="1" w:line="276" w:lineRule="auto"/>
        <w:rPr>
          <w:rFonts w:cs="Arial"/>
        </w:rPr>
      </w:pPr>
      <w:r w:rsidRPr="00E00EA0">
        <w:rPr>
          <w:rFonts w:cs="Arial"/>
        </w:rPr>
        <w:t>U partnerstvu sa organizacijom Centar za istraživanje i razvoj društva IDEAS, Poverenik je u septembru 2016. godine otpočeo aktivnosti na projektu „Od LGBT života do politike“. Projekat je podržala Ambasada Velike Britanije u Srbiji, u okviru programa za jačanje otpornosti Republike Srbije na interne i eksterne promene. Cilj projekta je da se definišu modaliteti uticaja na kreiranje javnih politika koje bi doprinele unapređenju položaja pripadnika LGBT populacije u našem društvu.</w:t>
      </w:r>
    </w:p>
    <w:p w:rsidR="00E00EA0" w:rsidRPr="00E00EA0" w:rsidRDefault="00E00EA0" w:rsidP="00E00EA0">
      <w:pPr>
        <w:tabs>
          <w:tab w:val="left" w:pos="567"/>
        </w:tabs>
        <w:spacing w:after="100" w:afterAutospacing="1" w:line="276" w:lineRule="auto"/>
        <w:rPr>
          <w:rFonts w:cs="Arial"/>
        </w:rPr>
      </w:pPr>
      <w:r w:rsidRPr="00E00EA0">
        <w:rPr>
          <w:rFonts w:cs="Arial"/>
        </w:rPr>
        <w:t>Poverenik za zaštitu ravnopravnosti je dao podršku Komitetu pravnika za ljudska prava (YUCOM) za učešće u DRIM projektu (Dunav regionalna informativna platforma za ekonomsku integraciju migranata). Cilj projekta je poboljšanje kapaciteta javnih institucija za odgovor na potrebe pridošlih migranata. Projekat će trajati do 2019. godine, a uloga Poverenika je savetodavna.</w:t>
      </w:r>
    </w:p>
    <w:p w:rsidR="00E00EA0" w:rsidRPr="00E00EA0" w:rsidRDefault="00E00EA0" w:rsidP="00E00EA0">
      <w:pPr>
        <w:tabs>
          <w:tab w:val="left" w:pos="567"/>
        </w:tabs>
        <w:spacing w:after="100" w:afterAutospacing="1" w:line="276" w:lineRule="auto"/>
        <w:rPr>
          <w:rFonts w:cs="Arial"/>
        </w:rPr>
      </w:pPr>
      <w:r w:rsidRPr="00E00EA0">
        <w:rPr>
          <w:rFonts w:cs="Arial"/>
        </w:rPr>
        <w:t>Autonomni ženski centar je u novembru 2016. godine u Narodnoj skupštini organizovao konferenciju o primeni Konvencije Saveta Evrope o sprečavanju i borbi protiv nasilja nad ženama i nasilja u porodici „Podrška i osnaživanje žena – čija je odgovornost?“, na kojoj je učestvovala poverenica. Na konferenciji se između ostalog govorilo i o institucionalnom okviru i uspostavljanju opštih i specijalizovanih usluga za podršku i osnaživanje žena koje su pretrpele nasilje, kao i o ulozi zakonodavne vlasti u primeni Konvencije.</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Poverenica i zaposleni u stručnoj službi podržali su skup protiv femicida u Srbiji, koji je organizovala Mreža žena protiv nasilja, na kojem je inicirano da se 18. maj proglasi Danom sećanja na žene žrtve porodičnog nasilja. Poverenik za zaštitu ravnopravnosti je podržao ovu inicijativu, ukazujući da bi tada najavljene mere Vlade Republike Srbije za sprečavanje nasilja u porodici trebalo da uspostave efikasniji mehanizam zaštite žena od nasilja.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Poverenica za zaštitu ravnopravnosti učestvovala je na tribinama „Vreme protiv nasilja“, koje su organizovane tokom 2016. godine. Ovi okrugli stolovi održani su u okviru medijskog </w:t>
      </w:r>
      <w:r w:rsidRPr="00E00EA0">
        <w:rPr>
          <w:rFonts w:cs="Arial"/>
        </w:rPr>
        <w:lastRenderedPageBreak/>
        <w:t xml:space="preserve">projekta nedeljnika Vreme „Nasilje u porodici – Pogled uprt u evropsko pravo“, koji je finansirala Delegacija EU u Srbiji. Poverenica je time pružila podršku projektu čiji je cilj bio da se skrene pažnja na porodično i partnersko nasilje kao ozbiljan društveni problem, kao i da se kroz seriju okruglih stolova ukaže na moguća zakonska rešenja i mere koje će prevenirati i smanjiti nasilje nad ženama. </w:t>
      </w:r>
    </w:p>
    <w:p w:rsidR="00E00EA0" w:rsidRPr="00E00EA0" w:rsidRDefault="00E00EA0" w:rsidP="00E00EA0">
      <w:pPr>
        <w:tabs>
          <w:tab w:val="left" w:pos="567"/>
        </w:tabs>
        <w:spacing w:after="100" w:afterAutospacing="1" w:line="276" w:lineRule="auto"/>
        <w:rPr>
          <w:rFonts w:cs="Arial"/>
        </w:rPr>
      </w:pPr>
      <w:r w:rsidRPr="00E00EA0">
        <w:rPr>
          <w:rFonts w:cs="Arial"/>
        </w:rPr>
        <w:t>Poverenica je u junu govorila o uticaju kompanija u javnom i privatnom sektoru na ranjive grupe u Srbiji, u okviru prve panel-diskusije na skupu „Biznis i ljudska prava u Srbiji“, koju je organizovao Beogradski centar za ljudska prava. Kao grupe najčešće izložene diskriminaciji na tržištu rada, poverenica je podsetila da su to žene, osobe sa invaliditetom, Romi i Romkinje i starije osobe, i ukazala na važnost afirmativnih mera koje mogu da doprinesu stvaranju ravnopravnog položaja u oblasti rada i zapošljavanja.</w:t>
      </w:r>
    </w:p>
    <w:p w:rsidR="00E00EA0" w:rsidRPr="00E00EA0" w:rsidRDefault="00E00EA0" w:rsidP="00E00EA0">
      <w:pPr>
        <w:tabs>
          <w:tab w:val="left" w:pos="567"/>
        </w:tabs>
        <w:spacing w:after="100" w:afterAutospacing="1" w:line="276" w:lineRule="auto"/>
        <w:rPr>
          <w:rFonts w:cs="Arial"/>
        </w:rPr>
      </w:pPr>
      <w:r w:rsidRPr="00E00EA0">
        <w:rPr>
          <w:rFonts w:cs="Arial"/>
        </w:rPr>
        <w:t>Poverenica je u septembru otvorila Međunarodnu konferenciju o pravima deteta koju je organizovao Centar za unapređivanje pravnih studija u saradnji sa AIRE centrom iz Londona. Ona je istakla da na osnovu pritužbi koje stižu Povereniku, kao i na osnovu brojnih relevantnih istraživanja, može da se zaključi da su romska deca i deca sa invaliditetom najviše izložena diskriminaciji. Ona je dodala da su dva najveća problema s kojima se naše društvo suočava – segregacija romske dece u školama i nerazumevanje i otpor prema inkluzivnom obrazovanju. Konstatovano je da u Srbiji deci sa invaliditetom nedostaje dovoljna podrška, kao što su prevoz, usluge ličnih pratilaca i pedagoških asistenata.</w:t>
      </w:r>
    </w:p>
    <w:p w:rsidR="00E00EA0" w:rsidRPr="00E00EA0" w:rsidRDefault="00E00EA0" w:rsidP="00E00EA0">
      <w:pPr>
        <w:tabs>
          <w:tab w:val="left" w:pos="567"/>
        </w:tabs>
        <w:spacing w:after="100" w:afterAutospacing="1" w:line="276" w:lineRule="auto"/>
        <w:rPr>
          <w:rFonts w:cs="Arial"/>
        </w:rPr>
      </w:pPr>
      <w:r w:rsidRPr="00E00EA0">
        <w:rPr>
          <w:rFonts w:cs="Arial"/>
        </w:rPr>
        <w:t xml:space="preserve"> U septembru je poverenica govorila na otvaranju prvog InterLink festivala dijaloga, u organizaciji Fondacije „Konrad Adenauer“ i Kosmopolisa, a uz organizacionu podršku Kancelarije za mlade i saradnju sa udruženjima Grada Beograda. InterLink festival dijaloga okupio je mlade autore iz regiona koji su imali priliku da fotografijom ili filmom prikažu na koji način i u kojim oblastima svakodnevnog života uočavaju diskriminaciju, ali i inkluziju, negovanje dijaloga i tolerancije, kao i da izlože teme koje ostaju neprimećene, zapostavljene i na marginama. U svom obraćanju poverenica je istakla značaj ovakvih manifestacija na kojima je mladima omogućeno da budu kreatori poruka o toleranciji, i naglasila da je partnerstvo s institucijama dobar način da efekti ovakvih aktivnosti budu trajni i dugoročni.</w:t>
      </w:r>
    </w:p>
    <w:p w:rsidR="00E00EA0" w:rsidRPr="00E00EA0" w:rsidRDefault="00E00EA0" w:rsidP="00E00EA0">
      <w:pPr>
        <w:tabs>
          <w:tab w:val="left" w:pos="567"/>
        </w:tabs>
        <w:spacing w:after="100" w:afterAutospacing="1" w:line="276" w:lineRule="auto"/>
        <w:rPr>
          <w:rFonts w:cs="Arial"/>
        </w:rPr>
      </w:pPr>
      <w:r w:rsidRPr="00E00EA0">
        <w:rPr>
          <w:rFonts w:cs="Arial"/>
        </w:rPr>
        <w:t xml:space="preserve">Na skupu povodom Međunarodnog dana borbe protiv nasilja nad starijima, koji je organizovalo udruženje Snaga prijateljstva – AMITY, poverenica je učestvovala i podržala izbor za najbolje putopise starijih u organizaciji ovog udruženja, ukazujući tom prilikom da je aktivno starenje i učešće u svim segmentima života jedan od načina za dostojanstveniji život starijih.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U septembru 2016. godine poverenica je učestvovala u radu okruglog stola „Strategija unapređenja položaja osoba sa invaliditetom – put ka jednakosti osoba sa invaliditetom“, u organizaciji Centra za tranziciju i ljudska prava „Spektar“. Poverenica je, između ostalog, ukazala na potrebu sistemskog uspostavljanja usluga u zajednici koje bi omogućile osobama s invaliditetom da nastave da žive u zajednici, i naglasila da je položaj žena i devojčica sa invaliditetom posebno težak zato što su one često izložene višestrukoj diskriminaciji.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Predstavnici Poverenika za zaštitu ravnopravnosti prisustvovali su otvaranju sedmog Internacionalnog filmskog festivala osoba sa invaliditetom BOSIFEST, u Domu omladine Beograda. Svi prikazani filmovi – 34 igrana, dokumentarna i animirana filma iz celog sveta, </w:t>
      </w:r>
      <w:r w:rsidRPr="00E00EA0">
        <w:rPr>
          <w:rFonts w:cs="Arial"/>
        </w:rPr>
        <w:lastRenderedPageBreak/>
        <w:t>bave se životima osoba sa invaliditetom, ili su njihovi autori osobe sa invaliditetom. BOSIFEST je pratio niz kreativnih radionica, okruglih stolova i muzičkih performansa, a poruka svih sadržaja je bila da u životu ništa nije nemoguće uprkos preprekama s kojima se osobe sa invaliditetom svakodnevno suočavaju.</w:t>
      </w:r>
    </w:p>
    <w:p w:rsidR="00E00EA0" w:rsidRPr="00E00EA0" w:rsidRDefault="00E00EA0" w:rsidP="00E00EA0">
      <w:pPr>
        <w:tabs>
          <w:tab w:val="left" w:pos="567"/>
        </w:tabs>
        <w:spacing w:after="100" w:afterAutospacing="1" w:line="276" w:lineRule="auto"/>
        <w:rPr>
          <w:rFonts w:cs="Arial"/>
        </w:rPr>
      </w:pPr>
      <w:r w:rsidRPr="00E00EA0">
        <w:rPr>
          <w:rFonts w:cs="Arial"/>
        </w:rPr>
        <w:t xml:space="preserve">Članice Udruženja hranitelja iz Beograda posetile su u septembru instituciju Poverenika za zaštitu ravnopravnosti i sa poverenicom Brankicom Janković i zaposlenima razgovarali o problemima sa kojima se hranitelji u Srbiji suočavaju. U obilazak institucije došlo je i sedmoro dece, kojima su podeljene slikovnice, bojanke i brošure o borbi protiv diskriminacije, prilagođene njihovom uzrastu. </w:t>
      </w:r>
    </w:p>
    <w:p w:rsidR="00E00EA0" w:rsidRPr="00E00EA0" w:rsidRDefault="00E00EA0" w:rsidP="00E00EA0">
      <w:pPr>
        <w:tabs>
          <w:tab w:val="left" w:pos="567"/>
        </w:tabs>
        <w:spacing w:after="100" w:afterAutospacing="1" w:line="276" w:lineRule="auto"/>
        <w:rPr>
          <w:rFonts w:cs="Arial"/>
        </w:rPr>
      </w:pPr>
      <w:r w:rsidRPr="00E00EA0">
        <w:rPr>
          <w:rFonts w:cs="Arial"/>
        </w:rPr>
        <w:t>U junu su zaposleni u instituciji Poverenika za zaštitu ravnopravnosti podržali skup „Ponos Srbije“ i zajedno s pripadnicima LGBT zajednice prošetali od Pionirskog parka do Trga republike, obeležavajući jun – mesec LGBT ponosa. Poverenica je, zajedno sa zaposlenima u instituciji, učestvovala i na Paradi ponosa u septembru 2016. godine. Tom prilikom, poverenica je ocenila da održavanje Parade ponosa uz manje tenzija i bez incidenata pokazuje da je Srbija postala zrelije i tolerantnije društvo. Pripadnicima LGBT populacije i aktivistima su se i ove godine pridružili predstavnici državnih institucija, međunarodnih organizacija, stranih ambasada, medijskih kuća, ali i građani Beograda i drugih gradova u Srbiji.</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Predstavnik Poverenika za zaštitu ravnopravnosti učestvovao je u „LGBTI karavanu“, koji je u 2016. godini organizovalo udruženje građana „Egal“.  Cilj ovog „Karavana“ bio je da se iniciranjem dijaloga doprinese uklanjanju tabua i predrasuda o pitanjima drugačije seksualne orijentacije i rodnog identiteta, kao i da se javnost upozna s problemima s kojima se trans i LGBI osobe suočavaju – slučajevima diskriminacije i višestruke diskriminacije i nasilja prema trans i LGBI osobama,  njihovim uzrocima i posledicama.  </w:t>
      </w:r>
    </w:p>
    <w:p w:rsidR="00E00EA0" w:rsidRPr="00E00EA0" w:rsidRDefault="00E00EA0" w:rsidP="00E00EA0">
      <w:pPr>
        <w:tabs>
          <w:tab w:val="left" w:pos="567"/>
        </w:tabs>
        <w:spacing w:after="100" w:afterAutospacing="1" w:line="276" w:lineRule="auto"/>
        <w:rPr>
          <w:rFonts w:cs="Arial"/>
        </w:rPr>
      </w:pPr>
      <w:r w:rsidRPr="00E00EA0">
        <w:rPr>
          <w:rFonts w:cs="Arial"/>
        </w:rPr>
        <w:t>U svečanoj sali Skupštine grada Beograda uručena je četvrta po redu „Duga“, nagrada koja se dodeljuje svake godine povodom 17. maja – Međunarodnog dana borbe protiv homofobije i transfobije u organizaciji Gej strejt alijanse (GSA). Dobitnik nagrade za doprinos borbi protiv homofobije i transfobije i zaštiti i unapređenju ljudskih prava LGBT osoba u Srbiji u prethodnih godinu dana jeste Aleksandar Stojmenović, oficir za vezu Ministarstva unutrašnjih poslova Srbije sa LGBT zajednicom. Poverenica za zaštitu ravnopravnosti Brankica Janković, koja je takođe bila među nominovanima za nagradu u užem izboru, naglasila je u pozdravnom govoru da u Srbiji postoji dobar zakonodavni okvir i da je dosta toga urađeno u dobrom pravcu, ali da ne postoji opravdanje za nasilje i odbacivanje LGBT osoba i da je nagrada „Duga“ dobar način borbe protiv homofobije i transfobije.</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Povodom 8. aprila, Svetskog dana Roma, i u okviru kampanje „Mesec romskog ženskog aktivizma“, poverenica za zaštitu ravnopravnosti sastala se s predstavnicama Ženske romske mreže. Teme sastanka bile su ekonomsko osnaživanje Romkinja, njihov položaj u javnom i političkom životu, suzbijanje i sprečavanje nasilja u porodici, kao i razbijanje stereotipne slike o pripadnicama romske nacionalne manjine.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Poverenica za zaštitu ravnopravnosti otvorila je interaktivnu radionicu u prostorijama Startit centra, povodom 11. oktobra, Međunarodnog dana devojčica, koji je bio posvećen devojčicama i devojkama u informaciono-komunikacionim tehnologijama. Tom prilikom </w:t>
      </w:r>
      <w:r w:rsidRPr="00E00EA0">
        <w:rPr>
          <w:rFonts w:cs="Arial"/>
        </w:rPr>
        <w:lastRenderedPageBreak/>
        <w:t>istakla je da u našem obrazovanju još uvek nisu iskorenjeni rodni stereotipi i da se ovakva situacija ne može promeniti ako obrazovanje ne bude preuzelo ulogu promotera rodne ravnopravnosti. Široko rasprostranjeni stavovi da su inženjerski poslovi muški utiču na to da se kod nas još uvek mali broj devojaka odlučuje za informatičke nauke. Rodni stereotipi u našem obrazovanju nisu iskorenjeni i nijedan fakultet u Srbiji ne izdaje diplome sa zvanjima u ženskom rodu i ukoliko bi studentkinje želele takvu diplomu, morale bi da pišu molbu Ministarstvu prosvete i prolaze kroz komplikovane procedure.</w:t>
      </w:r>
    </w:p>
    <w:p w:rsidR="00E00EA0" w:rsidRPr="00E00EA0" w:rsidRDefault="00E00EA0" w:rsidP="00E00EA0">
      <w:pPr>
        <w:tabs>
          <w:tab w:val="left" w:pos="567"/>
        </w:tabs>
        <w:spacing w:after="100" w:afterAutospacing="1" w:line="276" w:lineRule="auto"/>
        <w:rPr>
          <w:rFonts w:cs="Arial"/>
        </w:rPr>
      </w:pPr>
      <w:r w:rsidRPr="00E00EA0">
        <w:rPr>
          <w:rFonts w:cs="Arial"/>
        </w:rPr>
        <w:t xml:space="preserve">U martu 2016. godine je u organizaciji Fonda za političku izuzetnost i Fondacije „Fridrih Ebart“ predstavljen dokument pod nazivom „Učvrstiti evropsku ideju na zapadnom Balkanu“ parlamentarne grupe Socijaldemokratske partije Nemačke. Poverenica za zaštitu ravnopravnosti učestvovala je u panelu na temu demokratije i civilnog društva i predstavila aktuelnu situaciju u ovoj oblasti. Naglasila je da Poverenik često sarađuje s organizacijama civilnog društva u oblasti zaštite od diskriminacije i istakla da je civilni sektor od izuzetnog značaja za izgradnju demokratskog, otvorenog i tolerantnog društva. </w:t>
      </w:r>
    </w:p>
    <w:p w:rsidR="00E00EA0" w:rsidRPr="00E00EA0" w:rsidRDefault="00E00EA0" w:rsidP="00E00EA0">
      <w:pPr>
        <w:tabs>
          <w:tab w:val="left" w:pos="567"/>
        </w:tabs>
        <w:spacing w:after="100" w:afterAutospacing="1" w:line="276" w:lineRule="auto"/>
        <w:rPr>
          <w:rFonts w:cs="Arial"/>
        </w:rPr>
      </w:pPr>
      <w:r w:rsidRPr="00E00EA0">
        <w:rPr>
          <w:rFonts w:cs="Arial"/>
        </w:rPr>
        <w:t>Takođe, u martu, poverenica je učestvovala u radu konferencije „Sistem azila i migracije: izbeglička kriza i reformski procesi“, koja je deo projekta „Umrežavanje i građenje kapaciteta za efektivniju migracionu politiku u Srbiji“, koji Grupa 484 sprovodi uz podršku Ambasade Kraljevine Norveške u Beogradu, u partnerstvu s Beogradskim centrom za ljudska prava i Beogradskim centrom za bezbednosnu politiku.</w:t>
      </w:r>
    </w:p>
    <w:p w:rsidR="00E00EA0" w:rsidRPr="00E00EA0" w:rsidRDefault="00E00EA0" w:rsidP="00E00EA0">
      <w:pPr>
        <w:tabs>
          <w:tab w:val="left" w:pos="567"/>
        </w:tabs>
        <w:spacing w:after="100" w:afterAutospacing="1" w:line="276" w:lineRule="auto"/>
        <w:rPr>
          <w:rFonts w:cs="Arial"/>
        </w:rPr>
      </w:pPr>
      <w:r w:rsidRPr="00E00EA0">
        <w:rPr>
          <w:rFonts w:cs="Arial"/>
        </w:rPr>
        <w:t>U saradnji s institucijom Poverenika za zaštitu ravnopravnosti, a u cilju unapređenja ravnopravnosti dece sa smetnjama u razvoju, organizovana je konferencija Inicijative za prava osoba sa mentalnim invaliditetom MDRI-S i Inicijative za inkluziju VelikiMali. Na skupu se govorilo o značaju sprovođenja afirmativnih mera za poboljšanje položaja dece sa smetnjama u razvoju, posebno o obezbeđivanju neophodnih servisa u svim lokalnim samoupravama. U razgovoru su učestvovali mladi panelisti Poverenika, koji su, radeći u svojim lokalnim sredinama, održali nekoliko desetina radionica i u njih uključili više od 450 mladih ljudi.</w:t>
      </w:r>
    </w:p>
    <w:p w:rsidR="00E00EA0" w:rsidRPr="00E00EA0" w:rsidRDefault="00E00EA0" w:rsidP="00E00EA0">
      <w:pPr>
        <w:tabs>
          <w:tab w:val="left" w:pos="567"/>
        </w:tabs>
        <w:spacing w:after="100" w:afterAutospacing="1" w:line="276" w:lineRule="auto"/>
        <w:rPr>
          <w:rFonts w:cs="Arial"/>
        </w:rPr>
      </w:pPr>
      <w:r w:rsidRPr="00E00EA0">
        <w:rPr>
          <w:rFonts w:cs="Arial"/>
        </w:rPr>
        <w:t>Poverenica za zaštitu ravnopravnosti učestvovala je na konferenciji „Rani, prisilni i dečji brakovi u Srbiji: ka mapiranju problema i mogućih rešenja“, u organizaciji Beogradskog centra za ljudska prava, Fondacije „Ana i Vlade Divac“, YUROM centra i Bibije. Tom prilikom je istakla da se u javnosti nedovoljno govori o ovom problemu i navela da se devojčice iz romskih porodica suočavaju s teškoćama u školi, gde su često prisutni diskriminatorni stavovi i niska očekivanja od njih, kao i u porodici i bližoj okolini, koja smatra da ženama škola nije potrebna.</w:t>
      </w:r>
    </w:p>
    <w:p w:rsidR="00E00EA0" w:rsidRPr="00E00EA0" w:rsidRDefault="00E00EA0" w:rsidP="00E00EA0">
      <w:pPr>
        <w:tabs>
          <w:tab w:val="left" w:pos="567"/>
        </w:tabs>
        <w:spacing w:after="100" w:afterAutospacing="1" w:line="276" w:lineRule="auto"/>
        <w:rPr>
          <w:rFonts w:cs="Arial"/>
        </w:rPr>
      </w:pPr>
      <w:r w:rsidRPr="00E00EA0">
        <w:rPr>
          <w:rFonts w:cs="Arial"/>
        </w:rPr>
        <w:t>Poverenica je govorila na skupu Asocijacije slobodnih i nezavisnih sindikata (ASNS) na temu diskriminacije iz oblasti rada i zapošljavanja. Ona je ukazala na često nerazumevanje razlike između mobinga i diskriminacije. Nakon detaljnog objašnjenja kako izgleda postupak pred Poverenikom i kakvu vrstu podrške institucija nudi diskriminisanom podnosiocu pritužbe, predstavnici sindikata upoznali su poverenicu s konkretnim problemima s kojima se suočavaju. Pozvani su svi prisutni da se obrate Povereniku uvek kada smatraju da su žrtve diskriminacije, ali i kada žele da se upoznaju sa svojim pravima u skladu sa Zakonom o zabrani diskriminacije.</w:t>
      </w:r>
    </w:p>
    <w:p w:rsidR="00E00EA0" w:rsidRPr="00E00EA0" w:rsidRDefault="00E00EA0" w:rsidP="00E00EA0">
      <w:pPr>
        <w:tabs>
          <w:tab w:val="left" w:pos="567"/>
        </w:tabs>
        <w:spacing w:after="100" w:afterAutospacing="1" w:line="276" w:lineRule="auto"/>
        <w:rPr>
          <w:rFonts w:cs="Arial"/>
        </w:rPr>
      </w:pPr>
      <w:r w:rsidRPr="00E00EA0">
        <w:rPr>
          <w:rFonts w:cs="Arial"/>
        </w:rPr>
        <w:lastRenderedPageBreak/>
        <w:t xml:space="preserve">U okviru višegodišnje saradnje s Beogradskim centrom za ljudska prava poverenica je održala predavanje polaznicima Škole ljudskih prava „Vojin Dimitrijević“. </w:t>
      </w:r>
    </w:p>
    <w:p w:rsidR="00E00EA0" w:rsidRDefault="00E00EA0" w:rsidP="00E00EA0">
      <w:pPr>
        <w:tabs>
          <w:tab w:val="left" w:pos="567"/>
        </w:tabs>
        <w:spacing w:after="100" w:afterAutospacing="1" w:line="276" w:lineRule="auto"/>
        <w:rPr>
          <w:rFonts w:cs="Arial"/>
          <w:lang w:val="sr-Latn-RS"/>
        </w:rPr>
      </w:pPr>
      <w:r w:rsidRPr="00E00EA0">
        <w:rPr>
          <w:rFonts w:cs="Arial"/>
        </w:rPr>
        <w:t>Na seminaru Centra za društvenu edukaciju i emancipaciju mladih – CEDEM – poverenica je održala predavanje studentima i studentkinjama društveno-humanističkih nauka na temu zaštite ravnopravnosti i aktivnog angažovanja žena u politici.</w:t>
      </w:r>
    </w:p>
    <w:p w:rsidR="007A3F28" w:rsidRPr="007A3F28" w:rsidRDefault="007A3F28" w:rsidP="00E00EA0">
      <w:pPr>
        <w:tabs>
          <w:tab w:val="left" w:pos="567"/>
        </w:tabs>
        <w:spacing w:after="100" w:afterAutospacing="1" w:line="276" w:lineRule="auto"/>
        <w:rPr>
          <w:rFonts w:cs="Arial"/>
          <w:lang w:val="sr-Latn-RS"/>
        </w:rPr>
      </w:pPr>
    </w:p>
    <w:p w:rsidR="00135D51" w:rsidRPr="00135D51" w:rsidRDefault="00E00EA0" w:rsidP="00D93153">
      <w:pPr>
        <w:pStyle w:val="Heading2"/>
        <w:numPr>
          <w:ilvl w:val="0"/>
          <w:numId w:val="30"/>
        </w:numPr>
        <w:ind w:left="426"/>
        <w:rPr>
          <w:color w:val="FF0000"/>
        </w:rPr>
      </w:pPr>
      <w:bookmarkStart w:id="185" w:name="_Toc475543064"/>
      <w:bookmarkStart w:id="186" w:name="_Toc477248673"/>
      <w:bookmarkStart w:id="187" w:name="_Toc477251798"/>
      <w:r>
        <w:rPr>
          <w:rFonts w:ascii="Arial" w:hAnsi="Arial" w:cs="Arial"/>
          <w:lang w:val="sr-Latn-RS"/>
        </w:rPr>
        <w:t>Međunarodna saradnja</w:t>
      </w:r>
      <w:bookmarkEnd w:id="185"/>
      <w:bookmarkEnd w:id="186"/>
      <w:bookmarkEnd w:id="187"/>
      <w:r w:rsidR="00135D51" w:rsidRPr="00135D51">
        <w:t xml:space="preserve"> </w:t>
      </w:r>
    </w:p>
    <w:p w:rsidR="00E00EA0" w:rsidRPr="00E00EA0" w:rsidRDefault="00E00EA0" w:rsidP="00E00EA0">
      <w:pPr>
        <w:spacing w:after="100" w:afterAutospacing="1" w:line="276" w:lineRule="auto"/>
        <w:rPr>
          <w:rFonts w:cs="Arial"/>
        </w:rPr>
      </w:pPr>
      <w:bookmarkStart w:id="188" w:name="_Toc475543065"/>
      <w:r w:rsidRPr="00E00EA0">
        <w:rPr>
          <w:rFonts w:cs="Arial"/>
        </w:rPr>
        <w:t xml:space="preserve">U toku 2016. godine nastavljena je međunarodna saradnja s ciljem razmene znanja i iskustva s evropskim i regionalnim telima za ravnopravnost, kroz bilateralne susrete i kontinuirano aktivno učešće u radu Evropske mreže tela za ravnopravnost (EKVINET). </w:t>
      </w:r>
    </w:p>
    <w:p w:rsidR="00E00EA0" w:rsidRPr="00E00EA0" w:rsidRDefault="00E00EA0" w:rsidP="00E00EA0">
      <w:pPr>
        <w:spacing w:after="100" w:afterAutospacing="1" w:line="276" w:lineRule="auto"/>
        <w:rPr>
          <w:rFonts w:cs="Arial"/>
        </w:rPr>
      </w:pPr>
      <w:r w:rsidRPr="00E00EA0">
        <w:rPr>
          <w:rFonts w:cs="Arial"/>
        </w:rPr>
        <w:t>Na inicijativu Poverenika za zaštitu ravnopravnosti u Beogradu je održan treći sastanak Platforme za saradnju Saveta Evrope, Agencije za osnovna prava Evropske unije (FRA), Evropske mreže nacionalnih institucija za ljudska prava (ENNHRI) i Evropske mreže tela za ravnopravnost (EQUINET) o socijalnim i ekonomskim pravima. Na sastanku se govorilo i o odnosu između nedavno pokrenutog Evropskog stuba socijalnih prava i Evropske socijalne povelje, a diskutovalo se i o predlozima za praćenje poštovanja socijalnih i ekonomskih prava.</w:t>
      </w:r>
    </w:p>
    <w:p w:rsidR="00E00EA0" w:rsidRPr="00E00EA0" w:rsidRDefault="00E00EA0" w:rsidP="00E00EA0">
      <w:pPr>
        <w:spacing w:after="100" w:afterAutospacing="1" w:line="276" w:lineRule="auto"/>
        <w:rPr>
          <w:rFonts w:cs="Arial"/>
        </w:rPr>
      </w:pPr>
      <w:r w:rsidRPr="00E00EA0">
        <w:rPr>
          <w:rFonts w:cs="Arial"/>
        </w:rPr>
        <w:t>U susret Međunarodnom danu osoba sa invaliditetom, Poverenik za zaštitu ravnopravnosti i Agencija Ujedinjenih nacija za rodnu ravnopravnost i osnaživanje žena (UN Women) organizovali su okrugli sto „Prava žena i devojčica sa invaliditetom“. To je bila prilika da se predstavi i analizira položaj žena i devojčica sa invaliditetom u Srbiji, kao i postojeća zakonska regulativa i obaveze preuzete iz međunarodnih dokumenata. Posebno je predstavljen Opšti komentar broj 3 (2016), koji je pripremio Komitet za prava osoba sa invaliditetom. U dokumentu se ističe da je dokazano da se žene i devojčice sa invaliditetom suočavaju sa preprekama u mnogim oblastima života. Ove prepreke stvaraju situacije višestrukih i ukrštenih oblika diskriminacije žena i devojčica sa invaliditetom, a posebno u odnosu na ravnopravan pristup obrazovanju, pristup ekonomskim mogućnostima, pristup socijalnoj interakciji, pristup pravdi i ravnopravnosti pred zakonom, sposobnost učešća u politici, kao i mogućnost da imaju kontrolu nad sopstvenim životom u različitim kontekstima, na primer: u vezi sa zdravstvenom zaštitom, uključujući seksualno i reproduktivno zdravlje; i time gde i sa kim žele da žive.</w:t>
      </w:r>
    </w:p>
    <w:p w:rsidR="00E00EA0" w:rsidRPr="00E00EA0" w:rsidRDefault="00E00EA0" w:rsidP="00E00EA0">
      <w:pPr>
        <w:spacing w:after="100" w:afterAutospacing="1" w:line="276" w:lineRule="auto"/>
        <w:rPr>
          <w:rFonts w:cs="Arial"/>
        </w:rPr>
      </w:pPr>
      <w:r w:rsidRPr="00E00EA0">
        <w:rPr>
          <w:rFonts w:cs="Arial"/>
        </w:rPr>
        <w:t xml:space="preserve">Komitet za prava osoba sa invaliditetom konstatovao je da postoje tri glavna problema zbog kojih je veoma zabrinut u vezi sa zaštitom ljudskih prava žena i devojčica: nasilje, seksualno i reproduktivno zdravlje i diskriminacija. </w:t>
      </w:r>
    </w:p>
    <w:p w:rsidR="00E00EA0" w:rsidRPr="00E00EA0" w:rsidRDefault="00E00EA0" w:rsidP="00E00EA0">
      <w:pPr>
        <w:spacing w:after="100" w:afterAutospacing="1" w:line="276" w:lineRule="auto"/>
        <w:rPr>
          <w:rFonts w:cs="Arial"/>
        </w:rPr>
      </w:pPr>
      <w:r w:rsidRPr="00E00EA0">
        <w:rPr>
          <w:rFonts w:cs="Arial"/>
        </w:rPr>
        <w:t xml:space="preserve">Poverenica za zaštitu ravnopravnosti boravila je u radnoj poseti austrijskim nezavisnim institucijama za zaštitu ljudskih prava i ravnopravnosti. U sklopu posete, sastala se s ombudsmanom Republike Austrije Ginterom Krojterom, kao i sa Bernadet Fojerstajn, zamenicom predsedavajućeg Odbora za monitoring u austrijskom Saveznom ministarstvu rada, socijalnih pitanja i zaštite potrošača. Pored toga, poverenica se sastala s ombudsmanom za osobe sa invaliditetom Republike Austrije Ervinom Buhinerom, s kojim je </w:t>
      </w:r>
      <w:r w:rsidRPr="00E00EA0">
        <w:rPr>
          <w:rFonts w:cs="Arial"/>
        </w:rPr>
        <w:lastRenderedPageBreak/>
        <w:t>dogovoreno unapređenje saradnje između dve institucije, prvenstveno kroz razmenu znanja i iskustava. Takođe, tokom ove radne posete, poverenica se sastala s direktorkom austrijske krovne organizacije udruženja za zaštitu osoba sa invaliditetom Erigrad Kaufman.</w:t>
      </w:r>
    </w:p>
    <w:p w:rsidR="00E00EA0" w:rsidRPr="00E00EA0" w:rsidRDefault="00E00EA0" w:rsidP="00E00EA0">
      <w:pPr>
        <w:spacing w:after="100" w:afterAutospacing="1" w:line="276" w:lineRule="auto"/>
        <w:rPr>
          <w:rFonts w:cs="Arial"/>
        </w:rPr>
      </w:pPr>
      <w:r w:rsidRPr="00E00EA0">
        <w:rPr>
          <w:rFonts w:cs="Arial"/>
        </w:rPr>
        <w:t xml:space="preserve">S ciljem nastavka saradnje s Agencijom Sjedinjenih Američkih Država za razvoj (USAID), poverenica se početkom godine sastala s predstavnicima Projekta za reformu pravosuđa i odgovornu vlast (JRGA) i razgovarala o budućoj saradnji i zajedničkim aktivnostima Poverenika i USAID-a. </w:t>
      </w:r>
    </w:p>
    <w:p w:rsidR="00E00EA0" w:rsidRPr="00E00EA0" w:rsidRDefault="00E00EA0" w:rsidP="00E00EA0">
      <w:pPr>
        <w:spacing w:after="100" w:afterAutospacing="1" w:line="276" w:lineRule="auto"/>
        <w:rPr>
          <w:rFonts w:cs="Arial"/>
        </w:rPr>
      </w:pPr>
      <w:r w:rsidRPr="00E00EA0">
        <w:rPr>
          <w:rFonts w:cs="Arial"/>
        </w:rPr>
        <w:t>Poverenica za zaštitu ravnopravnosti sastala se s direktorkom Evropskog instituta za rodnu ravnopravnost Viržinijom Langbak povodom predstavljanja rezultata Indeksa rodne ravnopravnosti, koji je pokazao da je Srbija na zajedničkoj listi s članicama EU na 22. mestu, a rezultati su najlošiji u oblasti rada.</w:t>
      </w:r>
    </w:p>
    <w:p w:rsidR="00E00EA0" w:rsidRPr="00E00EA0" w:rsidRDefault="00E00EA0" w:rsidP="00E00EA0">
      <w:pPr>
        <w:spacing w:after="100" w:afterAutospacing="1" w:line="276" w:lineRule="auto"/>
        <w:rPr>
          <w:rFonts w:cs="Arial"/>
        </w:rPr>
      </w:pPr>
      <w:r w:rsidRPr="00E00EA0">
        <w:rPr>
          <w:rFonts w:cs="Arial"/>
        </w:rPr>
        <w:t>Poverenica je učestvovala na regionalnoj konferenciji „Zapošljavanje teže zapošljivih grupa“, u organizaciji Nacionalne službe za zapošljavanje, koja je okupila predstavnike nacionalnih službi za zapošljavanje Srbije, Austrije, Makedonije, Slovenije, Crne Gore, Bosne i Hercegovine, međunarodne organizacije rada, stručnjake u oblasti profesionalne rehabilitacije, predstavnike Privredne komore Srbije i resornih ministarstava, na kojoj su se razmatrala pitanja aktivacije i podrške zapošljavanju mladih, profesionalna rehabilitacija i podsticanje zapošljavanja osoba sa invaliditetom.</w:t>
      </w:r>
    </w:p>
    <w:p w:rsidR="00E00EA0" w:rsidRPr="00E00EA0" w:rsidRDefault="00E00EA0" w:rsidP="00E00EA0">
      <w:pPr>
        <w:spacing w:after="100" w:afterAutospacing="1" w:line="276" w:lineRule="auto"/>
        <w:rPr>
          <w:rFonts w:cs="Arial"/>
        </w:rPr>
      </w:pPr>
      <w:r w:rsidRPr="00E00EA0">
        <w:rPr>
          <w:rFonts w:cs="Arial"/>
        </w:rPr>
        <w:t xml:space="preserve">U sklopu saradnje sa UNDP, poverenica za zaštitu ravnopravnosti sastala se s koordinatorkom UN u Srbiji Irenom Vojačkovom-Solorano i novim savetnikom za ljudska prava Klodom Kanom. Predstavnici Ujedinjenih nacija predstavili su svoje programske aktivnosti za 2016. godinu i izrazili interesovanje za saradnju sa institucijom  Poverenika u pogledu unapređenja i zaštite ljudskih prava. </w:t>
      </w:r>
    </w:p>
    <w:p w:rsidR="00E00EA0" w:rsidRPr="00E00EA0" w:rsidRDefault="00E00EA0" w:rsidP="00E00EA0">
      <w:pPr>
        <w:spacing w:after="100" w:afterAutospacing="1" w:line="276" w:lineRule="auto"/>
        <w:rPr>
          <w:rFonts w:cs="Arial"/>
        </w:rPr>
      </w:pPr>
      <w:r w:rsidRPr="00E00EA0">
        <w:rPr>
          <w:rFonts w:cs="Arial"/>
        </w:rPr>
        <w:t xml:space="preserve">U oktobru 2016. godine, specijalna izvestiteljka Ujedinjenih nacija u oblasti ljudskih prava u kulturi Karima Benoun posetila je instituciju Poverenika za zaštitu ravnopravnosti i tom prilikom se informisala o diskriminaciji u oblasti kulture po svim ličnim svojstvima. </w:t>
      </w:r>
    </w:p>
    <w:p w:rsidR="00E00EA0" w:rsidRPr="00E00EA0" w:rsidRDefault="00E00EA0" w:rsidP="00E00EA0">
      <w:pPr>
        <w:spacing w:after="100" w:afterAutospacing="1" w:line="276" w:lineRule="auto"/>
        <w:rPr>
          <w:rFonts w:cs="Arial"/>
        </w:rPr>
      </w:pPr>
      <w:r w:rsidRPr="00E00EA0">
        <w:rPr>
          <w:rFonts w:cs="Arial"/>
        </w:rPr>
        <w:t xml:space="preserve">Poverenica za zaštitu ravnopravnosti sastala se i s ambasadorkom Republike Češke Ivanom Hlavsovom. Takođe, predstavnici Odbora za peticije Parlamenta Češke Republike posetili su u oktobru Poverenika za zaštitu ravnopravnosti i bliže se upoznali s nadležnostima i radom institucije. </w:t>
      </w:r>
    </w:p>
    <w:p w:rsidR="00E00EA0" w:rsidRPr="00E00EA0" w:rsidRDefault="00E00EA0" w:rsidP="00E00EA0">
      <w:pPr>
        <w:spacing w:after="100" w:afterAutospacing="1" w:line="276" w:lineRule="auto"/>
        <w:rPr>
          <w:rFonts w:cs="Arial"/>
        </w:rPr>
      </w:pPr>
      <w:r w:rsidRPr="00E00EA0">
        <w:rPr>
          <w:rFonts w:cs="Arial"/>
        </w:rPr>
        <w:t>U okviru petodnevne studijske posete Srbiji, delegacija državnih zvaničnika, predstavnika civilnog društva i medija iz Palestine upoznala se s radom i praksom nezavisnih institucija u Srbiji na zaštiti ljudskih prava.</w:t>
      </w:r>
    </w:p>
    <w:p w:rsidR="00E00EA0" w:rsidRPr="00E00EA0" w:rsidRDefault="00E00EA0" w:rsidP="00E00EA0">
      <w:pPr>
        <w:spacing w:after="100" w:afterAutospacing="1" w:line="276" w:lineRule="auto"/>
        <w:rPr>
          <w:rFonts w:cs="Arial"/>
        </w:rPr>
      </w:pPr>
      <w:r w:rsidRPr="00E00EA0">
        <w:rPr>
          <w:rFonts w:cs="Arial"/>
        </w:rPr>
        <w:t>Poverenica za zaštitu ravnopravnosti sastala se s konsultantkinjom za rodnu ravnopravnost Kancelarije švedske policije, a tema sastanka bila je saradnja na realizaciji dela aktivnosti u okviru projekta „Razvijanje rodne agende u MUP Republike Srbije 2016–2018“, koji ima za cilj uspostavljanje novih i unapređenje postojećih internih struktura i procedura koje garantuju prevenciju i odgovor na slučajeve rodno zasnovane diskriminacije i seksualnog uznemiravanja žena i muškaraca u policiji.</w:t>
      </w:r>
    </w:p>
    <w:p w:rsidR="00E00EA0" w:rsidRPr="00E00EA0" w:rsidRDefault="00E00EA0" w:rsidP="00E00EA0">
      <w:pPr>
        <w:spacing w:after="100" w:afterAutospacing="1" w:line="276" w:lineRule="auto"/>
        <w:rPr>
          <w:rFonts w:cs="Arial"/>
          <w:color w:val="000000"/>
          <w:lang w:val="sr-Latn-RS"/>
        </w:rPr>
      </w:pPr>
      <w:r w:rsidRPr="00E00EA0">
        <w:rPr>
          <w:rFonts w:cs="Arial"/>
        </w:rPr>
        <w:lastRenderedPageBreak/>
        <w:t>Povodom Međunarodnog dana ljudskih prava i u saradnji s ambasadom Kraljevine Holandije u Srbiji, Poverenik za zaštitu ravnopravnosti organizovao je izložbu fotografija o transrodnom identitetu, poznatog  holandskog umetnika Krisa Reksena. Otvarajući izložbu, poverenica za zaštitu ravnopravnosti je naglasila da je umetnost najbolji način za razbijanje predrasuda, dok je ambasador Henk van den Dol istakao da u zaštiti ljudskih prava Holandija posebnu pažnju poklanja pravima LGBTIQ zajednice, i zahvalio poverenici na organizaciji ovog događaja. Otvaranju su prisustvovali predstavnici Delegacije EU u Srbiji i direktor Kancelarije Unicefa u Srbiji, kao i predstavnici ambasada država Evropske unije i organizacija civilnog društva koje se bave unapređenjem položaja LGBTIQ osoba.</w:t>
      </w:r>
    </w:p>
    <w:p w:rsidR="00DA594A" w:rsidRPr="00DA594A" w:rsidRDefault="00DA594A" w:rsidP="00DA594A">
      <w:pPr>
        <w:pStyle w:val="NoSpacing"/>
        <w:rPr>
          <w:kern w:val="32"/>
          <w:sz w:val="18"/>
        </w:rPr>
      </w:pPr>
    </w:p>
    <w:p w:rsidR="00135D51" w:rsidRPr="00135D51" w:rsidRDefault="00E00EA0" w:rsidP="00D93153">
      <w:pPr>
        <w:pStyle w:val="Heading3"/>
        <w:numPr>
          <w:ilvl w:val="0"/>
          <w:numId w:val="32"/>
        </w:numPr>
      </w:pPr>
      <w:bookmarkStart w:id="189" w:name="_Toc477248674"/>
      <w:bookmarkStart w:id="190" w:name="_Toc477251799"/>
      <w:r>
        <w:rPr>
          <w:lang w:val="sr-Latn-RS"/>
        </w:rPr>
        <w:t>Saradnja sa Misijom OEBS-a u Srbiji</w:t>
      </w:r>
      <w:bookmarkEnd w:id="188"/>
      <w:bookmarkEnd w:id="189"/>
      <w:bookmarkEnd w:id="190"/>
    </w:p>
    <w:p w:rsidR="00E00EA0" w:rsidRPr="00E00EA0" w:rsidRDefault="00E00EA0" w:rsidP="00E00EA0">
      <w:pPr>
        <w:spacing w:after="100" w:afterAutospacing="1" w:line="276" w:lineRule="auto"/>
        <w:rPr>
          <w:rFonts w:cs="Arial"/>
        </w:rPr>
      </w:pPr>
      <w:r w:rsidRPr="00E00EA0">
        <w:rPr>
          <w:rFonts w:cs="Arial"/>
        </w:rPr>
        <w:t xml:space="preserve">Tokom 2016. godine nastavljena je intenzivna saradnja Poverenika za zaštitu ravnopravnosti s Misijom Organizacije za evropsku bezbednost i saradnju (OEBS) u Republici Srbiji. Pomenuta saradnja odvija se u nekoliko segmenata, koji se na različite načine odnose na unapređenje zaštite ljudskih prava svih diskriminisanih društvenih grupa (pravosuđe, policija, mediji i dr.). </w:t>
      </w:r>
    </w:p>
    <w:p w:rsidR="00E00EA0" w:rsidRPr="00E00EA0" w:rsidRDefault="00E00EA0" w:rsidP="00E00EA0">
      <w:pPr>
        <w:spacing w:after="100" w:afterAutospacing="1" w:line="276" w:lineRule="auto"/>
        <w:rPr>
          <w:rFonts w:cs="Arial"/>
        </w:rPr>
      </w:pPr>
      <w:r w:rsidRPr="00E00EA0">
        <w:rPr>
          <w:rFonts w:cs="Arial"/>
        </w:rPr>
        <w:t>U 2016. godini  u saradnji sa OEBS-om započet je projekat koji se odnosi na obuku policijskih službenika i službenica, na temu prepoznavanja i reagovanja na diskriminaciju. Ovaj projekat je realizovan u saradnji sa Ministarstvom unutrašnjih poslova i detaljnije opisan u delu „Saradnja sa organima izvršne vlasti“.</w:t>
      </w:r>
    </w:p>
    <w:p w:rsidR="00E00EA0" w:rsidRPr="00E00EA0" w:rsidRDefault="00E00EA0" w:rsidP="00E00EA0">
      <w:pPr>
        <w:spacing w:after="100" w:afterAutospacing="1" w:line="276" w:lineRule="auto"/>
        <w:rPr>
          <w:rFonts w:cs="Arial"/>
        </w:rPr>
      </w:pPr>
      <w:r w:rsidRPr="00E00EA0">
        <w:rPr>
          <w:rFonts w:cs="Arial"/>
        </w:rPr>
        <w:t>Misija OEBS-a u Srbiji je posebno podržala jačanje regionalne saradnje tela za ravnopravnost u regionu. Organizovane su posete Poverenika za zaštitu ravnopravnosti institucijama za ravnopravnost u Bosni i Hercegovini i Hrvatskoj. Na održanim sastancima je dogovoreno uspostavljanje bliže regionalne saradnje i organizovanje regionalne konferencije u Beogradu.</w:t>
      </w:r>
    </w:p>
    <w:p w:rsidR="00E00EA0" w:rsidRPr="00E00EA0" w:rsidRDefault="00E00EA0" w:rsidP="00E00EA0">
      <w:pPr>
        <w:spacing w:after="100" w:afterAutospacing="1" w:line="276" w:lineRule="auto"/>
        <w:rPr>
          <w:rFonts w:cs="Arial"/>
        </w:rPr>
      </w:pPr>
      <w:r w:rsidRPr="00E00EA0">
        <w:rPr>
          <w:rFonts w:cs="Arial"/>
        </w:rPr>
        <w:t xml:space="preserve">Povodom 16. novembra, Međunarodnog dana tolerancije, Poverenik za zaštitu ravnopravnosti je uz podršku Misije OEBS-a u Srbiji, drugu godinu zaredom dodelio Godišnju medijsku nagradu za najbolje medijske tekstove i priloge na temu borbe protiv diskriminacije i promovisanja ravnopravnosti i tolerancije. Nagrade su dodeljene u tri kategorije: radio/TV reportaža u trajanju do 30 minuta, radijski/TV prilog i štampani / tekst na internetu. Pravo na učešće na konkursu imali su novinari i novinarke svih štampanih i elektronskih, lokalnih i nacionalnih medija registrovanih u Srbiji, koji su objavili tekstove/priloge na temu konkursa u periodu od 1. januara do 1. septembra 2016. godine. Od ove godine, pravo učešća imali su i studenti i studentkinje novinarstva s akreditovanih državnih i privatnih fakulteta u Srbiji, koji su objavili tekstove/priloge u studentskim medijima na temu i u formi koja je zadata na konkursu. Oni su se takmičili van navedenih kategorija i za njih je bila predviđena dodela posebnih zahvalnica. </w:t>
      </w:r>
    </w:p>
    <w:p w:rsidR="00E00EA0" w:rsidRPr="00E00EA0" w:rsidRDefault="00E00EA0" w:rsidP="00E00EA0">
      <w:pPr>
        <w:spacing w:after="100" w:afterAutospacing="1" w:line="276" w:lineRule="auto"/>
        <w:rPr>
          <w:rFonts w:cs="Arial"/>
        </w:rPr>
      </w:pPr>
      <w:r w:rsidRPr="00E00EA0">
        <w:rPr>
          <w:rFonts w:cs="Arial"/>
        </w:rPr>
        <w:t xml:space="preserve">Na Prvom dodatnom sastanku ljudske dimenzije OEBS-a, koji je održan 14. i 15. aprila u Beču, učestvovao je i predstavnik Poverenika za zaštitu ravnopravnosti u okviru panela „Edukacija i podizanje svesti sa ciljem sprečavanje diskriminacije, uključujući govor mržnje i zločin iz mržnje“. </w:t>
      </w:r>
    </w:p>
    <w:p w:rsidR="00E00EA0" w:rsidRPr="00E00EA0" w:rsidRDefault="00E00EA0" w:rsidP="00E00EA0">
      <w:pPr>
        <w:spacing w:after="100" w:afterAutospacing="1" w:line="276" w:lineRule="auto"/>
        <w:rPr>
          <w:rFonts w:cs="Arial"/>
        </w:rPr>
      </w:pPr>
      <w:r w:rsidRPr="00E00EA0">
        <w:rPr>
          <w:rFonts w:cs="Arial"/>
        </w:rPr>
        <w:lastRenderedPageBreak/>
        <w:t>Sredinom septembra, predstavnik Poverenika je učestvovao u radu NAP akademije za primenu Rezolucije 1325 Saveta bezbednosti UN, organizovane u Beču od strane OEBS-a i Instituta za inkluzivnu bezbednost iz Vašingtona. Cilj akademije je bio upoznavanje učesnika s najnovijim trendovima u sferi primene Rezolucije Saveta bezbednosti 1325, kao i efikasniji način izrade, nadzora i evaluacije pratećih nacionalnih akcionih planova. Na konferenciji su, između ostalog, prezentovani  praksa i iskustvo u primeni akcionog plana u različitim zemljama, kao što su Velika Britanija, Kanada, SAD, Bosna i Kirgistan.</w:t>
      </w:r>
    </w:p>
    <w:p w:rsidR="00E00EA0" w:rsidRPr="00E00EA0" w:rsidRDefault="00E00EA0" w:rsidP="00E00EA0">
      <w:pPr>
        <w:spacing w:after="100" w:afterAutospacing="1" w:line="276" w:lineRule="auto"/>
        <w:rPr>
          <w:rFonts w:cs="Arial"/>
        </w:rPr>
      </w:pPr>
      <w:r w:rsidRPr="00E00EA0">
        <w:rPr>
          <w:rFonts w:cs="Arial"/>
        </w:rPr>
        <w:t xml:space="preserve">U organizaciji Pravosudne akademije i Poverenika za zaštitu ravnopravnosti, a uz podršku Misije OEBS-a u Srbiji organizovan je jednogodišnji program obuke sudija i sutkinja pod nazivom „Trening za trenere u oblasti nediskriminacije“. Programom su obuhvaćene sudije viših sudova sa teritorija sve četiri apelacije: Beograd, Kragujevac, Novi Sad i Niš. Program je obrađivao sve teme koje obuhvataju antidiskriminatorni propisi, s naglaskom na diskriminaciju u oblasti rada i zapošljavanja i obrazovanja, kao i na diskriminaciju na osnovu pola/roda, verskog opredeljenja i invaliditeta. Na obukama je bilo reči o problemima u sudskoj praksi u parnicama za zaštitu od diskriminacije, a posebna pažnja posvećena je slučajevima iz rada Poverenika za zaštitu ravnopravnosti. Program je, pored obuke, uključivao i studijsku posetu sudija Evropskom sudu za ljudska prava u Strazburu. </w:t>
      </w:r>
    </w:p>
    <w:p w:rsidR="00E00EA0" w:rsidRPr="00E00EA0" w:rsidRDefault="00E00EA0" w:rsidP="00E00EA0">
      <w:pPr>
        <w:spacing w:after="100" w:afterAutospacing="1" w:line="276" w:lineRule="auto"/>
        <w:rPr>
          <w:rFonts w:cs="Arial"/>
          <w:lang w:val="sr-Latn-RS"/>
        </w:rPr>
      </w:pPr>
      <w:r w:rsidRPr="00E00EA0">
        <w:rPr>
          <w:rFonts w:cs="Arial"/>
        </w:rPr>
        <w:t>Povodom 10. Decembra, Međunarodnog dana ljudskih prava, poverenica za zaštitu ravnopravnosti je predstavila Priručnik za medije Borba za ravnopravnost, koji je izrađen uz podršku Misije OEBS-a u Srbiji. Cilj priručnika za medije jeste da pomogne svim novinarima koji izveštavaju o temama u oblasti ljudskih prava, zaštite od diskriminacije i promocije tolerancije. Publikacija sadrži i Rečnik tolerancije, odnosno listu antidiskriminatornih, rodno senzitivnih i manje poznatih termina sa objašnjenjima, koja može doprineti boljem izveštavanju i smanjenju diskriminacije u medijima.</w:t>
      </w:r>
    </w:p>
    <w:p w:rsidR="00135D51" w:rsidRPr="00135D51" w:rsidRDefault="00135D51" w:rsidP="00135D51">
      <w:pPr>
        <w:spacing w:line="276" w:lineRule="auto"/>
        <w:ind w:firstLine="567"/>
        <w:rPr>
          <w:rFonts w:cs="Arial"/>
        </w:rPr>
      </w:pPr>
    </w:p>
    <w:p w:rsidR="00135D51" w:rsidRPr="00135D51" w:rsidRDefault="00E00EA0" w:rsidP="00D93153">
      <w:pPr>
        <w:pStyle w:val="Heading3"/>
        <w:numPr>
          <w:ilvl w:val="0"/>
          <w:numId w:val="32"/>
        </w:numPr>
      </w:pPr>
      <w:bookmarkStart w:id="191" w:name="_Toc475543066"/>
      <w:bookmarkStart w:id="192" w:name="_Toc477248675"/>
      <w:bookmarkStart w:id="193" w:name="_Toc477251800"/>
      <w:r>
        <w:rPr>
          <w:lang w:val="sr-Latn-RS"/>
        </w:rPr>
        <w:t>Saradnja sa Delegacijom Evropske unije u Srbiji</w:t>
      </w:r>
      <w:bookmarkEnd w:id="191"/>
      <w:bookmarkEnd w:id="192"/>
      <w:bookmarkEnd w:id="193"/>
    </w:p>
    <w:p w:rsidR="00E00EA0" w:rsidRPr="00E00EA0" w:rsidRDefault="00E00EA0" w:rsidP="00E00EA0">
      <w:pPr>
        <w:tabs>
          <w:tab w:val="left" w:pos="567"/>
        </w:tabs>
        <w:spacing w:after="100" w:afterAutospacing="1" w:line="276" w:lineRule="auto"/>
        <w:rPr>
          <w:rFonts w:cs="Arial"/>
        </w:rPr>
      </w:pPr>
      <w:r w:rsidRPr="00E00EA0">
        <w:rPr>
          <w:rFonts w:cs="Arial"/>
        </w:rPr>
        <w:t>U oktobru 2015. godine Poverenik za zaštitu ravnopravnosti je započeo realizaciju Tvining projekta „Podrška unapređenju ljudskih prava i nulta tolerancija na diskriminaciju“, koji finansira Evropska unija. Partner na projektu je Kancelarija za ljudska i manjinska prava Vlade Republike Srbije, a sprovode ga Institut za ljudska i manjinska prava „Ludvig Bolcman“ iz Austrije i Kancelarija za ljudska i manjinska prava Vlade Republike Slovenije. Projektne aktivnosti obuhvataju, između ostalog, jačanje kapaciteta Poverenika u prevenciji svih oblika diskriminacije, pre svega kroz edukaciju zaposlenih, analizu postojeće interne baze podataka Poverenika s ciljem njenog unapređenja, sprovođenje istraživanja o odnosu građana prema  diskriminaciji i diskriminisanim grupama u Srbiji, vođenje kampanja za unapređenje zaštite ljudskih prava i nulte tolerancije na diskriminaciju i dr.</w:t>
      </w:r>
    </w:p>
    <w:p w:rsidR="00E00EA0" w:rsidRPr="00E00EA0" w:rsidRDefault="00E00EA0" w:rsidP="00E00EA0">
      <w:pPr>
        <w:tabs>
          <w:tab w:val="left" w:pos="567"/>
        </w:tabs>
        <w:spacing w:after="100" w:afterAutospacing="1" w:line="276" w:lineRule="auto"/>
        <w:rPr>
          <w:rFonts w:cs="Arial"/>
        </w:rPr>
      </w:pPr>
      <w:r w:rsidRPr="00E00EA0">
        <w:rPr>
          <w:rFonts w:cs="Arial"/>
        </w:rPr>
        <w:t xml:space="preserve">Kao jedna od projektnih aktivnosti, u toku 2016. godine sprovedeno je istraživanje Poverenika o stavovima javnog mnjenja, „Odnos građana i građanki prema diskriminaciji u Srbiji“. Rezultati istraživanja predstavljeni su u poglavlju 3.1.1. ovog izveštaja. </w:t>
      </w:r>
    </w:p>
    <w:p w:rsidR="00E00EA0" w:rsidRPr="00E00EA0" w:rsidRDefault="00E00EA0" w:rsidP="00E00EA0">
      <w:pPr>
        <w:tabs>
          <w:tab w:val="left" w:pos="567"/>
        </w:tabs>
        <w:spacing w:after="100" w:afterAutospacing="1" w:line="276" w:lineRule="auto"/>
        <w:rPr>
          <w:rFonts w:cs="Arial"/>
        </w:rPr>
      </w:pPr>
      <w:r w:rsidRPr="00E00EA0">
        <w:rPr>
          <w:rFonts w:cs="Arial"/>
        </w:rPr>
        <w:t xml:space="preserve">U martu 2016. godine poverenica za zaštitu ravnopravnosti učestvovala je na konferenciji na temu evropskih integracija Srbije i zemalja Zapadnog Balkana. Na konferenciji su razmatrani </w:t>
      </w:r>
      <w:r w:rsidRPr="00E00EA0">
        <w:rPr>
          <w:rFonts w:cs="Arial"/>
        </w:rPr>
        <w:lastRenderedPageBreak/>
        <w:t xml:space="preserve">izazovi u budućem pregovaračkom procesu, uloga organizacija civilnog društva i geopolitički aspekti integracije Zapadnog Balkana. </w:t>
      </w:r>
    </w:p>
    <w:p w:rsidR="00E00EA0" w:rsidRPr="00E00EA0" w:rsidRDefault="00E00EA0" w:rsidP="00E00EA0">
      <w:pPr>
        <w:tabs>
          <w:tab w:val="left" w:pos="567"/>
        </w:tabs>
        <w:spacing w:after="100" w:afterAutospacing="1" w:line="276" w:lineRule="auto"/>
        <w:rPr>
          <w:rFonts w:cs="Arial"/>
          <w:lang w:val="sr-Latn-RS"/>
        </w:rPr>
      </w:pPr>
      <w:r w:rsidRPr="00E00EA0">
        <w:rPr>
          <w:rFonts w:cs="Arial"/>
        </w:rPr>
        <w:t>Povodom obeležavanja Međunarodnog dana borbe protiv nasilja nad ženama poverenica za zaštitu ravnopravnosti je učestvovala i na debati EU info centra „Kakav je odgovor na nasilje“, čiji je cilj bio da podigne svest o važnosti primene usvojenih propisa, kao i da se poveća medijska pažnja o neophodnosti borbe protiv nasilja nad ženama, uz promenu načina izveštavanja o ovom društvenom problemu. Poverenica je, između ostalog,  pozvala građane i građanke da se obraćaju instituciji Poverenika i prijave diskriminaciju koja se nalazi u korenu rodno zasnovanog nasilja, jer svaki rešen slučaj predstavlja korak bliže ka uspostavljanju suštinske ravnopravnosti žena i muškaraca u našem društvu.</w:t>
      </w:r>
    </w:p>
    <w:p w:rsidR="00135D51" w:rsidRPr="00135D51" w:rsidRDefault="00135D51" w:rsidP="00135D51">
      <w:pPr>
        <w:spacing w:after="100" w:afterAutospacing="1" w:line="276" w:lineRule="auto"/>
        <w:rPr>
          <w:rFonts w:cs="Arial"/>
        </w:rPr>
      </w:pPr>
    </w:p>
    <w:p w:rsidR="00135D51" w:rsidRPr="00135D51" w:rsidRDefault="007166F2" w:rsidP="00D93153">
      <w:pPr>
        <w:pStyle w:val="Heading3"/>
        <w:numPr>
          <w:ilvl w:val="0"/>
          <w:numId w:val="32"/>
        </w:numPr>
      </w:pPr>
      <w:bookmarkStart w:id="194" w:name="_Toc475543067"/>
      <w:bookmarkStart w:id="195" w:name="_Toc477248676"/>
      <w:bookmarkStart w:id="196" w:name="_Toc477251801"/>
      <w:r>
        <w:rPr>
          <w:lang w:val="sr-Latn-RS"/>
        </w:rPr>
        <w:t>Saradnja sa Fondom Ujedinjenih nacija za decu (Unicef)</w:t>
      </w:r>
      <w:bookmarkEnd w:id="194"/>
      <w:bookmarkEnd w:id="195"/>
      <w:bookmarkEnd w:id="196"/>
    </w:p>
    <w:p w:rsidR="007166F2" w:rsidRPr="007166F2" w:rsidRDefault="007166F2" w:rsidP="007166F2">
      <w:pPr>
        <w:spacing w:after="100" w:afterAutospacing="1" w:line="276" w:lineRule="auto"/>
        <w:rPr>
          <w:rFonts w:cs="Arial"/>
        </w:rPr>
      </w:pPr>
      <w:r w:rsidRPr="007166F2">
        <w:rPr>
          <w:rFonts w:cs="Arial"/>
        </w:rPr>
        <w:t xml:space="preserve">U septembru 2012. godine potpisan je Memorandumu o razumevanju sa Unicefom u cilju prevencije svih oblika diskriminacije dece. Memorandumom je predviđena višegodišnja saradnja po ovom pitanju, koja je realizovana u okviru Unicefovog programa za period 2011–2015. </w:t>
      </w:r>
    </w:p>
    <w:p w:rsidR="007166F2" w:rsidRPr="007166F2" w:rsidRDefault="007166F2" w:rsidP="007166F2">
      <w:pPr>
        <w:spacing w:after="100" w:afterAutospacing="1" w:line="276" w:lineRule="auto"/>
        <w:rPr>
          <w:rFonts w:cs="Arial"/>
        </w:rPr>
      </w:pPr>
      <w:r w:rsidRPr="007166F2">
        <w:rPr>
          <w:rFonts w:cs="Arial"/>
        </w:rPr>
        <w:t>Imajući u vidu navedeno, početkom 2016. godine poverenica se sastala s direktorom kancelarije Unicefa u Srbiji Mišelom Sen-Loom, s kojim je razgovarala o nastavku saradnje na projektima u oblasti zaštite dece od diskriminacije. S tim u vezi, u drugoj polovini 2016. godine Poverenik za zaštitu ravnopravnosti je potpisao izjavu o saradnji sa Unicefom za period do k</w:t>
      </w:r>
      <w:r w:rsidR="007A3F28">
        <w:rPr>
          <w:rFonts w:cs="Arial"/>
          <w:lang w:val="sr-Latn-RS"/>
        </w:rPr>
        <w:t>r</w:t>
      </w:r>
      <w:r w:rsidRPr="007166F2">
        <w:rPr>
          <w:rFonts w:cs="Arial"/>
        </w:rPr>
        <w:t>aja 2017. godine.</w:t>
      </w:r>
    </w:p>
    <w:p w:rsidR="007166F2" w:rsidRPr="007166F2" w:rsidRDefault="007166F2" w:rsidP="007166F2">
      <w:pPr>
        <w:spacing w:after="100" w:afterAutospacing="1" w:line="276" w:lineRule="auto"/>
        <w:rPr>
          <w:rFonts w:cs="Arial"/>
        </w:rPr>
      </w:pPr>
      <w:r w:rsidRPr="007166F2">
        <w:rPr>
          <w:rFonts w:cs="Arial"/>
        </w:rPr>
        <w:t>Poverenik za zaštitu ravnopravnosti je uz podršku Unicefa pripremio Priručnik za prevenciju segregacije, razvoj inkluzivnih upisnih politika i desegregacije škola i odeljenja. U priručniku su, između ostalog, predstavljena međunarodna iskustva i konkretni predlozi za unapređenje prakse u Srbiji.</w:t>
      </w:r>
    </w:p>
    <w:p w:rsidR="007166F2" w:rsidRPr="007166F2" w:rsidRDefault="007166F2" w:rsidP="007166F2">
      <w:pPr>
        <w:spacing w:after="100" w:afterAutospacing="1" w:line="276" w:lineRule="auto"/>
        <w:rPr>
          <w:rFonts w:cs="Arial"/>
          <w:lang w:val="sr-Latn-RS"/>
        </w:rPr>
      </w:pPr>
      <w:r w:rsidRPr="007166F2">
        <w:rPr>
          <w:rFonts w:cs="Arial"/>
        </w:rPr>
        <w:t>U okviru planiranih projektnih aktivnosti, urađena je evaluacija rada Panela mladih Poverenika za zaštitu ravnopravnosti, koja podrazumeva objektivno sagledavanje efekata njihovog delovanja u odnosu na razloge osnivanja. Evaluacija je pokazala da u Srbiji deca/mladi, ali i odrasli, u nedovoljnoj meri prepoznaju pravo na participaciju. Ocenjeno je da je Panel mladih jedan od mehanizama koji podstiče njihovu participaciju i obezbeđuje veće učešće dece i mladih u procesima donošenja odluka, te da ovaj mehanizam treba da se proširi i obuhvati veći broj dece i mladih, kako uz primenu dosadašnjih metoda, tako i  korišćenjem  društvenih mreža u borbi protiv diskriminacije. Istovremeno, donosioci odluka treba da stvore uslove za značajniju participaciju mladih u društvenim tokovima. Osim toga, evaluacija je prikazala primere dobre prakse do kojih je Panel mladih došao, koji su bili korisni za preporuke za unapređenje rada ovog panela.</w:t>
      </w:r>
    </w:p>
    <w:p w:rsidR="00135D51" w:rsidRPr="00135D51" w:rsidRDefault="00135D51" w:rsidP="00135D51">
      <w:pPr>
        <w:spacing w:line="276" w:lineRule="auto"/>
        <w:ind w:firstLine="567"/>
        <w:rPr>
          <w:rFonts w:cs="Arial"/>
          <w:sz w:val="10"/>
        </w:rPr>
      </w:pPr>
    </w:p>
    <w:p w:rsidR="00135D51" w:rsidRPr="00135D51" w:rsidRDefault="006D7116" w:rsidP="00D93153">
      <w:pPr>
        <w:pStyle w:val="Heading3"/>
        <w:numPr>
          <w:ilvl w:val="0"/>
          <w:numId w:val="32"/>
        </w:numPr>
      </w:pPr>
      <w:bookmarkStart w:id="197" w:name="_Toc475543068"/>
      <w:bookmarkStart w:id="198" w:name="_Toc477248677"/>
      <w:bookmarkStart w:id="199" w:name="_Toc477251802"/>
      <w:r>
        <w:lastRenderedPageBreak/>
        <w:t xml:space="preserve"> </w:t>
      </w:r>
      <w:r w:rsidR="007166F2">
        <w:rPr>
          <w:lang w:val="sr-Latn-RS"/>
        </w:rPr>
        <w:t>Saradnja sa GIZ-om</w:t>
      </w:r>
      <w:bookmarkEnd w:id="197"/>
      <w:bookmarkEnd w:id="198"/>
      <w:bookmarkEnd w:id="199"/>
    </w:p>
    <w:p w:rsidR="007166F2" w:rsidRPr="007166F2" w:rsidRDefault="007166F2" w:rsidP="007166F2">
      <w:pPr>
        <w:spacing w:after="100" w:afterAutospacing="1" w:line="276" w:lineRule="auto"/>
        <w:rPr>
          <w:rFonts w:cs="Arial"/>
        </w:rPr>
      </w:pPr>
      <w:r w:rsidRPr="007166F2">
        <w:rPr>
          <w:rFonts w:cs="Arial"/>
        </w:rPr>
        <w:t xml:space="preserve">Nemačka organizacija za tehničku saradnju (GIZ) podržala je izradu Strateškog plana Poverenika za zaštitu ravnopravnosti 2016–2020. U procesu izrade ovog strateškog dokumenta organizovana je i javna debata, u kojoj su učestvovale organizacije civilnog društva. Dobijene sugestije predstavnika nevladinog sektora (Bibija, Jukom, Beogradski centar za ljudska prava, Centar za samostalni život osoba sa invaliditetom, i dr.) doprinele su kvalitetu ovog dokumenta, o kojem je više reči bilo u prethodnom delu ovog izveštaja.   </w:t>
      </w:r>
    </w:p>
    <w:p w:rsidR="007166F2" w:rsidRPr="007166F2" w:rsidRDefault="007166F2" w:rsidP="007166F2">
      <w:pPr>
        <w:spacing w:after="100" w:afterAutospacing="1" w:line="276" w:lineRule="auto"/>
        <w:rPr>
          <w:rFonts w:cs="Arial"/>
        </w:rPr>
      </w:pPr>
      <w:r w:rsidRPr="007166F2">
        <w:rPr>
          <w:rFonts w:cs="Arial"/>
        </w:rPr>
        <w:t xml:space="preserve">Uz podršku GIZ-a, a u organizaciji „Edukacija za 21. vek“, održan je okrugli sto „Unapređivanje ljudskih prava razgradnjom stereotipa u obrazovanju, kulturi i medijima“, na kojem je učestvovala i poverenica. Govoreći na otvaranju skupa, poverenica je istakla da se u školama u Srbiji ne radi dovoljno na podizanju stepena tolerancije i iskorenjivanju predrasuda i stereotipa, a da su diskriminaciji najizloženija romska deca i deca sa smetnjama u razvoju. </w:t>
      </w:r>
    </w:p>
    <w:p w:rsidR="007166F2" w:rsidRPr="007166F2" w:rsidRDefault="007166F2" w:rsidP="007166F2">
      <w:pPr>
        <w:spacing w:after="100" w:afterAutospacing="1" w:line="276" w:lineRule="auto"/>
        <w:rPr>
          <w:rFonts w:cs="Arial"/>
        </w:rPr>
      </w:pPr>
      <w:r w:rsidRPr="007166F2">
        <w:rPr>
          <w:rFonts w:cs="Arial"/>
        </w:rPr>
        <w:t xml:space="preserve">Povodom nastavka saradnje sa GIZ-om, u maju 2016. godine poverenica se sastala sa novim direktorom GIZ-a, Gerhardom Zipelom. Na sastanku je bilo reči o daljoj podršci GIZ-a aktivnostima Poverenika na planu unapređenja ravnopravnosti. </w:t>
      </w:r>
    </w:p>
    <w:p w:rsidR="007166F2" w:rsidRPr="007166F2" w:rsidRDefault="007166F2" w:rsidP="007166F2">
      <w:pPr>
        <w:spacing w:after="100" w:afterAutospacing="1" w:line="276" w:lineRule="auto"/>
        <w:rPr>
          <w:rFonts w:cs="Arial"/>
        </w:rPr>
      </w:pPr>
      <w:r w:rsidRPr="007166F2">
        <w:rPr>
          <w:rFonts w:cs="Arial"/>
        </w:rPr>
        <w:t>Jedan od rezultata saradnje sa GIZ-om jeste i objavljivanje Priručnika za prepoznavanje slučajeva diskriminacije pred organima javne vlasti. Potreba da se ovaj priručnik izradi proistekla je iz prakse Poverenika koja pokazuje da se diskriminacija pred organima javne vlasti godinama nalazi u vrhu po broju primljenih pritužbi. Priručnik treba da pomogne zaposlenima u organima javne vlasti da prepoznaju diskriminaciju i izbegnu diskriminatorne odredbe u pravnim aktima iz njihove nadležnosti.</w:t>
      </w:r>
    </w:p>
    <w:p w:rsidR="007166F2" w:rsidRPr="007166F2" w:rsidRDefault="007166F2" w:rsidP="007166F2">
      <w:pPr>
        <w:spacing w:after="100" w:afterAutospacing="1" w:line="276" w:lineRule="auto"/>
        <w:rPr>
          <w:rFonts w:cs="Arial"/>
          <w:lang w:val="sr-Latn-RS"/>
        </w:rPr>
      </w:pPr>
      <w:r w:rsidRPr="007166F2">
        <w:rPr>
          <w:rFonts w:cs="Arial"/>
        </w:rPr>
        <w:t xml:space="preserve"> Uz podršku GIZ-a, u septembru 2016. godine održana je konferencija „Diskriminacija Roma i Romkinja – iskustva Poverenika za zaštitu ravnopravnosti“. Cilj konferencije bio je da se svi relevantni akteri koji se bave zaštitom prava Roma i Romkinja podstaknu da efikasnije koriste mehanizme za zaštitu od diskriminacije, uključujući i podnošenje pritužbi Povereniku, kao i da se iznesu predlozi za unapređenje položaja romske nacionalne manjine. U radu konferencije su učestvovali brojni predstavnici organizacija civilnog društva koje se bave zaštitom prava Roma, predstavnici Nacionalnog saveta romske nacionalne manjine i nadležnih državnih organa.</w:t>
      </w:r>
    </w:p>
    <w:p w:rsidR="00135D51" w:rsidRPr="00135D51" w:rsidRDefault="00135D51" w:rsidP="00135D51">
      <w:pPr>
        <w:pStyle w:val="NoSpacing"/>
        <w:rPr>
          <w:sz w:val="2"/>
          <w:lang w:val="sr-Cyrl-CS"/>
        </w:rPr>
      </w:pPr>
    </w:p>
    <w:p w:rsidR="00135D51" w:rsidRPr="00135D51" w:rsidRDefault="00D24FE0" w:rsidP="00D93153">
      <w:pPr>
        <w:pStyle w:val="Heading3"/>
        <w:numPr>
          <w:ilvl w:val="0"/>
          <w:numId w:val="32"/>
        </w:numPr>
      </w:pPr>
      <w:bookmarkStart w:id="200" w:name="_Toc475543069"/>
      <w:bookmarkStart w:id="201" w:name="_Toc477248678"/>
      <w:bookmarkStart w:id="202" w:name="_Toc477251803"/>
      <w:r>
        <w:rPr>
          <w:lang w:val="sr-Latn-RS"/>
        </w:rPr>
        <w:t>Saradnja sa Savetom Evrope</w:t>
      </w:r>
      <w:bookmarkEnd w:id="200"/>
      <w:bookmarkEnd w:id="201"/>
      <w:bookmarkEnd w:id="202"/>
    </w:p>
    <w:p w:rsidR="00D24FE0" w:rsidRPr="00D24FE0" w:rsidRDefault="00D24FE0" w:rsidP="00D24FE0">
      <w:pPr>
        <w:spacing w:after="100" w:afterAutospacing="1" w:line="276" w:lineRule="auto"/>
        <w:rPr>
          <w:rFonts w:cs="Arial"/>
          <w:spacing w:val="-1"/>
        </w:rPr>
      </w:pPr>
      <w:r w:rsidRPr="00D24FE0">
        <w:rPr>
          <w:rFonts w:cs="Arial"/>
          <w:spacing w:val="-1"/>
        </w:rPr>
        <w:t xml:space="preserve">Poverenik za zaštitu ravnopravnosti i Kancelarija Saveta Evrope u Beogradu nastavili su saradnju na projektu „Ne ceni knjigu po koricama – Živa biblioteka u Srbiji“, na kojem prisustvuju i predstavnici Ministarstva omladine i sporta, a koji se uspešno sprovodi od 2012. godine. Poverenik je od septembra 2014. godine preuzeo koordinacionu ulogu na projektu i nastavio s implementacijom i unapređivanjem uspostavljenih standarda u realizaciji projektnih aktivnosti radi smanjenja uticaja negativnih stereotipa i predrasuda kao glavnih uzroka diskriminacije u društvu. </w:t>
      </w:r>
    </w:p>
    <w:p w:rsidR="00D24FE0" w:rsidRPr="00D24FE0" w:rsidRDefault="00D24FE0" w:rsidP="00D24FE0">
      <w:pPr>
        <w:spacing w:after="100" w:afterAutospacing="1" w:line="276" w:lineRule="auto"/>
        <w:rPr>
          <w:rFonts w:cs="Arial"/>
          <w:spacing w:val="-1"/>
        </w:rPr>
      </w:pPr>
      <w:r w:rsidRPr="00D24FE0">
        <w:rPr>
          <w:rFonts w:cs="Arial"/>
          <w:spacing w:val="-1"/>
        </w:rPr>
        <w:lastRenderedPageBreak/>
        <w:t>U 2016. godini održano je 12 „Živih biblioteka“, i to u Beogradu (7), Pančevu (1), Šapcu (1), Leskovcu (2) i Ivanjici (1). NJima je prisustvovalo gotovo 1.000 čitalaca, 100 volontera i 120 „knjiga“. „Najčitanije“ „knjige“ bili su gej, vegan i osoba koja živi sa HIV-om.</w:t>
      </w:r>
    </w:p>
    <w:p w:rsidR="00D24FE0" w:rsidRPr="00D24FE0" w:rsidRDefault="00D24FE0" w:rsidP="00D24FE0">
      <w:pPr>
        <w:spacing w:after="100" w:afterAutospacing="1" w:line="276" w:lineRule="auto"/>
        <w:rPr>
          <w:rFonts w:cs="Arial"/>
          <w:spacing w:val="-1"/>
        </w:rPr>
      </w:pPr>
      <w:r w:rsidRPr="00D24FE0">
        <w:rPr>
          <w:rFonts w:cs="Arial"/>
          <w:spacing w:val="-1"/>
        </w:rPr>
        <w:t xml:space="preserve">Trodnevni nacionalni trening za organizatore „Živih biblioteka“, po metodologiji koju su uspostavili Savet Evrope i Poverenik za zaštitu ravnopravnosti održan je u Beogradu od 12. do 14. juna 2016, u organizaciji Grupe „Hajde da...“ i uz finansijsku pomoć Kancelarije za ljudska i manjinska prava. Na treningu su predstavljeni standardi kvaliteta u metodologiji organizovanja „Živih biblioteka“, a cilj je bio podizanje kapaciteta organizacija civilnog društva. Treningu su prisustvovali predstavnici 19 organizacija civilnog društva, koji su imali priliku da se obuče za organizovanje „Živih biblioteka“ u lokalnim zajednicama iz kojih dolaze. </w:t>
      </w:r>
    </w:p>
    <w:p w:rsidR="00D24FE0" w:rsidRPr="00D24FE0" w:rsidRDefault="00D24FE0" w:rsidP="00D24FE0">
      <w:pPr>
        <w:spacing w:after="100" w:afterAutospacing="1" w:line="276" w:lineRule="auto"/>
        <w:rPr>
          <w:rFonts w:cs="Arial"/>
          <w:spacing w:val="-1"/>
        </w:rPr>
      </w:pPr>
      <w:r w:rsidRPr="00D24FE0">
        <w:rPr>
          <w:rFonts w:cs="Arial"/>
          <w:spacing w:val="-1"/>
        </w:rPr>
        <w:t xml:space="preserve">Predstavljanje projekta na Beogradskom sajmu održano je petu godinu zaredom u okviru Sajma obrazovanja i nastavnih sredstava, 29. i 30. oktobra 2016. godine. Predstavljeno je ukupno 27 „knjiga“, a među „najčitanijim“ našli su se vegan, gej i osoba sa invaliditetom. „Živoj biblioteci“ na Sajmu obrazovanja i nastavnih sredstava prisustvovalo je 211 posetilaca, koji su ostvarili 315 „čitanja“. Za organizaciju događaja angažovano je 17 volontera, podeljeno je 270 majica i 450 publikacija i lifleta. </w:t>
      </w:r>
    </w:p>
    <w:p w:rsidR="00D24FE0" w:rsidRPr="00D24FE0" w:rsidRDefault="00D24FE0" w:rsidP="00D24FE0">
      <w:pPr>
        <w:spacing w:after="100" w:afterAutospacing="1" w:line="276" w:lineRule="auto"/>
        <w:rPr>
          <w:rFonts w:cs="Arial"/>
          <w:spacing w:val="-1"/>
        </w:rPr>
      </w:pPr>
      <w:r w:rsidRPr="00D24FE0">
        <w:rPr>
          <w:rFonts w:cs="Arial"/>
          <w:spacing w:val="-1"/>
        </w:rPr>
        <w:t xml:space="preserve">Poverenik za zaštitu ravnopravnosti ostvario je saradnju s Evropskom komisijom protiv rasizma i netolerancije (EKRI), telom Saveta Evrope u čijem sastavu su nezavisni eksperti koji prate probleme rasizma, ksenofobije, antisemitizma, netolerancije i diskriminacije zasnovane na rasi, nacionalnom ili etničkom poreklu, boji kože, državljanstvu, verskoj pripadnosti i jeziku. </w:t>
      </w:r>
    </w:p>
    <w:p w:rsidR="00D24FE0" w:rsidRPr="00D24FE0" w:rsidRDefault="00D24FE0" w:rsidP="00D24FE0">
      <w:pPr>
        <w:spacing w:after="100" w:afterAutospacing="1" w:line="276" w:lineRule="auto"/>
        <w:rPr>
          <w:rFonts w:cs="Arial"/>
          <w:spacing w:val="-1"/>
        </w:rPr>
      </w:pPr>
      <w:r w:rsidRPr="00D24FE0">
        <w:rPr>
          <w:rFonts w:cs="Arial"/>
          <w:spacing w:val="-1"/>
        </w:rPr>
        <w:t xml:space="preserve">U maju 2016. godine poverenica je učestvovala na seminaru „Uloga nacionalnih specijalizovanih tela i njihova savetodavna podrška zakonodavnim i izvršnim organima vlasti kao i ostalim zainteresovanim stranama“, koji je EKRI organizovao u Strazburu. Tokom seminara predstavljeni su primeri dobre prakse, a osnovna svrha skupa bila je da nacionalna tela specijalizovana za borbu protiv diskriminacije međusobno razmene iskustva po pitanju svoje savetodavne funkcije.  </w:t>
      </w:r>
    </w:p>
    <w:p w:rsidR="00D24FE0" w:rsidRPr="00D24FE0" w:rsidRDefault="00D24FE0" w:rsidP="00D24FE0">
      <w:pPr>
        <w:spacing w:after="100" w:afterAutospacing="1" w:line="276" w:lineRule="auto"/>
        <w:rPr>
          <w:rFonts w:cs="Arial"/>
          <w:lang w:val="sr-Latn-RS"/>
        </w:rPr>
      </w:pPr>
      <w:r w:rsidRPr="00D24FE0">
        <w:rPr>
          <w:rFonts w:cs="Arial"/>
          <w:spacing w:val="-1"/>
        </w:rPr>
        <w:t>Pored toga, delegacija eksperata EKRI posetila je krajem septembra Republiku Srbiju u sklopu petog ciklusa monitoringa i tom prilikom razgovarala s predstavnicima nezavisnih državnih institucija, republičkih organa vlasti, lokalnih samouprava i civilnog društva, kako bi stekli sveobuhvatnu sliku o merama koje država preduzima u borbi protiv rasizma, rasne diskriminacije i netolerancije. U okviru jednog od sastanaka, poverenica za zaštitu ravnopravnosti razgovarala je s članovima delegacije u Domu Narodne skupštine Republike Srbije. Komitet daje preporuke državama članicama Saveta Evrope i na osnovu uvida stečenog tokom monitoringa.</w:t>
      </w:r>
    </w:p>
    <w:p w:rsidR="00135D51" w:rsidRPr="00135D51" w:rsidRDefault="00135D51" w:rsidP="00135D51">
      <w:pPr>
        <w:spacing w:after="100" w:afterAutospacing="1" w:line="276" w:lineRule="auto"/>
        <w:rPr>
          <w:rFonts w:cs="Arial"/>
        </w:rPr>
      </w:pPr>
    </w:p>
    <w:p w:rsidR="00135D51" w:rsidRPr="00135D51" w:rsidRDefault="00D24FE0" w:rsidP="00D93153">
      <w:pPr>
        <w:pStyle w:val="Heading2"/>
        <w:numPr>
          <w:ilvl w:val="0"/>
          <w:numId w:val="33"/>
        </w:numPr>
        <w:ind w:left="426"/>
      </w:pPr>
      <w:bookmarkStart w:id="203" w:name="_Toc475543070"/>
      <w:bookmarkStart w:id="204" w:name="_Toc477248679"/>
      <w:bookmarkStart w:id="205" w:name="_Toc477251804"/>
      <w:r>
        <w:rPr>
          <w:rFonts w:ascii="Arial" w:hAnsi="Arial" w:cs="Arial"/>
          <w:lang w:val="sr-Latn-RS"/>
        </w:rPr>
        <w:t>Ostali vidovi saradnje</w:t>
      </w:r>
      <w:bookmarkEnd w:id="203"/>
      <w:bookmarkEnd w:id="204"/>
      <w:bookmarkEnd w:id="205"/>
    </w:p>
    <w:p w:rsidR="00D24FE0" w:rsidRPr="00D24FE0" w:rsidRDefault="00D24FE0" w:rsidP="00D24FE0">
      <w:pPr>
        <w:spacing w:after="100" w:afterAutospacing="1" w:line="276" w:lineRule="auto"/>
        <w:rPr>
          <w:rFonts w:cs="Arial"/>
        </w:rPr>
      </w:pPr>
      <w:r w:rsidRPr="00D24FE0">
        <w:rPr>
          <w:rFonts w:cs="Arial"/>
        </w:rPr>
        <w:t>Poverenik za zaštitu ravnopravnosti ostvaruje saradnju i s drugim relevantnim akterima koji svojim delovanjem daju doprinos u borbi protiv diskriminacije, uvažavanju različitosti i poštovanju načela ravnopravnosti. U ovom delu izveštaja dat je pregled najznačajnijih aktivnosti ostvarenih u saradnji s različitim partnerima.</w:t>
      </w:r>
    </w:p>
    <w:p w:rsidR="00D24FE0" w:rsidRPr="00D24FE0" w:rsidRDefault="00D24FE0" w:rsidP="00D24FE0">
      <w:pPr>
        <w:spacing w:after="100" w:afterAutospacing="1" w:line="276" w:lineRule="auto"/>
        <w:rPr>
          <w:rFonts w:cs="Arial"/>
        </w:rPr>
      </w:pPr>
      <w:r w:rsidRPr="00D24FE0">
        <w:rPr>
          <w:rFonts w:cs="Arial"/>
        </w:rPr>
        <w:lastRenderedPageBreak/>
        <w:t xml:space="preserve">I tokom 2016. godine Poverenik je nastavio uspešnu saradnju sa Crvenim krstom Srbije. Značajnija aktivnost bila je rad na zajedničkom projektu „Položaj starijih na selu“, u okviru kojeg je sprovedeno istraživanje o položaju starijih u ruralnim područjima, uz finansijsku podršku Populacionog fonda Ujedinjenih nacija (UNFPA). Rezultati ovog sveobuhvatnog istraživanja su prikazani u delu izveštaja koji se odnosi na diskriminaciju na osnovu starosnog doba. Na osnovu istraživanja date su i preporuke nadležnim organima za unapređenje položaja ove posebno ranjive društvene grupe. U okviru projekta, poverenica za zaštitu ravnopravnosti je, takođe, učestvovala u radu fokus grupa u više gradova, kojima su prisustvovali stariji stanovnici sela s ovih gradskih područja. Cilj je bio i upoznavanje sa svakodnevnim problemima starijih stanovnika u ruralnim područjima Srbije. Na fokus grupama, između ostalog, predstavljen je i način rada Poverenika za zaštitu ravnopravnosti, s posebnim akcentom na postupak podnošenja pritužbi i zaštitu od diskriminacije. </w:t>
      </w:r>
    </w:p>
    <w:p w:rsidR="00D24FE0" w:rsidRPr="00D24FE0" w:rsidRDefault="00D24FE0" w:rsidP="00D24FE0">
      <w:pPr>
        <w:spacing w:after="100" w:afterAutospacing="1" w:line="276" w:lineRule="auto"/>
        <w:rPr>
          <w:rFonts w:cs="Arial"/>
        </w:rPr>
      </w:pPr>
      <w:r w:rsidRPr="00D24FE0">
        <w:rPr>
          <w:rFonts w:cs="Arial"/>
        </w:rPr>
        <w:t>U organizaciji Poverenika i Crvenog krsta organizovana je konferencija „Ne zatvarajmo oči: zaustavimo zlostavljanje starijih“, a povodom  15. juna, Međunarodnog dana borbe protiv nasilja nad starijima. Poverenica za zaštitu ravnopravnosti prisustvovala je i obeležavanju 140 godina od osnivanja Crvenog krsta Srbija, jedne od petnaest organizacija Crvenog krsta koje su prve osnovane u svetu.</w:t>
      </w:r>
    </w:p>
    <w:p w:rsidR="00D24FE0" w:rsidRPr="00D24FE0" w:rsidRDefault="00D24FE0" w:rsidP="00D24FE0">
      <w:pPr>
        <w:spacing w:after="100" w:afterAutospacing="1" w:line="276" w:lineRule="auto"/>
        <w:rPr>
          <w:rFonts w:cs="Arial"/>
        </w:rPr>
      </w:pPr>
      <w:r w:rsidRPr="00D24FE0">
        <w:rPr>
          <w:rFonts w:cs="Arial"/>
        </w:rPr>
        <w:t xml:space="preserve">U okviru saradnje s Evropskim centrom za prava Roma iz Budimpešte (ERRC), Poverenik za zaštitu ravnopravnosti organizovao je po drugi put program stažiranja u stručnoj službi Poverenika za stažiste romske nacionalnosti. Cilj programa je osnaživanje pripadnika romske nacionalne manjine kroz upoznavanje s radom i funkcionisanjem Poverenika za zaštitu ravnopravnosti, sticanje praktičnog iskustva i znanja kroz svakodnevni rad u instituciji, produbljivanje znanja o različitim aspektima politika ravnopravnosti koje su usmerene na inkluziju romske zajednice, podizanje svesti o neophodnosti uključivanja svih manjinskih grupa u rad organa javne vlasti i praktična primena znanja i veština stečenih tokom studiranja i/ili prethodnog radnog iskustva. </w:t>
      </w:r>
    </w:p>
    <w:p w:rsidR="00D24FE0" w:rsidRPr="00D24FE0" w:rsidRDefault="00D24FE0" w:rsidP="00D24FE0">
      <w:pPr>
        <w:spacing w:after="100" w:afterAutospacing="1" w:line="276" w:lineRule="auto"/>
        <w:rPr>
          <w:rFonts w:cs="Arial"/>
        </w:rPr>
      </w:pPr>
      <w:r w:rsidRPr="00D24FE0">
        <w:rPr>
          <w:rFonts w:cs="Arial"/>
        </w:rPr>
        <w:t xml:space="preserve">U toku 2016. godine održan je sastanak s republičkom javnom tužiteljkom, s ciljem efikasnijeg postupanja u oblasti zaštite od diskriminacije, kao i s predsednikom Foruma sudija Srbije o zajedničkom delovanju u oblasti borbe protiv diskriminacije. </w:t>
      </w:r>
    </w:p>
    <w:p w:rsidR="00D24FE0" w:rsidRPr="00D24FE0" w:rsidRDefault="00D24FE0" w:rsidP="00D24FE0">
      <w:pPr>
        <w:spacing w:after="100" w:afterAutospacing="1" w:line="276" w:lineRule="auto"/>
        <w:rPr>
          <w:rFonts w:cs="Arial"/>
        </w:rPr>
      </w:pPr>
      <w:r w:rsidRPr="00D24FE0">
        <w:rPr>
          <w:rFonts w:cs="Arial"/>
        </w:rPr>
        <w:t xml:space="preserve">Poverenica za zaštitu ravnopravnosti sastala se i s članovima Upravnog odbora Saveta za štampu i Komisije za žalbe, prilikom čega je istaknuta važnost poštovanja Kodeksa novinara Srbije, kao i antidiskriminacionih propisa. </w:t>
      </w:r>
    </w:p>
    <w:p w:rsidR="00D24FE0" w:rsidRPr="00D24FE0" w:rsidRDefault="00D24FE0" w:rsidP="00D24FE0">
      <w:pPr>
        <w:spacing w:after="100" w:afterAutospacing="1" w:line="276" w:lineRule="auto"/>
        <w:rPr>
          <w:rFonts w:cs="Arial"/>
        </w:rPr>
      </w:pPr>
      <w:r w:rsidRPr="00D24FE0">
        <w:rPr>
          <w:rFonts w:cs="Arial"/>
        </w:rPr>
        <w:t>Poverenica za zaštitu ravnopravnosti učestvovala je u predstavljanju analize stanja u Srbiji u oblasti zaštite od diskriminacije na Pravnom fakultetu Univerziteta u Beogradu. Takođe, održala je veliki broj predavanja studentima i učenicima više fakulteta i škola u Beogradu, kao i polaznicima Škole ljudskih prava „Vojin Dimitrijević“. U okviru Dečije nedelje posetila je predškolce iz vrtića „Mala sirena“ PU Voždovac i razgovarala s njima.</w:t>
      </w:r>
    </w:p>
    <w:p w:rsidR="00D24FE0" w:rsidRPr="00D24FE0" w:rsidRDefault="00D24FE0" w:rsidP="00D24FE0">
      <w:pPr>
        <w:spacing w:after="100" w:afterAutospacing="1" w:line="276" w:lineRule="auto"/>
        <w:rPr>
          <w:rFonts w:cs="Arial"/>
        </w:rPr>
      </w:pPr>
      <w:r w:rsidRPr="00D24FE0">
        <w:rPr>
          <w:rFonts w:cs="Arial"/>
        </w:rPr>
        <w:t xml:space="preserve">U toku 2016. godine poverenica za zaštitu ravnopravnosti se sastala s predstavnicima organizacija civilnog društva i Nacionalnog saveta rumunske nacionalne manjine, u organizaciji ambasade Rumunije u Beogradu, na Srebrnom jezeru. Tom prilikom predstavljeni su mehanizmi zaštite koje je Republika Srbija uspostavila, s posebnim fokusom </w:t>
      </w:r>
      <w:r w:rsidRPr="00D24FE0">
        <w:rPr>
          <w:rFonts w:cs="Arial"/>
        </w:rPr>
        <w:lastRenderedPageBreak/>
        <w:t xml:space="preserve">na rad Poverenika i konkretne primere iz prakse, s ciljem unapređenja zaštite od diskriminacije nacionalnih manjina. </w:t>
      </w:r>
    </w:p>
    <w:p w:rsidR="00D24FE0" w:rsidRPr="00D24FE0" w:rsidRDefault="00D24FE0" w:rsidP="00D24FE0">
      <w:pPr>
        <w:spacing w:after="100" w:afterAutospacing="1" w:line="276" w:lineRule="auto"/>
        <w:rPr>
          <w:rFonts w:cs="Arial"/>
        </w:rPr>
      </w:pPr>
      <w:r w:rsidRPr="00D24FE0">
        <w:rPr>
          <w:rFonts w:cs="Arial"/>
        </w:rPr>
        <w:t xml:space="preserve">Poverenica je učestvovala u predstavljanju rezultata istraživanja „Suzbijanje diskriminacije u Republici Srbiji i MUP“, o stavovima pripadnika policije prema diskriminaciji, koju je organizovala Kriminalističko-policijska akademija. </w:t>
      </w:r>
    </w:p>
    <w:p w:rsidR="00D24FE0" w:rsidRPr="00D24FE0" w:rsidRDefault="00D24FE0" w:rsidP="00D24FE0">
      <w:pPr>
        <w:spacing w:after="100" w:afterAutospacing="1" w:line="276" w:lineRule="auto"/>
        <w:rPr>
          <w:rFonts w:cs="Arial"/>
        </w:rPr>
      </w:pPr>
      <w:r w:rsidRPr="00D24FE0">
        <w:rPr>
          <w:rFonts w:cs="Arial"/>
        </w:rPr>
        <w:t>Poverenica za zaštitu ravnopravnosti učestvovala je i na skupu „Uticaj Velikog rata na društveni položaj žena“, koji je organizovao Institut za istoriju oglašavanja, u saradnji s Muzejem primenjene umetnosti, uz podršku ambasada Velike Britanije, Kanade i Turske, i istakla je doprinos i angažman žena tog doba ne samo na prosvećivanju i emancipaciji već i u borbi za rodnu ravnopravnost pre jednog veka.</w:t>
      </w:r>
    </w:p>
    <w:p w:rsidR="00D24FE0" w:rsidRPr="00D24FE0" w:rsidRDefault="00D24FE0" w:rsidP="00D24FE0">
      <w:pPr>
        <w:spacing w:after="100" w:afterAutospacing="1" w:line="276" w:lineRule="auto"/>
        <w:rPr>
          <w:rFonts w:cs="Arial"/>
        </w:rPr>
      </w:pPr>
      <w:r w:rsidRPr="00D24FE0">
        <w:rPr>
          <w:rFonts w:cs="Arial"/>
        </w:rPr>
        <w:t xml:space="preserve">Povodom 21. septembra, Svetskog dana borbe protiv Alchajmerove bolesti, poverenica je sa zaposlenima učestvovala u manifestaciji u organizaciji Gerontološkog centra Beograd. Cilj je bio ukazivanje na teškoće obolelih od ove bolesti, ali i njihovih porodica, i potrebe da se više pažnje posveti rešavanju problema nedostatka potrebne podrške, s obzirom na činjenicu da prema dostupnim podacima u Srbiji živi oko 200.000 obolelih od Alchajmerove bolesti. Poverenica je takođe prisustvovala i svečanoj akademiji povodom obeležavanja dana Gerontološkog centra Beograd, kada je održana i manifestacija „Naša priča“ u Domu Bežanijska kosa. </w:t>
      </w:r>
    </w:p>
    <w:p w:rsidR="00D24FE0" w:rsidRPr="00D24FE0" w:rsidRDefault="00D24FE0" w:rsidP="00D24FE0">
      <w:pPr>
        <w:spacing w:after="100" w:afterAutospacing="1" w:line="276" w:lineRule="auto"/>
        <w:rPr>
          <w:rFonts w:cs="Arial"/>
        </w:rPr>
      </w:pPr>
      <w:r w:rsidRPr="00D24FE0">
        <w:rPr>
          <w:rFonts w:cs="Arial"/>
        </w:rPr>
        <w:t xml:space="preserve">Takođe, poverenica je učestvovala na konferenciji „Žene u sportu“, koju je, u Domu kulture „Studentski grad“, organizovao Fakultet za sport Univerziteta „Union – Nikola Tesla“. Tom prilikom istakla je da učešće žena u sportu nije zadovoljavajuće, s obzirom na to da se u Srbiji manje od 25% žena bavi rekreacijom ili sportom, a da podsticanje devojčica na bavljenje fizičkom kulturom nije dovoljno. </w:t>
      </w:r>
    </w:p>
    <w:p w:rsidR="00D24FE0" w:rsidRPr="00D24FE0" w:rsidRDefault="00D24FE0" w:rsidP="00D24FE0">
      <w:pPr>
        <w:spacing w:after="100" w:afterAutospacing="1" w:line="276" w:lineRule="auto"/>
        <w:rPr>
          <w:rFonts w:cs="Arial"/>
          <w:lang w:val="sr-Latn-RS"/>
        </w:rPr>
      </w:pPr>
      <w:r w:rsidRPr="00D24FE0">
        <w:rPr>
          <w:rFonts w:cs="Arial"/>
        </w:rPr>
        <w:t>U toku 2016. godine, kao rezultat zajedničkih aktivnosti Asocijacije medija, kompanije „Media News&amp;Consulting“ i Ambasade SAD u Beogradu održan je seminar posvećen unapređenju izveštavanja na temu „Rodna ravnopravnosti i mediji“. Predstavnik Poverenika za zaštitu ravnopravnosti održao je predavanje o diskriminaciji i rodnoj ravnopravnosti.</w:t>
      </w:r>
    </w:p>
    <w:p w:rsidR="00135D51" w:rsidRPr="00135D51" w:rsidRDefault="00135D51" w:rsidP="00135D51">
      <w:pPr>
        <w:spacing w:after="100" w:afterAutospacing="1" w:line="276" w:lineRule="auto"/>
        <w:rPr>
          <w:rFonts w:cs="Arial"/>
        </w:rPr>
      </w:pPr>
    </w:p>
    <w:p w:rsidR="00135D51" w:rsidRPr="00135D51" w:rsidRDefault="00115BCA" w:rsidP="00D93153">
      <w:pPr>
        <w:pStyle w:val="Heading3"/>
        <w:numPr>
          <w:ilvl w:val="0"/>
          <w:numId w:val="34"/>
        </w:numPr>
      </w:pPr>
      <w:bookmarkStart w:id="206" w:name="_Toc475543071"/>
      <w:bookmarkStart w:id="207" w:name="_Toc477248680"/>
      <w:bookmarkStart w:id="208" w:name="_Toc477251805"/>
      <w:r>
        <w:rPr>
          <w:lang w:val="sr-Latn-RS"/>
        </w:rPr>
        <w:t>Saradnja sa Evropskom mrežom tela za ravnopravnost (Ekvinet)</w:t>
      </w:r>
      <w:bookmarkEnd w:id="206"/>
      <w:bookmarkEnd w:id="207"/>
      <w:bookmarkEnd w:id="208"/>
    </w:p>
    <w:p w:rsidR="00115BCA" w:rsidRPr="00115BCA" w:rsidRDefault="00115BCA" w:rsidP="00115BCA">
      <w:pPr>
        <w:spacing w:after="100" w:afterAutospacing="1" w:line="276" w:lineRule="auto"/>
        <w:rPr>
          <w:rFonts w:cs="Arial"/>
        </w:rPr>
      </w:pPr>
      <w:r w:rsidRPr="00115BCA">
        <w:rPr>
          <w:rFonts w:cs="Arial"/>
        </w:rPr>
        <w:t>U toku 2016. godine nastavljena je saradnja Poverenika za zaštitu ravnopravnosti sa EKVINET-om, kroz učešće na radnim sastancima, treninzima i seminarima u organizaciji ove mreže. Poverenik za zaštitu ravnopravnosti Republike Srbije, kao i prethodnih godina, imao je važnu ulogu u okviru mreže, članstvom predstavnika institucije u Izvršnom odboru EKVINET-a, učešćem u radu godišnje skupštine i aktivnim učešćem u radu radnih grupa mreže za kreiranje praktičnih politika, rodnu ravnopravnost, komunikaciju, antidiskriminaciono pravo u praksi i strateški razvoj.</w:t>
      </w:r>
    </w:p>
    <w:p w:rsidR="00115BCA" w:rsidRPr="00115BCA" w:rsidRDefault="00115BCA" w:rsidP="00115BCA">
      <w:pPr>
        <w:spacing w:after="100" w:afterAutospacing="1" w:line="276" w:lineRule="auto"/>
        <w:rPr>
          <w:rFonts w:cs="Arial"/>
        </w:rPr>
      </w:pPr>
      <w:r w:rsidRPr="00115BCA">
        <w:rPr>
          <w:rFonts w:cs="Arial"/>
        </w:rPr>
        <w:t xml:space="preserve">U januaru 2016. godine predstavnici Poverenika su učestvovali na radnom sastanku Saveta Evrope, Evropske agencije za fundamentalna prava (FRA), Evropske mreže nacionalnih institucija za ljudska prava (ENHRI) i EKVINET-a, posvećenom zajedničkoj Platformi o </w:t>
      </w:r>
      <w:r w:rsidRPr="00115BCA">
        <w:rPr>
          <w:rFonts w:cs="Arial"/>
        </w:rPr>
        <w:lastRenderedPageBreak/>
        <w:t>socijalnim i ekonomskim pravima, s ciljem razmene znanja i iskustava o datoj temi i definisanja prioriteta za naredni period. Drugi deo sastanka je protekao u radu u manjim grupama, gde su učesnici predlagali aktivnosti relevantne za kreiranje Platforme. Na kraju sastanka, predstavnik Poverenika je predložio da sledeći sastanak radne grupe bude održan u Beogradu.</w:t>
      </w:r>
    </w:p>
    <w:p w:rsidR="00115BCA" w:rsidRPr="00115BCA" w:rsidRDefault="00115BCA" w:rsidP="00115BCA">
      <w:pPr>
        <w:spacing w:after="100" w:afterAutospacing="1" w:line="276" w:lineRule="auto"/>
        <w:rPr>
          <w:rFonts w:cs="Arial"/>
        </w:rPr>
      </w:pPr>
      <w:r w:rsidRPr="00115BCA">
        <w:rPr>
          <w:rFonts w:cs="Arial"/>
        </w:rPr>
        <w:t>Sredinom februara 2016. godine, predstavnici Poverenika su učestvovali na prvom godišnjem sastanku Radne grupe tela za kreiranje praktičnih politika EKVINET-a. Na sastanku su prezentovani rezultati i iskustva Srbije u primeni metodologije Evropskog instituta za rodnu ravnopravnost. Pored toga, predstavnik Poverenika upoznao je ostale članove Radne grupe s početkom primene metodologije za merenje rodne ravnopravnosti u Srbiji, čime je Srbija postala prva zemlja van EU koja primenjuje ovu metodologiju. Na sastanku Radne grupe diskutovano je i na temu „Rodna ravnopravnost iz perspektive ukrštene diskriminacije“. Predstavnik Poverenika istakao je da antidiskriminaciono zakonodavstvo Republike Srbije prepoznaje pojmove višestruke i ukrštene diskriminacije i predstavio je iskustva u postupanju po pritužbama u ovim slučajevima.</w:t>
      </w:r>
    </w:p>
    <w:p w:rsidR="00115BCA" w:rsidRPr="00115BCA" w:rsidRDefault="00115BCA" w:rsidP="00115BCA">
      <w:pPr>
        <w:spacing w:after="100" w:afterAutospacing="1" w:line="276" w:lineRule="auto"/>
        <w:rPr>
          <w:rFonts w:cs="Arial"/>
        </w:rPr>
      </w:pPr>
      <w:r w:rsidRPr="00115BCA">
        <w:rPr>
          <w:rFonts w:cs="Arial"/>
        </w:rPr>
        <w:t xml:space="preserve">Sastanak komunikacijske radne grupe EKVINET-a održan je u martu, a tema sastanka je bila diskriminacija migranata i uticaj medija na formiranje mišljenja javnog menjenja o migrantskoj krizi i migrantima. Tom prilikom predstavljeni su primeri dobre prakse. </w:t>
      </w:r>
    </w:p>
    <w:p w:rsidR="00115BCA" w:rsidRPr="00115BCA" w:rsidRDefault="00115BCA" w:rsidP="00115BCA">
      <w:pPr>
        <w:spacing w:after="100" w:afterAutospacing="1" w:line="276" w:lineRule="auto"/>
        <w:rPr>
          <w:rFonts w:cs="Arial"/>
        </w:rPr>
      </w:pPr>
      <w:r w:rsidRPr="00115BCA">
        <w:rPr>
          <w:rFonts w:cs="Arial"/>
        </w:rPr>
        <w:t>Početkom aprila 2016. godine, predstavnik Poverenika prisustvovao je seminaru koji je organizovan u Beču od strane EKVINET-a i austrijskog ombudsmana za osobe sa invaliditetom, na temu pristupačnosti i razumnog prilagođavanja za osobe sa invaliditetom. Na seminaru su prezentovana iskustva u radu austrijskog ombudsmana za osobe sa invaliditetom, a posebna pažnja je posvećena i konceptu razumnog prilagođavanja za osobe sa invaliditetom, u kontekstu člana 5. Direktive Saveta 2000/78/EK.</w:t>
      </w:r>
    </w:p>
    <w:p w:rsidR="00115BCA" w:rsidRPr="00115BCA" w:rsidRDefault="00115BCA" w:rsidP="00115BCA">
      <w:pPr>
        <w:spacing w:after="100" w:afterAutospacing="1" w:line="276" w:lineRule="auto"/>
        <w:rPr>
          <w:rFonts w:cs="Arial"/>
        </w:rPr>
      </w:pPr>
      <w:r w:rsidRPr="00115BCA">
        <w:rPr>
          <w:rFonts w:cs="Arial"/>
        </w:rPr>
        <w:t>Generalna skupština EKVINET-a održana je 29–30. septembra u Briselu. Na skupštini su, pored predstavnika Poverenika, učestvovali i rukovodioci tela za ravnopravnost svih država članica, a na samom sastanku je doneta odluka o primanju u članstvo institucije Ombudsmana za ljudska prava Bosne i Hercegovine. U drugom delu sednice je razmatran plan rada za 2017. godinu, s posebnim naglaskom na razvoj standarda tela za ravnopravnost, kao i mogućnostima korišćenja evropskih fondova za razvoj i sprovođenje projekata tela za ravnopravnost.</w:t>
      </w:r>
    </w:p>
    <w:p w:rsidR="00115BCA" w:rsidRPr="00115BCA" w:rsidRDefault="00115BCA" w:rsidP="00115BCA">
      <w:pPr>
        <w:spacing w:after="100" w:afterAutospacing="1" w:line="276" w:lineRule="auto"/>
        <w:rPr>
          <w:rFonts w:cs="Arial"/>
        </w:rPr>
      </w:pPr>
      <w:r w:rsidRPr="00115BCA">
        <w:rPr>
          <w:rFonts w:cs="Arial"/>
        </w:rPr>
        <w:t xml:space="preserve">U oktobru 2016. godine, na treningu EKVINET-a „Upotreba društvenih medija u telima za ravnopravnost“, uzeo je učešća i predstavnik Poverenika za zaštitu ravnopravnosti. Trening je održan s ciljem da obuči članove radne grupe za komunikacije za izradu strategija upotrebe društvenih mreža u poslu, kao i da podstakne razmenu znanja i iskustava. Na treningu je pomenut i najbolji primer iz prakse korišćenja  društvenih mreža i bilo je reči i o prevenciji negativnih pojava na društvenim mrežama, kao što su diskriminatorni sadržaji i govor mržnje. </w:t>
      </w:r>
    </w:p>
    <w:p w:rsidR="00115BCA" w:rsidRPr="00115BCA" w:rsidRDefault="00115BCA" w:rsidP="00115BCA">
      <w:pPr>
        <w:spacing w:after="100" w:afterAutospacing="1" w:line="276" w:lineRule="auto"/>
        <w:rPr>
          <w:rFonts w:cs="Arial"/>
        </w:rPr>
      </w:pPr>
      <w:r w:rsidRPr="00115BCA">
        <w:rPr>
          <w:rFonts w:cs="Arial"/>
        </w:rPr>
        <w:t xml:space="preserve">Početkom novembra 2016. godine, EKVINET je organizovao seminar o diskriminaciji na osnovu rase i etničkog porekla. Naglašena je potreba za senzitivisanjem zaposlenih u lokalnim samoupravama i obrazovnim institucijama, kako bi pripadnici ugroženih grupa lakše ostvarivali svoja prava prilikom pribavljanja dokumenata i pristupa obrazovanju. </w:t>
      </w:r>
    </w:p>
    <w:p w:rsidR="00115BCA" w:rsidRPr="00115BCA" w:rsidRDefault="00115BCA" w:rsidP="00115BCA">
      <w:pPr>
        <w:spacing w:after="100" w:afterAutospacing="1" w:line="276" w:lineRule="auto"/>
        <w:rPr>
          <w:rFonts w:cs="Arial"/>
        </w:rPr>
      </w:pPr>
      <w:r w:rsidRPr="00115BCA">
        <w:rPr>
          <w:rFonts w:cs="Arial"/>
        </w:rPr>
        <w:lastRenderedPageBreak/>
        <w:t>Radna grupa EKVINET-a za rodnu ravnopravnost sastala se u novembru, uz učešće predstavnika Poverenika. Važan segment sastanka se odnosio na predstavljanje Vodiča o jednakim zaradama, koji je ta radna grupa izradila. Takođe, na sastanku se  razgovaralo o sadržaju sledećeg priručnika koji radna grupa planira da izradi, a odnosi se na rodnu ravnopravnost u oblasti obrazovanja.</w:t>
      </w:r>
    </w:p>
    <w:p w:rsidR="00115BCA" w:rsidRPr="00115BCA" w:rsidRDefault="00115BCA" w:rsidP="00115BCA">
      <w:pPr>
        <w:spacing w:after="100" w:afterAutospacing="1" w:line="276" w:lineRule="auto"/>
        <w:rPr>
          <w:rFonts w:cs="Arial"/>
        </w:rPr>
      </w:pPr>
      <w:r w:rsidRPr="00115BCA">
        <w:rPr>
          <w:rFonts w:cs="Arial"/>
        </w:rPr>
        <w:t>Treći sastanak komunikacijske radne grupe EKVINET-a održan je u novembru. Cilj sastanka bilo je upoznavanje s primerima upotrebe sredstava za komunikaciju u procesu izmene propisa, kojom prilikom su predstavljeni projekti o eliminisanju govora mržnje i promociji ravnopravnosti na internetu. Pored toga, dogovoren je rad na izradi priručnika o upotrebi socijalnih medija u telima za ravnopravnost.</w:t>
      </w:r>
    </w:p>
    <w:p w:rsidR="00115BCA" w:rsidRPr="00115BCA" w:rsidRDefault="00115BCA" w:rsidP="00115BCA">
      <w:pPr>
        <w:spacing w:after="100" w:afterAutospacing="1" w:line="276" w:lineRule="auto"/>
        <w:rPr>
          <w:rFonts w:cs="Arial"/>
        </w:rPr>
      </w:pPr>
      <w:r w:rsidRPr="00115BCA">
        <w:rPr>
          <w:rFonts w:cs="Arial"/>
        </w:rPr>
        <w:t xml:space="preserve">U decembru 2016. godine predstavnici Poverenika su pohađali EKVINET-ov trening  „Klaster za strateške parnice“, na kojem su predstavnici nacionalnih tela za ravnopravnost predstavili aktuelne izazove u oblasti strateškog parničenja. Razmatrana su brojna pitanja u vezi s odabirom strateških slučajeva, fazama postupka, rizicima i ostalim pitanjima od značaja za strateške parnice. Postignut je dogovor o izradi priručnika o strateškim parnicama, u čijoj izradi bi učestvovali predstavnici svih tela za ravnopravnost koja su članovi EKVINET-a. </w:t>
      </w:r>
    </w:p>
    <w:p w:rsidR="00115BCA" w:rsidRPr="00115BCA" w:rsidRDefault="00115BCA" w:rsidP="00115BCA">
      <w:pPr>
        <w:spacing w:after="100" w:afterAutospacing="1" w:line="276" w:lineRule="auto"/>
        <w:rPr>
          <w:rFonts w:cs="Arial"/>
        </w:rPr>
      </w:pPr>
      <w:r w:rsidRPr="00115BCA">
        <w:rPr>
          <w:rFonts w:cs="Arial"/>
        </w:rPr>
        <w:t xml:space="preserve">Sredinom decembra 2016. godine u organizaciji EKVINET-a održan je trening  „Kvazisudske funkcije tela za ravnopravnost“. Razmenjena su iskustva u vezi s pružanjem pravnih saveta i podrškom žrtvama diskriminacije. </w:t>
      </w:r>
    </w:p>
    <w:p w:rsidR="00115BCA" w:rsidRPr="00115BCA" w:rsidRDefault="00115BCA" w:rsidP="00115BCA">
      <w:pPr>
        <w:spacing w:after="100" w:afterAutospacing="1" w:line="276" w:lineRule="auto"/>
        <w:rPr>
          <w:rFonts w:eastAsia="Times New Roman" w:cs="Arial"/>
          <w:lang w:val="sr-Latn-RS"/>
        </w:rPr>
      </w:pPr>
      <w:r w:rsidRPr="00115BCA">
        <w:rPr>
          <w:rFonts w:cs="Arial"/>
        </w:rPr>
        <w:t>Poseban vid saradnje u 2016. godini bila je podrška EKVINET-a Povereniku za zaštitu ravnopravnosti u jačanju regionalne saradnje i održavanju Regionalne konferencije u Beogradu. Izvršna direktorka EKVINET-a Ana Gaspard učestvovala je na konferenciji, a kao radni materijal svim prisutnim predstavnicima tela za ravnopravnost podeljen je dokument EKVINET-a Razvoj standarda za tela za ravnopravnost, koji je preveden na srpski jezik. Primena ovih standarda ima za cilj osnaživanje nacionalnih tela za ravnopravnost za suprotstavljanje diskriminaciji po različitim osnovama i omogućavanje rada i sprovođenja zakonom utvrđenih nadležnosti tela za ravnopravnost, uz poštovanje uspostavljenih standarda.</w:t>
      </w:r>
    </w:p>
    <w:p w:rsidR="00135D51" w:rsidRPr="00135D51" w:rsidRDefault="00135D51" w:rsidP="00135D51">
      <w:pPr>
        <w:spacing w:after="100" w:afterAutospacing="1" w:line="276" w:lineRule="auto"/>
        <w:rPr>
          <w:rFonts w:cs="Arial"/>
        </w:rPr>
      </w:pPr>
    </w:p>
    <w:p w:rsidR="00135D51" w:rsidRPr="00135D51" w:rsidRDefault="00115BCA" w:rsidP="00D93153">
      <w:pPr>
        <w:pStyle w:val="Heading3"/>
        <w:numPr>
          <w:ilvl w:val="0"/>
          <w:numId w:val="34"/>
        </w:numPr>
      </w:pPr>
      <w:bookmarkStart w:id="209" w:name="_Toc475543072"/>
      <w:bookmarkStart w:id="210" w:name="_Toc477248681"/>
      <w:bookmarkStart w:id="211" w:name="_Toc477251806"/>
      <w:r>
        <w:rPr>
          <w:lang w:val="sr-Latn-RS"/>
        </w:rPr>
        <w:t>Regionalna saradnja na unapređenju ravnopravnosti</w:t>
      </w:r>
      <w:bookmarkEnd w:id="209"/>
      <w:bookmarkEnd w:id="210"/>
      <w:bookmarkEnd w:id="211"/>
    </w:p>
    <w:p w:rsidR="00115BCA" w:rsidRPr="00115BCA" w:rsidRDefault="00115BCA" w:rsidP="00115BCA">
      <w:pPr>
        <w:spacing w:after="100" w:afterAutospacing="1" w:line="276" w:lineRule="auto"/>
        <w:rPr>
          <w:rFonts w:cs="Arial"/>
        </w:rPr>
      </w:pPr>
      <w:r w:rsidRPr="00115BCA">
        <w:rPr>
          <w:rFonts w:cs="Arial"/>
        </w:rPr>
        <w:t xml:space="preserve">U toku 2016. godine, u okviru regionalne saradnje, poverenica je prisustvovala regionalnoj konferenciji „Pravna zaštita od diskriminacije u Jugoistočnoj Evropi“, koja je održana u Crnoj Gori. Na konferenciji su predstavljeni rezultati regionalnog projekta „Pravna zaštita od diskriminacije“, a cilj projekta bio je poboljšanje metodologije i jačanje kapaciteta ključnih aktera u oblasti borbe protiv diskriminacije. Regionalni eksperti i pravnici iz zemalja Jugoistočne Evrope i stručnjaci iz Instituta za ljudska prava iz Beča sproveli su analizu borbe protiv diskriminacije s ciljem da se otkriju nedostaci u postupcima pravne zaštite, kao i da se identifikuju zajednička rešenja koja će ojačati institucije zemalja Jugoistočne Evrope koje se bave zaštitom ravnopravnosti. Republika Srbija je predstavljena kao primer dobre prakse u zaštiti od diskriminacije i unapređenju ravnopravnosti. Tom prilikom održan je i sastanak s predstavnicima Zaštitnika ljudskih prava Crne Gore i poverenicom za zaštitu od </w:t>
      </w:r>
      <w:r w:rsidRPr="00115BCA">
        <w:rPr>
          <w:rFonts w:cs="Arial"/>
        </w:rPr>
        <w:lastRenderedPageBreak/>
        <w:t>diskriminacije Republike Albanije. Na sastanku je dogovoreno učešće predstavnika ovih tela na konferenciji u Beogradu.</w:t>
      </w:r>
    </w:p>
    <w:p w:rsidR="00115BCA" w:rsidRPr="00115BCA" w:rsidRDefault="00115BCA" w:rsidP="00115BCA">
      <w:pPr>
        <w:spacing w:after="100" w:afterAutospacing="1" w:line="276" w:lineRule="auto"/>
        <w:rPr>
          <w:rFonts w:cs="Arial"/>
        </w:rPr>
      </w:pPr>
      <w:r w:rsidRPr="00115BCA">
        <w:rPr>
          <w:rFonts w:cs="Arial"/>
        </w:rPr>
        <w:t xml:space="preserve">Takođe, poverenica za zaštitu ravnopravnosti učestvovala je i na konferenciji „Jednaki u različitosti“, koja je održana u Sarajevu povodom obeležavanja dvadesetogodišnjice od osnivanja Ombudsmena za ljudska prava u Bosni i Hercegovini. </w:t>
      </w:r>
    </w:p>
    <w:p w:rsidR="00115BCA" w:rsidRPr="00115BCA" w:rsidRDefault="00115BCA" w:rsidP="00115BCA">
      <w:pPr>
        <w:spacing w:after="100" w:afterAutospacing="1" w:line="276" w:lineRule="auto"/>
        <w:rPr>
          <w:rFonts w:cs="Arial"/>
          <w:lang w:val="sr-Latn-RS"/>
        </w:rPr>
      </w:pPr>
      <w:r w:rsidRPr="00115BCA">
        <w:rPr>
          <w:rFonts w:cs="Arial"/>
        </w:rPr>
        <w:t>U sklopu regionalne saradnje poverenica je učestvovala na Regionalnoj konferenciji pod nazivom „Femicid Watch – za prevenciju femicida u Republici Hrvatskoj“, u organizaciji Pravobraniteljice za ravnopravnost polova Republike Hrvatske povodom Međunarodnog dana borbe protiv nasilja nad ženama, 25. novembra. Na konferenciji je, između ostalog, istaknuta neophodnost boljeg umrežavanja, koordinacije i zajedničkog delovanja svih učesnika uključenih u proces prevencije i suzbijanje nasilja nad ženama, te jačanja i formalizovanja saradnje s organizacijama civilnog društva. Takođe, prepoznata je neophodnost uvođenja rodno osetljive statistike za sve institucije, a posebno za sudove, kao i jačanje regionalne saradnje i češće razmene iskustava s ciljem sprovođenja dosledne politike „nulte tolerancije na nasilje nad ženama“.</w:t>
      </w:r>
    </w:p>
    <w:p w:rsidR="00135D51" w:rsidRPr="00135D51" w:rsidRDefault="00135D51" w:rsidP="00135D51">
      <w:pPr>
        <w:spacing w:after="100" w:afterAutospacing="1" w:line="276" w:lineRule="auto"/>
        <w:rPr>
          <w:rFonts w:cs="Arial"/>
        </w:rPr>
      </w:pPr>
    </w:p>
    <w:p w:rsidR="00135D51" w:rsidRPr="00135D51" w:rsidRDefault="00115BCA" w:rsidP="00D93153">
      <w:pPr>
        <w:pStyle w:val="Heading4"/>
        <w:numPr>
          <w:ilvl w:val="0"/>
          <w:numId w:val="35"/>
        </w:numPr>
        <w:tabs>
          <w:tab w:val="left" w:pos="851"/>
        </w:tabs>
        <w:spacing w:line="276" w:lineRule="auto"/>
        <w:ind w:left="851"/>
        <w:rPr>
          <w:b/>
        </w:rPr>
      </w:pPr>
      <w:bookmarkStart w:id="212" w:name="_Toc475543073"/>
      <w:bookmarkStart w:id="213" w:name="_Toc477248682"/>
      <w:bookmarkStart w:id="214" w:name="_Toc477251807"/>
      <w:r>
        <w:rPr>
          <w:lang w:val="sr-Latn-RS"/>
        </w:rPr>
        <w:t>Godišnja konferencija Poverenika povodom Međunarodnog dana tolerancije</w:t>
      </w:r>
      <w:bookmarkEnd w:id="212"/>
      <w:bookmarkEnd w:id="213"/>
      <w:bookmarkEnd w:id="214"/>
    </w:p>
    <w:p w:rsidR="00115BCA" w:rsidRPr="00115BCA" w:rsidRDefault="00115BCA" w:rsidP="00115BCA">
      <w:pPr>
        <w:spacing w:after="100" w:afterAutospacing="1" w:line="276" w:lineRule="auto"/>
        <w:rPr>
          <w:rFonts w:cs="Arial"/>
        </w:rPr>
      </w:pPr>
      <w:r w:rsidRPr="00115BCA">
        <w:rPr>
          <w:rFonts w:cs="Arial"/>
        </w:rPr>
        <w:t>Povodom 16. novembra, Međunarodnog dana tolerancije, Poverenik za zaštitu ravnopravnosti organizovao je konferenciju pod nazivom „Regionalna konferencija tela za ravnopravnost Jugoistočne Evrope“, a podršku u organizaciji pružili su Misija OEBS-a u Srbiji i Fondacija za otvoreno društvo Srbija. Konferenciji je prisustvovalo više od 200 predstavnika državnih organa, regionalnih tela za ravnopravnost, diplomatskih misija, EKVINET-a, civilnog sektora, medija i drugih.</w:t>
      </w:r>
    </w:p>
    <w:p w:rsidR="00115BCA" w:rsidRPr="00115BCA" w:rsidRDefault="00115BCA" w:rsidP="00115BCA">
      <w:pPr>
        <w:spacing w:after="100" w:afterAutospacing="1" w:line="276" w:lineRule="auto"/>
        <w:rPr>
          <w:rFonts w:cs="Arial"/>
        </w:rPr>
      </w:pPr>
      <w:r w:rsidRPr="00115BCA">
        <w:rPr>
          <w:rFonts w:cs="Arial"/>
        </w:rPr>
        <w:t>Na konferenciji je potpisana zajednička Izjava o saradnji tela za ravnopravnost Jugoistočne Evrope, koja predstavlja značajan korak ka uspostavljanju delotvornog modela regionalne saradnje tela za ravnopravnost ovog dela Evrope.</w:t>
      </w:r>
    </w:p>
    <w:p w:rsidR="00115BCA" w:rsidRPr="00115BCA" w:rsidRDefault="00115BCA" w:rsidP="00115BCA">
      <w:pPr>
        <w:spacing w:after="100" w:afterAutospacing="1" w:line="276" w:lineRule="auto"/>
        <w:rPr>
          <w:rFonts w:cs="Arial"/>
        </w:rPr>
      </w:pPr>
      <w:r w:rsidRPr="00115BCA">
        <w:rPr>
          <w:rFonts w:cs="Arial"/>
        </w:rPr>
        <w:t>Otvarajući konferenciju, poverenica za zaštitu ravnopravnosti istakla je značaj i ulogu saradnje tela za ravnopravnost u Jugoistočnoj Evropi, koja su svojim prisustvom na konferenciji u Beogradu pokazala spremnost da doprinesu efikasnijoj zaštiti ljudskih prava svih građana u regionu. Ova tela svojim svakodnevnim delovanjem treba da potvrđuju da je moguće živeti dostojanstveno i uz puno poštovanje ravnopravnosti u svim državama Jugoistočne Evrope.</w:t>
      </w:r>
    </w:p>
    <w:p w:rsidR="00115BCA" w:rsidRPr="00115BCA" w:rsidRDefault="00115BCA" w:rsidP="00115BCA">
      <w:pPr>
        <w:spacing w:after="100" w:afterAutospacing="1" w:line="276" w:lineRule="auto"/>
        <w:rPr>
          <w:rFonts w:cs="Arial"/>
        </w:rPr>
      </w:pPr>
      <w:r w:rsidRPr="00115BCA">
        <w:rPr>
          <w:rFonts w:cs="Arial"/>
        </w:rPr>
        <w:t xml:space="preserve">U uvodnom delu učesnicima skupa se obratila i predsednica Narodne skupštine Republike Srbije Maja Gojković i navela da je Srbija posvećena regionalnoj saradnji, miru i bezbednosti, a da je uloga Poverenika značajna u sprečavanju i borbi protiv svih oblika diskriminacije i doprinosi napretku države u ispunjavanju međunarodnih standarda. </w:t>
      </w:r>
    </w:p>
    <w:p w:rsidR="00115BCA" w:rsidRPr="00115BCA" w:rsidRDefault="00115BCA" w:rsidP="00115BCA">
      <w:pPr>
        <w:spacing w:after="100" w:afterAutospacing="1" w:line="276" w:lineRule="auto"/>
        <w:rPr>
          <w:rFonts w:cs="Arial"/>
        </w:rPr>
      </w:pPr>
      <w:r w:rsidRPr="00115BCA">
        <w:rPr>
          <w:rFonts w:cs="Arial"/>
        </w:rPr>
        <w:t xml:space="preserve">Novi šef Misije OEBS-a u Srbiji, Andrea Oricio, naglasio je da je organizacija ovakve konferencije dobar način da se ponudi platforma za regionalno umrežavanje i saradnju u oblasti zaštite od diskriminacije, budući da je ostvarivanje pune ravnopravnosti dugotrajan proces u svakoj zemlji. Istakao je značaj medija u stvaranju atmosfere „nulte tolerancije na </w:t>
      </w:r>
      <w:r w:rsidRPr="00115BCA">
        <w:rPr>
          <w:rFonts w:cs="Arial"/>
        </w:rPr>
        <w:lastRenderedPageBreak/>
        <w:t xml:space="preserve">diskriminaciju“ i naveo da je upravo iz tih razloga, u saradnji s Poverenikom za zaštitu ravnopravnosti, OEBS podržao uspostavljanje novinarske nagrade za toleranciju. </w:t>
      </w:r>
    </w:p>
    <w:p w:rsidR="00115BCA" w:rsidRPr="00115BCA" w:rsidRDefault="00115BCA" w:rsidP="00115BCA">
      <w:pPr>
        <w:spacing w:after="100" w:afterAutospacing="1" w:line="276" w:lineRule="auto"/>
        <w:rPr>
          <w:rFonts w:cs="Arial"/>
        </w:rPr>
      </w:pPr>
      <w:r w:rsidRPr="00115BCA">
        <w:rPr>
          <w:rFonts w:cs="Arial"/>
        </w:rPr>
        <w:t>Izvršna direktorka Evropske mreže tela za ravnopravnost, Ana Gaspar, istakla je da tela za zaštitu ravnopravnosti imaju važnu i složenu ulogu, koja nije uvek popularna, ali da regionalna saradnja pojačava njihove kapacitete.</w:t>
      </w:r>
    </w:p>
    <w:p w:rsidR="00115BCA" w:rsidRPr="00115BCA" w:rsidRDefault="00115BCA" w:rsidP="00115BCA">
      <w:pPr>
        <w:spacing w:after="100" w:afterAutospacing="1" w:line="276" w:lineRule="auto"/>
        <w:rPr>
          <w:rFonts w:cs="Arial"/>
        </w:rPr>
      </w:pPr>
      <w:r w:rsidRPr="00115BCA">
        <w:rPr>
          <w:rFonts w:cs="Arial"/>
        </w:rPr>
        <w:t>Prisutnima su se obratili i predstavnici institucija za zaštitu ravnopravnosti iz Albanije, Bosne i Hercegovine, Hrvatske, Makedonije i Crne Gore. Svi govornici su se saglasili da je neophodna regionalna saradnja na zaštiti ljudskih prava i u borbi protiv diskriminacije u svakoj oblasti života, a pravobraniteljica za ravnopravnost spolova Republike Hrvatske najavila je da će u cilju uspešnog nastavka regionalne saradnje koja je pokrenuta u Beogradu, iduće godine u Zagrebu ta institucija organizovati novi regionalni susret.</w:t>
      </w:r>
    </w:p>
    <w:p w:rsidR="00115BCA" w:rsidRPr="00115BCA" w:rsidRDefault="00115BCA" w:rsidP="00115BCA">
      <w:pPr>
        <w:spacing w:after="100" w:afterAutospacing="1" w:line="276" w:lineRule="auto"/>
        <w:rPr>
          <w:rFonts w:cs="Arial"/>
        </w:rPr>
      </w:pPr>
      <w:r w:rsidRPr="00115BCA">
        <w:rPr>
          <w:rFonts w:cs="Arial"/>
        </w:rPr>
        <w:t>U nastavku konferencije usledilo je potpisivanje Izjave o saradnji devet tela za ravnopravnost u Jugoistočnoj Evropi – Poverenika za zaštitu od diskriminacije Republike Albanije, Institucije ombudsmana za ljudska prava Bosne i Hercegovine, Zaštitnika ljudskih prava i sloboda Crne Gore, Komisije za zaštitu od diskriminacije Republike Makedonije, Pučke pravobraniteljice Republike Hrvatske, Pravobaniteljice za ravnopravnost spolova Republike Hrvatske, Pravobraniteljice za osobe sa invaliditetom Republike Hrvatske, Pravobraniteljice za decu Republike Hrvatske i Poverenika za zaštitu ravnopravnosti Republike Srbije.</w:t>
      </w:r>
    </w:p>
    <w:p w:rsidR="00115BCA" w:rsidRPr="00115BCA" w:rsidRDefault="00115BCA" w:rsidP="00115BCA">
      <w:pPr>
        <w:spacing w:after="100" w:afterAutospacing="1" w:line="276" w:lineRule="auto"/>
        <w:rPr>
          <w:rFonts w:cs="Arial"/>
        </w:rPr>
      </w:pPr>
      <w:r w:rsidRPr="00115BCA">
        <w:rPr>
          <w:rFonts w:cs="Arial"/>
        </w:rPr>
        <w:t xml:space="preserve">Na konferenciji su dodeljene i Godišnje medijske nagrade za toleranciju Poverenika za zaštitu ravnopravnosti i OEBS-a, a nagrađenim novinarima i novinarkama nagrade su uručili poverenica i šef misije OEBS-a u Srbiji. </w:t>
      </w:r>
    </w:p>
    <w:p w:rsidR="00115BCA" w:rsidRPr="00115BCA" w:rsidRDefault="00115BCA" w:rsidP="00115BCA">
      <w:pPr>
        <w:spacing w:after="100" w:afterAutospacing="1" w:line="276" w:lineRule="auto"/>
        <w:rPr>
          <w:rFonts w:cs="Arial"/>
          <w:lang w:val="sr-Latn-RS"/>
        </w:rPr>
      </w:pPr>
      <w:r w:rsidRPr="00115BCA">
        <w:rPr>
          <w:rFonts w:cs="Arial"/>
        </w:rPr>
        <w:t>Kriterijumi za dodelu medijske nagradu bili su: prepoznavanje fenomena diskriminacije, doprinos smanjivanju stereotipa i predrasuda, afirmativno izveštavanje, promovisanje ravnopravnosti i upotreba rodno osetljivog jezika. Pobednici su odlučeni glasovima sedmočlanog stručnog žirija, koji su činili: predsednik Nezavisnog udruženja novinara Srbije Vukašin Obradović, predstavnica Udruženja novinara Srbije Jelena Spasić, predstavnica Nezavisnog društva novinara Vojvodine Dragana Prodanović, profesor Fakulteta političkih nauka Veselin Kljajić, profesorka Fakulteta za medije i komunikacije Jelisaveta Blagojević, šefica Odeljenja za medije Misije OEBS-a u Srbiji Gordana Janković i šefica Kabineta poverenice za zaštitu ravnopravnosti Antigona Andonov. Za dobitnike i dobitnice prve nagrade biće organizovana poseta jednoj od evropskih medijskih kuća koja ima dobre prakse u izveštavanju o ljudskim pravima.</w:t>
      </w:r>
    </w:p>
    <w:p w:rsidR="00D26F6F" w:rsidRPr="00D26F6F" w:rsidRDefault="00D26F6F" w:rsidP="00D26F6F">
      <w:pPr>
        <w:spacing w:after="100" w:afterAutospacing="1" w:line="276" w:lineRule="auto"/>
        <w:contextualSpacing/>
        <w:rPr>
          <w:rFonts w:cs="Arial"/>
        </w:rPr>
      </w:pPr>
      <w:r w:rsidRPr="00D26F6F">
        <w:rPr>
          <w:rFonts w:cs="Arial"/>
        </w:rPr>
        <w:t>Ove godine prvi put je dodeljena i nagrada za najbolji studentski rad, studentkinjama Dunji Funduk i Teodori Gavrilović za tekst „Žene na muškom zadatku“, objavljenom u Žurnalistu. Žiri za studentsku nagradu činili su predstavnici Poverenika za zaštitu ravnopravnosti, Misije OEBS-a u Srbiji, Udruženja novinara Srbije, Nezavisnog udruženja novinara Srbije i predstavnica Nezavisnog društva novinara Vojvodine.</w:t>
      </w:r>
    </w:p>
    <w:p w:rsidR="00D26F6F" w:rsidRPr="00D26F6F" w:rsidRDefault="00D26F6F" w:rsidP="00D26F6F">
      <w:pPr>
        <w:spacing w:after="100" w:afterAutospacing="1" w:line="276" w:lineRule="auto"/>
        <w:contextualSpacing/>
        <w:rPr>
          <w:rFonts w:cs="Arial"/>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r>
        <w:rPr>
          <w:rFonts w:cs="Arial"/>
        </w:rPr>
        <w:lastRenderedPageBrea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30" type="#_x0000_t176" style="position:absolute;left:0;text-align:left;margin-left:27.05pt;margin-top:4.9pt;width:405.35pt;height:344.9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CcNmgIAADYFAAAOAAAAZHJzL2Uyb0RvYy54bWysVNuO0zAQfUfiHyy/d3OR0zbRpqt2SxDS&#10;ApUWPsB1nMbCsYPtNl0Q/87Yabtd4AEh+uB6Mp6Zc8ZnfHt37CQ6cGOFViVObmKMuGK6FmpX4s+f&#10;qskcI+uoqqnUipf4iVt8t3j96nboC57qVsuaGwRJlC2GvsStc30RRZa1vKP2RvdcgbPRpqMOTLOL&#10;akMHyN7JKI3jaTRoU/dGM24tfF2PTrwI+ZuGM/exaSx3SJYYsLmwmrBu/RotbmmxM7RvBTvBoP+A&#10;oqNCQdFLqjV1FO2N+C1VJ5jRVjfuhuku0k0jGA8cgE0S/8LmsaU9D1ygOba/tMn+v7Tsw2FjkKhL&#10;TDBStIMrqqQeWEuNK9BSOm4UdRxtxhYj4js29LaAwMd+Yzxn2z9o9sUipe9bqnZ8aYweWk5rwJn4&#10;89GLAG9YCEXb4b2uoSDdOx2ad2xM5xNCW9Ax3NHT5Y740SEGH7OEzHKSYcTAR6bxNI+zUIMW5/De&#10;WPeW6w75TYkb4APAjLuwOZEJNenhwTqPkRbnuMBJS1FXQspgmN32Xhp0oKCiVV6l1fpU0l4fk8of&#10;VtqHjRnHLwAdanifJxFU8T1PUhKv0nxSTeezCalINsln8XwSJ/kqn8YkJ+vqhweYkKIVdc3Vg1D8&#10;rNCE/J0CTrMyaitoFA0lzrM0C9xfoLfXJOPw+xPJToAkkBRdieeXQ7Tw1/1G1UCbFo4KOe6jl/BD&#10;l6EH5//QlSAOr4dRV+64PQY9pr6618pW10+gFqPhLmGE4bGBTavNN4wGGNwS2697ajhG8p0CxeUJ&#10;IX7Sg0GyWQqGufZsrz1UMUhVYofRuL134+uw743YtVApCa1SegkqbUSQyjOqk7ZhOAOn00Pip//a&#10;Dqeen7vFTwAAAP//AwBQSwMEFAAGAAgAAAAhAIo4n1XjAAAACwEAAA8AAABkcnMvZG93bnJldi54&#10;bWxMj8FKxDAQhu+C7xBG8CJu4trVtjZdRFBQUXSVBW/ZZmzLNpPSZLvVp3c86WkY5uOf7y+Wk+vE&#10;iENoPWk4mykQSJW3LdUa3t9uT1MQIRqypvOEGr4wwLI8PChMbv2eXnFcxVpwCIXcaGhi7HMpQ9Wg&#10;M2HmeyS+ffrBmcjrUEs7mD2Hu07OlbqQzrTEHxrT402D1Xa1cxru1h/ePqbT+HL/8LQO6fa5+16c&#10;aH18NF1fgYg4xT8YfvVZHUp22vgd2SA6DedqziTPRZKAYCBNVAZiw6S6zDKQZSH/dyh/AAAA//8D&#10;AFBLAQItABQABgAIAAAAIQC2gziS/gAAAOEBAAATAAAAAAAAAAAAAAAAAAAAAABbQ29udGVudF9U&#10;eXBlc10ueG1sUEsBAi0AFAAGAAgAAAAhADj9If/WAAAAlAEAAAsAAAAAAAAAAAAAAAAALwEAAF9y&#10;ZWxzLy5yZWxzUEsBAi0AFAAGAAgAAAAhAFGgJw2aAgAANgUAAA4AAAAAAAAAAAAAAAAALgIAAGRy&#10;cy9lMm9Eb2MueG1sUEsBAi0AFAAGAAgAAAAhAIo4n1XjAAAACwEAAA8AAAAAAAAAAAAAAAAA9AQA&#10;AGRycy9kb3ducmV2LnhtbFBLBQYAAAAABAAEAPMAAAAEBgAAAAA=&#10;" fillcolor="#b9f2fd" stroked="f">
            <v:textbox style="mso-next-textbox:#Flowchart: Alternate Process 4">
              <w:txbxContent>
                <w:p w:rsidR="0011214A" w:rsidRPr="006313ED" w:rsidRDefault="0011214A" w:rsidP="00135D51">
                  <w:pPr>
                    <w:pStyle w:val="NoSpacing"/>
                    <w:rPr>
                      <w:rFonts w:ascii="Arial" w:hAnsi="Arial" w:cs="Arial"/>
                      <w:b/>
                      <w:sz w:val="20"/>
                      <w:szCs w:val="20"/>
                    </w:rPr>
                  </w:pPr>
                  <w:r>
                    <w:rPr>
                      <w:rFonts w:ascii="Arial" w:hAnsi="Arial" w:cs="Arial"/>
                      <w:b/>
                      <w:sz w:val="20"/>
                      <w:szCs w:val="20"/>
                    </w:rPr>
                    <w:t>I mesto</w:t>
                  </w:r>
                  <w:r w:rsidRPr="006313ED">
                    <w:rPr>
                      <w:rFonts w:ascii="Arial" w:hAnsi="Arial" w:cs="Arial"/>
                      <w:b/>
                      <w:sz w:val="20"/>
                      <w:szCs w:val="20"/>
                    </w:rPr>
                    <w:t>:</w:t>
                  </w:r>
                </w:p>
                <w:p w:rsidR="0011214A" w:rsidRDefault="0011214A" w:rsidP="00D93153">
                  <w:pPr>
                    <w:pStyle w:val="NoSpacing"/>
                    <w:numPr>
                      <w:ilvl w:val="0"/>
                      <w:numId w:val="4"/>
                    </w:numPr>
                    <w:rPr>
                      <w:rFonts w:ascii="Arial" w:hAnsi="Arial" w:cs="Arial"/>
                      <w:sz w:val="20"/>
                      <w:szCs w:val="20"/>
                    </w:rPr>
                  </w:pPr>
                  <w:r w:rsidRPr="00115BCA">
                    <w:rPr>
                      <w:rFonts w:ascii="Arial" w:hAnsi="Arial" w:cs="Arial"/>
                      <w:i/>
                      <w:sz w:val="20"/>
                      <w:szCs w:val="20"/>
                    </w:rPr>
                    <w:t xml:space="preserve">Kategorija štampa / online mediji – za tekst objavljen u nedeljniku Novi magazin, „Starost kao novi početak“, novinarke Bojane Milovanović, agencija BETA </w:t>
                  </w:r>
                </w:p>
                <w:p w:rsidR="0011214A" w:rsidRDefault="0011214A" w:rsidP="00D93153">
                  <w:pPr>
                    <w:pStyle w:val="NoSpacing"/>
                    <w:numPr>
                      <w:ilvl w:val="0"/>
                      <w:numId w:val="4"/>
                    </w:numPr>
                    <w:rPr>
                      <w:rFonts w:ascii="Arial" w:hAnsi="Arial" w:cs="Arial"/>
                      <w:sz w:val="20"/>
                      <w:szCs w:val="20"/>
                    </w:rPr>
                  </w:pPr>
                  <w:r w:rsidRPr="00115BCA">
                    <w:rPr>
                      <w:rFonts w:ascii="Arial" w:hAnsi="Arial" w:cs="Arial"/>
                      <w:i/>
                      <w:sz w:val="20"/>
                      <w:szCs w:val="20"/>
                    </w:rPr>
                    <w:t>Kategorija reportaža – za televizijsku reportažu „Oni pomeraju granice – život u otvorenoj sredini“, novinarke i urednice Nadežde Gaće, Novi magazin</w:t>
                  </w:r>
                </w:p>
                <w:p w:rsidR="0011214A" w:rsidRPr="00115BCA" w:rsidRDefault="0011214A" w:rsidP="00D93153">
                  <w:pPr>
                    <w:pStyle w:val="NoSpacing"/>
                    <w:numPr>
                      <w:ilvl w:val="0"/>
                      <w:numId w:val="4"/>
                    </w:numPr>
                    <w:rPr>
                      <w:rFonts w:ascii="Arial" w:hAnsi="Arial" w:cs="Arial"/>
                      <w:sz w:val="20"/>
                      <w:szCs w:val="20"/>
                    </w:rPr>
                  </w:pPr>
                  <w:r w:rsidRPr="00115BCA">
                    <w:rPr>
                      <w:rFonts w:ascii="Arial" w:hAnsi="Arial" w:cs="Arial"/>
                      <w:i/>
                      <w:sz w:val="20"/>
                      <w:szCs w:val="20"/>
                    </w:rPr>
                    <w:t>Kategorija radio/TV – za prilog „U Srbiji 19.000 ljudi lišeno poslovne sposobnosti“, novinarke Biljane Radulović, RTS</w:t>
                  </w:r>
                </w:p>
                <w:p w:rsidR="0011214A" w:rsidRPr="00115BCA" w:rsidRDefault="0011214A" w:rsidP="00115BCA">
                  <w:pPr>
                    <w:pStyle w:val="NoSpacing"/>
                    <w:ind w:left="720"/>
                    <w:rPr>
                      <w:rFonts w:ascii="Arial" w:hAnsi="Arial" w:cs="Arial"/>
                      <w:sz w:val="20"/>
                      <w:szCs w:val="20"/>
                    </w:rPr>
                  </w:pPr>
                </w:p>
                <w:p w:rsidR="0011214A" w:rsidRPr="006313ED" w:rsidRDefault="0011214A" w:rsidP="00135D51">
                  <w:pPr>
                    <w:pStyle w:val="NoSpacing"/>
                    <w:rPr>
                      <w:rFonts w:ascii="Arial" w:hAnsi="Arial" w:cs="Arial"/>
                      <w:b/>
                      <w:sz w:val="20"/>
                      <w:szCs w:val="20"/>
                    </w:rPr>
                  </w:pPr>
                  <w:r>
                    <w:rPr>
                      <w:rFonts w:ascii="Arial" w:hAnsi="Arial" w:cs="Arial"/>
                      <w:b/>
                      <w:sz w:val="20"/>
                      <w:szCs w:val="20"/>
                    </w:rPr>
                    <w:t>II mesto</w:t>
                  </w:r>
                  <w:r w:rsidRPr="006313ED">
                    <w:rPr>
                      <w:rFonts w:ascii="Arial" w:hAnsi="Arial" w:cs="Arial"/>
                      <w:b/>
                      <w:sz w:val="20"/>
                      <w:szCs w:val="20"/>
                    </w:rPr>
                    <w:t>:</w:t>
                  </w:r>
                </w:p>
                <w:p w:rsidR="0011214A" w:rsidRDefault="0011214A" w:rsidP="00D93153">
                  <w:pPr>
                    <w:pStyle w:val="NoSpacing"/>
                    <w:numPr>
                      <w:ilvl w:val="0"/>
                      <w:numId w:val="5"/>
                    </w:numPr>
                    <w:rPr>
                      <w:rFonts w:ascii="Arial" w:hAnsi="Arial" w:cs="Arial"/>
                      <w:sz w:val="20"/>
                      <w:szCs w:val="20"/>
                    </w:rPr>
                  </w:pPr>
                  <w:r w:rsidRPr="00115BCA">
                    <w:rPr>
                      <w:rFonts w:ascii="Arial" w:hAnsi="Arial" w:cs="Arial"/>
                      <w:i/>
                      <w:sz w:val="20"/>
                      <w:szCs w:val="20"/>
                    </w:rPr>
                    <w:t xml:space="preserve">Kategorija štampa / online mediji – za članak „Deca izbeglice u opasnosti od iskorišćavanja“, novinara Filipa Rudića, CINS </w:t>
                  </w:r>
                </w:p>
                <w:p w:rsidR="0011214A" w:rsidRDefault="0011214A" w:rsidP="00D93153">
                  <w:pPr>
                    <w:pStyle w:val="NoSpacing"/>
                    <w:numPr>
                      <w:ilvl w:val="0"/>
                      <w:numId w:val="5"/>
                    </w:numPr>
                    <w:rPr>
                      <w:rFonts w:ascii="Arial" w:hAnsi="Arial" w:cs="Arial"/>
                      <w:sz w:val="20"/>
                      <w:szCs w:val="20"/>
                    </w:rPr>
                  </w:pPr>
                  <w:r w:rsidRPr="00115BCA">
                    <w:rPr>
                      <w:rFonts w:ascii="Arial" w:hAnsi="Arial" w:cs="Arial"/>
                      <w:i/>
                      <w:sz w:val="20"/>
                      <w:szCs w:val="20"/>
                    </w:rPr>
                    <w:t>Kategorija reportaža – za emisiju „Dubravko“ iz serijala Jedan život, novinara Olivere Milenković i Miška Bilbije, VICE Srbija</w:t>
                  </w:r>
                </w:p>
                <w:p w:rsidR="0011214A" w:rsidRPr="00115BCA" w:rsidRDefault="0011214A" w:rsidP="00D93153">
                  <w:pPr>
                    <w:pStyle w:val="NoSpacing"/>
                    <w:numPr>
                      <w:ilvl w:val="0"/>
                      <w:numId w:val="5"/>
                    </w:numPr>
                    <w:rPr>
                      <w:rFonts w:ascii="Arial" w:hAnsi="Arial" w:cs="Arial"/>
                      <w:sz w:val="20"/>
                      <w:szCs w:val="20"/>
                    </w:rPr>
                  </w:pPr>
                  <w:r w:rsidRPr="00115BCA">
                    <w:rPr>
                      <w:rFonts w:ascii="Arial" w:hAnsi="Arial" w:cs="Arial"/>
                      <w:i/>
                      <w:sz w:val="20"/>
                      <w:szCs w:val="20"/>
                    </w:rPr>
                    <w:t>Kategorija radio/TV – za prilog „Deca prosjaci – osim sažaljenja, da li možemo još nešto“</w:t>
                  </w:r>
                  <w:r>
                    <w:rPr>
                      <w:rFonts w:ascii="Arial" w:hAnsi="Arial" w:cs="Arial"/>
                      <w:i/>
                      <w:sz w:val="20"/>
                      <w:szCs w:val="20"/>
                    </w:rPr>
                    <w:t>, novinarke Jelene Kikić, TV B92</w:t>
                  </w:r>
                </w:p>
                <w:p w:rsidR="0011214A" w:rsidRPr="00115BCA" w:rsidRDefault="0011214A" w:rsidP="00115BCA">
                  <w:pPr>
                    <w:pStyle w:val="NoSpacing"/>
                    <w:ind w:left="720"/>
                    <w:rPr>
                      <w:rFonts w:ascii="Arial" w:hAnsi="Arial" w:cs="Arial"/>
                      <w:sz w:val="20"/>
                      <w:szCs w:val="20"/>
                    </w:rPr>
                  </w:pPr>
                </w:p>
                <w:p w:rsidR="0011214A" w:rsidRPr="006313ED" w:rsidRDefault="0011214A" w:rsidP="00135D51">
                  <w:pPr>
                    <w:pStyle w:val="NoSpacing"/>
                    <w:rPr>
                      <w:rFonts w:ascii="Arial" w:hAnsi="Arial" w:cs="Arial"/>
                      <w:b/>
                      <w:sz w:val="20"/>
                      <w:szCs w:val="20"/>
                    </w:rPr>
                  </w:pPr>
                  <w:r>
                    <w:rPr>
                      <w:rFonts w:ascii="Arial" w:hAnsi="Arial" w:cs="Arial"/>
                      <w:b/>
                      <w:sz w:val="20"/>
                      <w:szCs w:val="20"/>
                    </w:rPr>
                    <w:t>III mesto</w:t>
                  </w:r>
                  <w:r w:rsidRPr="006313ED">
                    <w:rPr>
                      <w:rFonts w:ascii="Arial" w:hAnsi="Arial" w:cs="Arial"/>
                      <w:b/>
                      <w:sz w:val="20"/>
                      <w:szCs w:val="20"/>
                    </w:rPr>
                    <w:t>:</w:t>
                  </w:r>
                  <w:r w:rsidRPr="006313ED">
                    <w:rPr>
                      <w:rFonts w:ascii="Arial" w:hAnsi="Arial" w:cs="Arial"/>
                      <w:b/>
                      <w:sz w:val="20"/>
                      <w:szCs w:val="20"/>
                      <w:lang w:val="sr-Cyrl-CS"/>
                    </w:rPr>
                    <w:t xml:space="preserve"> </w:t>
                  </w:r>
                </w:p>
                <w:p w:rsidR="0011214A" w:rsidRPr="00115BCA" w:rsidRDefault="0011214A" w:rsidP="00D93153">
                  <w:pPr>
                    <w:pStyle w:val="NoSpacing"/>
                    <w:numPr>
                      <w:ilvl w:val="0"/>
                      <w:numId w:val="6"/>
                    </w:numPr>
                    <w:rPr>
                      <w:rFonts w:ascii="Arial" w:hAnsi="Arial" w:cs="Arial"/>
                      <w:sz w:val="20"/>
                      <w:szCs w:val="20"/>
                    </w:rPr>
                  </w:pPr>
                  <w:r w:rsidRPr="00115BCA">
                    <w:rPr>
                      <w:rFonts w:ascii="Arial" w:hAnsi="Arial" w:cs="Arial"/>
                      <w:i/>
                      <w:sz w:val="20"/>
                      <w:szCs w:val="20"/>
                    </w:rPr>
                    <w:t xml:space="preserve">Kategorija štampa / online mediji – za tekst o položaju LGBT zajednice „Od pretnji smrću do udarca u glavu, stomak i kičmu“, novinarke Jelene Diković, dnevni list Danas  </w:t>
                  </w:r>
                </w:p>
                <w:p w:rsidR="0011214A" w:rsidRDefault="0011214A" w:rsidP="00D93153">
                  <w:pPr>
                    <w:pStyle w:val="NoSpacing"/>
                    <w:numPr>
                      <w:ilvl w:val="0"/>
                      <w:numId w:val="6"/>
                    </w:numPr>
                    <w:rPr>
                      <w:rFonts w:ascii="Arial" w:hAnsi="Arial" w:cs="Arial"/>
                      <w:i/>
                      <w:sz w:val="20"/>
                      <w:szCs w:val="20"/>
                    </w:rPr>
                  </w:pPr>
                  <w:r w:rsidRPr="00115BCA">
                    <w:rPr>
                      <w:rFonts w:ascii="Arial" w:hAnsi="Arial" w:cs="Arial"/>
                      <w:i/>
                      <w:sz w:val="20"/>
                      <w:szCs w:val="20"/>
                    </w:rPr>
                    <w:t xml:space="preserve">Kategorija reportaža – za reportažu „Život i standardi: Pravo na pravdu“, novinarke Tatjane Manojlović, RTS </w:t>
                  </w:r>
                </w:p>
                <w:p w:rsidR="0011214A" w:rsidRPr="00115BCA" w:rsidRDefault="0011214A" w:rsidP="00D93153">
                  <w:pPr>
                    <w:pStyle w:val="NoSpacing"/>
                    <w:numPr>
                      <w:ilvl w:val="0"/>
                      <w:numId w:val="6"/>
                    </w:numPr>
                    <w:rPr>
                      <w:rFonts w:ascii="Arial" w:hAnsi="Arial" w:cs="Arial"/>
                      <w:i/>
                      <w:sz w:val="20"/>
                      <w:szCs w:val="20"/>
                    </w:rPr>
                  </w:pPr>
                  <w:r w:rsidRPr="00115BCA">
                    <w:rPr>
                      <w:rFonts w:ascii="Arial" w:hAnsi="Arial" w:cs="Arial"/>
                      <w:i/>
                      <w:sz w:val="20"/>
                      <w:szCs w:val="20"/>
                    </w:rPr>
                    <w:t>Kategorija radio/TV – za prilog „LGBT Parada može i drugačije“, novinara Adama Santovca, televizija N1</w:t>
                  </w:r>
                </w:p>
              </w:txbxContent>
            </v:textbox>
          </v:shape>
        </w:pict>
      </w: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7A3F28" w:rsidRDefault="007A3F28" w:rsidP="00D26F6F">
      <w:pPr>
        <w:spacing w:after="100" w:afterAutospacing="1" w:line="276" w:lineRule="auto"/>
        <w:contextualSpacing/>
        <w:rPr>
          <w:rFonts w:cs="Arial"/>
          <w:lang w:val="sr-Latn-RS"/>
        </w:rPr>
      </w:pPr>
    </w:p>
    <w:p w:rsidR="00D26F6F" w:rsidRPr="00D26F6F" w:rsidRDefault="00D26F6F" w:rsidP="00D26F6F">
      <w:pPr>
        <w:spacing w:after="100" w:afterAutospacing="1" w:line="276" w:lineRule="auto"/>
        <w:contextualSpacing/>
        <w:rPr>
          <w:rFonts w:cs="Arial"/>
        </w:rPr>
      </w:pPr>
      <w:r w:rsidRPr="00D26F6F">
        <w:rPr>
          <w:rFonts w:cs="Arial"/>
        </w:rPr>
        <w:t>U tematskom delu konferencije bilo je reči o iskustvima iz regiona, postojećim izazovima i mogućim rešenjima za efikasnije suzbijanje diskriminacije u oblasti rada i zapošljavanja. Izvršna direktorka EKVINET-a istakla je da je praksa EKVINET-a pokazala da su ključne prepreke i izazovi u oblasti zapošljavanja nedovoljno prijavljivanje slučajeva diskriminacije i da postoji potreba za delotvornim, srazmernim i strožim sankcijama za nepoštovanje načela ravnopravnosti u ovoj oblasti. Predstavnici tela za ravnopravnost koja su potpisala Izjavu o zajedničkoj saradnji predstavili su primere dobre prakse u svojim državama.</w:t>
      </w:r>
    </w:p>
    <w:p w:rsidR="00D26F6F" w:rsidRPr="00D26F6F" w:rsidRDefault="00D26F6F" w:rsidP="00D26F6F">
      <w:pPr>
        <w:spacing w:after="100" w:afterAutospacing="1" w:line="276" w:lineRule="auto"/>
        <w:contextualSpacing/>
        <w:rPr>
          <w:rFonts w:cs="Arial"/>
          <w:lang w:val="sr-Latn-RS"/>
        </w:rPr>
      </w:pPr>
      <w:r w:rsidRPr="00D26F6F">
        <w:rPr>
          <w:rFonts w:cs="Arial"/>
        </w:rPr>
        <w:t>Mediji su pokazali izuzetno interesovanje za prvo regionalno okupljanje, a svečani deo konferencije i potpisivanje Izjave o saradnji tela za ravnopravnost u Jugoistočnoj Evropi direktno je prenosio Javni servis Srbije na drugom programu (RTS 2).</w:t>
      </w:r>
    </w:p>
    <w:p w:rsidR="00135D51" w:rsidRDefault="00135D51" w:rsidP="00135D51">
      <w:pPr>
        <w:spacing w:after="100" w:afterAutospacing="1" w:line="276" w:lineRule="auto"/>
        <w:contextualSpacing/>
        <w:rPr>
          <w:rFonts w:cs="Arial"/>
          <w:lang w:val="sr-Latn-RS"/>
        </w:rPr>
      </w:pPr>
    </w:p>
    <w:p w:rsidR="007A3F28" w:rsidRPr="007A3F28" w:rsidRDefault="007A3F28" w:rsidP="00135D51">
      <w:pPr>
        <w:spacing w:after="100" w:afterAutospacing="1" w:line="276" w:lineRule="auto"/>
        <w:contextualSpacing/>
        <w:rPr>
          <w:rFonts w:cs="Arial"/>
          <w:lang w:val="sr-Latn-RS"/>
        </w:rPr>
      </w:pPr>
    </w:p>
    <w:p w:rsidR="00135D51" w:rsidRPr="00135D51" w:rsidRDefault="00D26F6F" w:rsidP="003C103D">
      <w:pPr>
        <w:pStyle w:val="Heading1"/>
        <w:spacing w:after="360"/>
        <w:ind w:left="0" w:firstLine="0"/>
        <w:jc w:val="left"/>
      </w:pPr>
      <w:bookmarkStart w:id="215" w:name="_Toc477248683"/>
      <w:bookmarkStart w:id="216" w:name="_Toc477251808"/>
      <w:r>
        <w:rPr>
          <w:lang w:val="sr-Latn-RS"/>
        </w:rPr>
        <w:t>medijsko izveštavanje</w:t>
      </w:r>
      <w:bookmarkEnd w:id="215"/>
      <w:bookmarkEnd w:id="216"/>
    </w:p>
    <w:p w:rsidR="00D26F6F" w:rsidRPr="00D26F6F" w:rsidRDefault="00D26F6F" w:rsidP="00D26F6F">
      <w:pPr>
        <w:spacing w:after="100" w:afterAutospacing="1" w:line="276" w:lineRule="auto"/>
        <w:rPr>
          <w:rFonts w:cs="Arial"/>
        </w:rPr>
      </w:pPr>
      <w:r w:rsidRPr="00D26F6F">
        <w:rPr>
          <w:rFonts w:cs="Arial"/>
        </w:rPr>
        <w:t xml:space="preserve">Aktivnosti Poverenika za zaštitu ravnopravnosti rezultirale su, između ostalog, i znatno većim interesovanjem medija za teme ravnopravnosti, tolerancije i zaštite ljudskih prava. U toku 2016. godine mediji su kontinuirano pratili rad institucije Poverenika, a teme često pronalazili upravo u preporukama, upozorenjima i izjavama poverenice. Jedna od najviše zastupljenih tema, nažalost, bila je nasilje u partnerskim i porodičnim odnosima i diskriminacija žena. Jedan od razloga aktuelnosti ove teme bio je i broj žena ubijenih u partnerskom i porodičnom </w:t>
      </w:r>
      <w:r w:rsidRPr="00D26F6F">
        <w:rPr>
          <w:rFonts w:cs="Arial"/>
        </w:rPr>
        <w:lastRenderedPageBreak/>
        <w:t>nasilju, kao i donošenje Zakona o sprečavanju nasilja u porodici i izmene Krivičnog zakonika. Poverenica je na ovaj problem i potrebu za efikasnijom zaštitom kontinuirano ukazivala učestvujući na različitim tribinama, skupovima i gostovanjima u različitim informativnim emisijama.</w:t>
      </w:r>
    </w:p>
    <w:p w:rsidR="00D26F6F" w:rsidRPr="00D26F6F" w:rsidRDefault="00D26F6F" w:rsidP="00D26F6F">
      <w:pPr>
        <w:spacing w:after="100" w:afterAutospacing="1" w:line="276" w:lineRule="auto"/>
        <w:rPr>
          <w:rFonts w:cs="Arial"/>
        </w:rPr>
      </w:pPr>
      <w:r w:rsidRPr="00D26F6F">
        <w:rPr>
          <w:rFonts w:cs="Arial"/>
        </w:rPr>
        <w:t xml:space="preserve">Pažnju novinara privukle su posebno i konferencija o položaju žena i devojčica sa invaliditetom i konferencija o ranim, prisilnim i dečijim brakovima u Srbiji, koje su bile povod da mediji i nakon samih događaja nastave da se bave ovim temama. </w:t>
      </w:r>
    </w:p>
    <w:p w:rsidR="00D26F6F" w:rsidRPr="00D26F6F" w:rsidRDefault="00D26F6F" w:rsidP="00D26F6F">
      <w:pPr>
        <w:spacing w:after="100" w:afterAutospacing="1" w:line="276" w:lineRule="auto"/>
        <w:rPr>
          <w:rFonts w:cs="Arial"/>
        </w:rPr>
      </w:pPr>
      <w:r w:rsidRPr="00D26F6F">
        <w:rPr>
          <w:rFonts w:cs="Arial"/>
        </w:rPr>
        <w:t>Novinari su u određenoj meri izveštavali i o seksističkim uvredama na socijalnim medijima, a najčešće su bile u pitanju javne ličnosti iz sveta politike, redovno prenoseći upozorenja i saopštenja poverenice. Velika pažnja posvećena je Predlogu zakona o ravnopravnosti muškaraca i žena i njegovom povlačenju iz skupštinske procedure, kao i rezultatima Indeksa rodne ravnopravnosti Evropskog instituta za rodnu ravnopravnost, koji je prvi put u istraživanje uključio i  Republiku Srbiju, kao jedinu zemlju koja nije članica EU.</w:t>
      </w:r>
    </w:p>
    <w:p w:rsidR="00D26F6F" w:rsidRPr="00D26F6F" w:rsidRDefault="00D26F6F" w:rsidP="00D26F6F">
      <w:pPr>
        <w:spacing w:after="100" w:afterAutospacing="1" w:line="276" w:lineRule="auto"/>
        <w:rPr>
          <w:rFonts w:cs="Arial"/>
        </w:rPr>
      </w:pPr>
      <w:r w:rsidRPr="00D26F6F">
        <w:rPr>
          <w:rFonts w:cs="Arial"/>
        </w:rPr>
        <w:t xml:space="preserve">Pored toga, u toku 2016. godine mediji su pokazali veće interesovanje za položaj starijih građana. Interesovanje medija privukla su i dva istraživanja Poverenika i Crvenog krsta – na početku godine o nasilju nad starijim osobama, a krajem 2016. o položaju starijih na selu. Takođe, tema međugeneracijske solidarnosti koju je institucija Poverenika kroz svoje aktivnosti istakla kao jedan od društvenih imperativa današnjice, nalazila je mesta u medijima, koji su prepoznali svoju ulogu u promovisanju ljudskih prava starijih osoba, ali i neophodnost da se o starenju ne govori samo iz perspektive godina. Zbog toga je veliki publicitet imao skup koji je Poverenik organizovao povodom 1. oktobra, Međunarodnog dana starijih, kojem su prisustvovali korisnici Gerontološkog centra Beograd i učenici iz 10 beogradskih osnovnih i srednjih škola i gimnazija, uz podršku Ministarstva prosvete, nauke i tehnološkog razvoja i Delegacije EU u Srbiji. Istovremeno, svakog meseca specijalizovani časopis Penzije objavljivao je kolumnu poverenice o položaju starijih osoba u Srbiji. </w:t>
      </w:r>
    </w:p>
    <w:p w:rsidR="00D26F6F" w:rsidRPr="00D26F6F" w:rsidRDefault="00D26F6F" w:rsidP="00D26F6F">
      <w:pPr>
        <w:spacing w:after="100" w:afterAutospacing="1" w:line="276" w:lineRule="auto"/>
        <w:rPr>
          <w:rFonts w:cs="Arial"/>
        </w:rPr>
      </w:pPr>
      <w:r w:rsidRPr="00D26F6F">
        <w:rPr>
          <w:rFonts w:cs="Arial"/>
        </w:rPr>
        <w:t xml:space="preserve">Nešto manji broj priloga u medijima odnosio se na položaj osoba s invaliditetom, iako su iz godine u godinu teme koje se bave problemima s kojima se one susreću sve zastupljenije. Učešće Poverenika na Beogradskom maratonu, u saradnji sa Savezom za sport osoba sa invaliditetom Beograda, bio je jedan od povoda  da novinari ukažu na položaj osoba sa invaliditetom, kao i na još uvek prisutne arhitektonske barijere. Mediji su takođe analizirali i dopune Zakona o sprečavanju diskriminacije osoba sa invaliditetom, kojim je propisana upotreba pečata koji sadrži podatke o ličnom identitetu ili pečata sa ugraviranim potpisom osobe sa invaliditetom koja nije u mogućnosti da se potpiše. Pored toga, lokalni mediji su tematski obrađivali problem zapošljavanja osoba sa invaliditetom, jer je zakonom propisano da se preduzetnici mogu osloboditi obaveza zapošljavanja osoba sa invaliditetom plaćanjem penala. Mediji su se u manjem obimu bavili pravima osoba sa mentalnim invaliditetom i problemima sa kojima se u obrazovnom sistemu suočavaju deca sa smetnjama u razvoju. </w:t>
      </w:r>
    </w:p>
    <w:p w:rsidR="00D26F6F" w:rsidRPr="00D26F6F" w:rsidRDefault="00D26F6F" w:rsidP="00D26F6F">
      <w:pPr>
        <w:spacing w:after="100" w:afterAutospacing="1" w:line="276" w:lineRule="auto"/>
        <w:rPr>
          <w:rFonts w:cs="Arial"/>
        </w:rPr>
      </w:pPr>
      <w:r w:rsidRPr="00D26F6F">
        <w:rPr>
          <w:rFonts w:cs="Arial"/>
        </w:rPr>
        <w:t xml:space="preserve">Za položaj LGBT osoba iz godine u godinu postoji veliko medijsko interesovanje. Međutim, jedan broj štampanih i onlajn medija iznosi diskriminatorne stavove, o čemu svedoče i podnete pritužbe, u kojima je Poverenik utvrdio diskriminaciju i doneo mišljenje s preporukama. Takođe, poverenica je u nekoliko navrata osudila uvredljive i omalovažavajuće tekstove o LGBT osobama, kojima se vređa njihovo dostojanstvo i ugrožavaju njihova prava. </w:t>
      </w:r>
      <w:r w:rsidRPr="00D26F6F">
        <w:rPr>
          <w:rFonts w:cs="Arial"/>
        </w:rPr>
        <w:lastRenderedPageBreak/>
        <w:t xml:space="preserve">Medijski su propraćeni Međunarodni dan borbe protiv homofobije i transfobije, zatim Međunarodni dan ponosa, kao i Parada ponosa. </w:t>
      </w:r>
    </w:p>
    <w:p w:rsidR="00D26F6F" w:rsidRPr="00D26F6F" w:rsidRDefault="00D26F6F" w:rsidP="00D26F6F">
      <w:pPr>
        <w:spacing w:after="100" w:afterAutospacing="1" w:line="276" w:lineRule="auto"/>
        <w:rPr>
          <w:rFonts w:cs="Arial"/>
        </w:rPr>
      </w:pPr>
      <w:r w:rsidRPr="00D26F6F">
        <w:rPr>
          <w:rFonts w:cs="Arial"/>
        </w:rPr>
        <w:t>Kada su u pitanju nacionalne manjine, mediji su i u toku 2016. najviše izveštavali o položaju Roma, s tim što je primetan pomak u broju tekstova i priloga koji posebno govore o pravima Romkinja i činjenici da su one u većem riziku da budu izložene višestrukoj diskriminaciji. Pojačano je bilo i interesovanje lokalnih medija za teme koje se odnose na inkluziju Roma i Romkinja, o čemu je pisano tokom cele godine.</w:t>
      </w:r>
    </w:p>
    <w:p w:rsidR="00D26F6F" w:rsidRPr="00D26F6F" w:rsidRDefault="00D26F6F" w:rsidP="00D26F6F">
      <w:pPr>
        <w:spacing w:after="100" w:afterAutospacing="1" w:line="276" w:lineRule="auto"/>
        <w:rPr>
          <w:rFonts w:cs="Arial"/>
        </w:rPr>
      </w:pPr>
      <w:r w:rsidRPr="00D26F6F">
        <w:rPr>
          <w:rFonts w:cs="Arial"/>
        </w:rPr>
        <w:t xml:space="preserve">U odnosu na 2015. godinu smanjen je u određenom obimu broj izveštavanja o izbeglicama i azilantima, a mediji su se  migrantskom krizom bavili uglavnom kada je bilo neposrednog povoda. Izuzetak su izveštaji o deci migrantima, o čijem je teškom položaju bilo nekoliko reportaža. </w:t>
      </w:r>
    </w:p>
    <w:p w:rsidR="00D26F6F" w:rsidRPr="00D26F6F" w:rsidRDefault="00D26F6F" w:rsidP="00D26F6F">
      <w:pPr>
        <w:spacing w:after="100" w:afterAutospacing="1" w:line="276" w:lineRule="auto"/>
        <w:rPr>
          <w:rFonts w:cs="Arial"/>
        </w:rPr>
      </w:pPr>
      <w:r w:rsidRPr="00D26F6F">
        <w:rPr>
          <w:rFonts w:cs="Arial"/>
        </w:rPr>
        <w:t>Izveštavanje o zdravstvenom stanju kao osnovi diskriminacije, tokom 2016. godine odnosilo se sporadično na diskriminaciju dece sa retkim bolestima i teškoćama sa kojima se suočavaju u svakodnevnom životu. Veliki broj tekstova bio je posvećen Svetskom danu borbe protiv HIV/AIDS-a i položaju osoba koje žive sa HIV-om.</w:t>
      </w:r>
    </w:p>
    <w:p w:rsidR="00D26F6F" w:rsidRPr="00D26F6F" w:rsidRDefault="00D26F6F" w:rsidP="00D26F6F">
      <w:pPr>
        <w:spacing w:after="100" w:afterAutospacing="1" w:line="276" w:lineRule="auto"/>
        <w:rPr>
          <w:rFonts w:cs="Arial"/>
        </w:rPr>
      </w:pPr>
      <w:r w:rsidRPr="00D26F6F">
        <w:rPr>
          <w:rFonts w:cs="Arial"/>
        </w:rPr>
        <w:t xml:space="preserve">Sumirajući medijsku scenu 2016. godine iz ugla Poverenika za zaštitu ravnopravnosti, zaključak je da, iako u nekim segmentima postoji pomak u izveštavanju, još uvek je jedan broj medija nedovoljno zainteresovan za problem diskriminacije. Kada je u pitanju izveštavanje o aktivnostima i delovanju Poverenika za zaštitu ravnopravnosti, najveće interesovanje medija izazvala je Regionalna konferencija povodom Međunarodnog dana tolerancije, dodela godišnjih novinarskih nagrada za toleranciju, predstavljanje Istraživanja o odnosu građana i građanki Srbije prema diskriminaciji, obeležavanje Međunarodnog dana starijih, kao i predstavljanje medijskog priručnika. Takođe, saradnja s novinarskim udruženjima i Savetom za štampu doprinela je kvalitetu izveštavanja o važnosti poštovanja ljudskih prava i unapređenju ravnopravnosti. </w:t>
      </w:r>
    </w:p>
    <w:p w:rsidR="00D26F6F" w:rsidRPr="00D26F6F" w:rsidRDefault="00D26F6F" w:rsidP="00D26F6F">
      <w:pPr>
        <w:spacing w:after="100" w:afterAutospacing="1" w:line="276" w:lineRule="auto"/>
        <w:rPr>
          <w:rFonts w:cs="Arial"/>
          <w:lang w:val="sr-Latn-RS"/>
        </w:rPr>
      </w:pPr>
      <w:r w:rsidRPr="00D26F6F">
        <w:rPr>
          <w:rFonts w:cs="Arial"/>
        </w:rPr>
        <w:t>Može se zaključiti da, iako jedan broj tekstova i priloga nažalost podstiče dalje širenje stereotipa, predrasuda i diskriminatornih stavova, u 2016. godini je znatno povećan broj tekstova i priloga koji temama diskriminacije, ravnopravnosti i tolerancije prilaze s mnogo više senzibilisanosti, uz prepoznavanje načina na koji mogu ne samo da informišu već i da edukuju i promovišu vrednosti i poštovanje različitosti.</w:t>
      </w:r>
    </w:p>
    <w:p w:rsidR="00135D51" w:rsidRPr="00135D51" w:rsidRDefault="00135D51" w:rsidP="00135D51">
      <w:pPr>
        <w:spacing w:after="100" w:afterAutospacing="1" w:line="276" w:lineRule="auto"/>
        <w:rPr>
          <w:rFonts w:cs="Arial"/>
        </w:rPr>
      </w:pPr>
    </w:p>
    <w:p w:rsidR="00135D51" w:rsidRPr="00135D51" w:rsidRDefault="00D26F6F" w:rsidP="00135D51">
      <w:pPr>
        <w:pStyle w:val="Heading1"/>
        <w:ind w:left="0" w:firstLine="0"/>
        <w:jc w:val="left"/>
      </w:pPr>
      <w:bookmarkStart w:id="217" w:name="_Toc477248684"/>
      <w:bookmarkStart w:id="218" w:name="_Toc477251809"/>
      <w:r>
        <w:rPr>
          <w:lang w:val="sr-Latn-RS"/>
        </w:rPr>
        <w:t>publikacije poverenika</w:t>
      </w:r>
      <w:bookmarkEnd w:id="217"/>
      <w:bookmarkEnd w:id="218"/>
    </w:p>
    <w:p w:rsidR="00D26F6F" w:rsidRPr="00D26F6F" w:rsidRDefault="00D26F6F" w:rsidP="00D26F6F">
      <w:pPr>
        <w:tabs>
          <w:tab w:val="left" w:pos="284"/>
        </w:tabs>
        <w:spacing w:after="100" w:afterAutospacing="1" w:line="276" w:lineRule="auto"/>
        <w:rPr>
          <w:rFonts w:cs="Arial"/>
        </w:rPr>
      </w:pPr>
      <w:r w:rsidRPr="00D26F6F">
        <w:rPr>
          <w:rFonts w:cs="Arial"/>
        </w:rPr>
        <w:t>U cilju unapređivanja ravnopravnosti, kao i boljeg informisanja građana o radu institucije, Poverenik za zaštitu ravnopravnosti objavio je nekoliko publikacija i brošura tokom 2016. godine. Svi ovi priručnici, zbornici i brošure dostupni su i u elektronskoj formi, na internet prezentaciji Poverenika za zaštitu ravnopravnosti www.ravnopravnost.gov.rs:</w:t>
      </w:r>
    </w:p>
    <w:p w:rsidR="00D26F6F" w:rsidRPr="00D26F6F" w:rsidRDefault="00D26F6F" w:rsidP="00D93153">
      <w:pPr>
        <w:numPr>
          <w:ilvl w:val="0"/>
          <w:numId w:val="7"/>
        </w:numPr>
        <w:tabs>
          <w:tab w:val="left" w:pos="284"/>
        </w:tabs>
        <w:spacing w:after="100" w:afterAutospacing="1" w:line="276" w:lineRule="auto"/>
        <w:rPr>
          <w:rFonts w:cs="Arial"/>
        </w:rPr>
      </w:pPr>
      <w:r w:rsidRPr="00D26F6F">
        <w:rPr>
          <w:rFonts w:cs="Arial"/>
        </w:rPr>
        <w:t xml:space="preserve">Istraživanje „Odnos građana i građanki prema diskriminaciji“. – Treće po redu istraživanje od početka rada institucije sprovedeno je kao deo IPA Tvining projekta Evropske unije koji ima za cilj punu zaštitu ravnopravnosti i postizanje nulte </w:t>
      </w:r>
      <w:r w:rsidRPr="00D26F6F">
        <w:rPr>
          <w:rFonts w:cs="Arial"/>
        </w:rPr>
        <w:lastRenderedPageBreak/>
        <w:t>tolerancije na diskriminaciju, kroz ojačavanje i primenu zakonodavnog okvira u oblasti ljudskih prava i manjina.</w:t>
      </w:r>
    </w:p>
    <w:p w:rsidR="00D26F6F" w:rsidRPr="00D26F6F" w:rsidRDefault="00D26F6F" w:rsidP="00D93153">
      <w:pPr>
        <w:numPr>
          <w:ilvl w:val="0"/>
          <w:numId w:val="7"/>
        </w:numPr>
        <w:tabs>
          <w:tab w:val="left" w:pos="284"/>
        </w:tabs>
        <w:spacing w:after="100" w:afterAutospacing="1" w:line="276" w:lineRule="auto"/>
        <w:rPr>
          <w:rFonts w:cs="Arial"/>
        </w:rPr>
      </w:pPr>
      <w:r w:rsidRPr="00D26F6F">
        <w:rPr>
          <w:rFonts w:cs="Arial"/>
        </w:rPr>
        <w:t>Priručnik za prepoznavanje slučajeva diskriminacije pred organima javne vlasti. – Ovaj svojevrsni vodič fokusira one oblike diskriminacije koji se pojavljuju pred organima javne vlasti pružajući zaposlenima u organima javne vlasti dodatnu pomoć za primenu antidiskriminacionih propisa i prepoznavanje diskriminacije. Publikacija je nastala u saradnji i uz podršku GIZ-a.</w:t>
      </w:r>
    </w:p>
    <w:p w:rsidR="00D26F6F" w:rsidRPr="00D26F6F" w:rsidRDefault="00D26F6F" w:rsidP="00D93153">
      <w:pPr>
        <w:numPr>
          <w:ilvl w:val="0"/>
          <w:numId w:val="7"/>
        </w:numPr>
        <w:tabs>
          <w:tab w:val="left" w:pos="284"/>
        </w:tabs>
        <w:spacing w:after="100" w:afterAutospacing="1" w:line="276" w:lineRule="auto"/>
        <w:rPr>
          <w:rFonts w:cs="Arial"/>
        </w:rPr>
      </w:pPr>
      <w:r w:rsidRPr="00D26F6F">
        <w:rPr>
          <w:rFonts w:cs="Arial"/>
        </w:rPr>
        <w:t>Priručnik za novinare i novinarke: Borba za ravnopravnost. – Publikacija koja je nastala uz podršku Misije OEBS-a u Srbiji, zamišljena je kao vodič svim novinarima koje se bave temama ravnopravnosti i nediskriminacije, uz informacije o načinima postupanja i primere iz prakse Poverenika za zaštitu ravnopravnosti, ali i Evropskog suda za ljudska prava. Publikacija takođe sadrži „Rečnik tolerancije“, odnosno listu antidiskriminatornih, rodno senzitivnih i manje poznatih termina s objašnjenjima.</w:t>
      </w:r>
    </w:p>
    <w:p w:rsidR="00D26F6F" w:rsidRPr="00D26F6F" w:rsidRDefault="00D26F6F" w:rsidP="00D93153">
      <w:pPr>
        <w:numPr>
          <w:ilvl w:val="0"/>
          <w:numId w:val="7"/>
        </w:numPr>
        <w:tabs>
          <w:tab w:val="left" w:pos="284"/>
        </w:tabs>
        <w:spacing w:after="100" w:afterAutospacing="1" w:line="276" w:lineRule="auto"/>
        <w:rPr>
          <w:rFonts w:cs="Arial"/>
        </w:rPr>
      </w:pPr>
      <w:r w:rsidRPr="00D26F6F">
        <w:rPr>
          <w:rFonts w:cs="Arial"/>
        </w:rPr>
        <w:t>Prevencija segregacije, razvoj inkluzivnih upisnih politika i desegregacija škola i odeljenja: međunarodna iskustva i predlozi za unapređenje prakse u Srbiji. – Publikacija je nastala u saradnji sa Unicefom, s ciljem da omogući prepoznavanje problema segregacije, ali i da pruži pregled mera za prevenciju, prvenstveno kroz razvoj inkluzivnog obrazovanja. Priručnik sadrži i komparativni prikaz modela desegregacije u pojedinim evropskim zemljama, kao i predlog za ostvarenje procesa desegregacije u našoj zemlji kroz konkretne korake koje različiti akteri preduzimaju da bi se kompletno obrazovno okruženje pretvorilo u inkluzivni nediskriminatorni obrazovni kontekst.</w:t>
      </w:r>
    </w:p>
    <w:p w:rsidR="00D26F6F" w:rsidRPr="00D26F6F" w:rsidRDefault="00D26F6F" w:rsidP="00D93153">
      <w:pPr>
        <w:numPr>
          <w:ilvl w:val="0"/>
          <w:numId w:val="7"/>
        </w:numPr>
        <w:tabs>
          <w:tab w:val="left" w:pos="284"/>
        </w:tabs>
        <w:spacing w:after="100" w:afterAutospacing="1" w:line="276" w:lineRule="auto"/>
        <w:rPr>
          <w:rFonts w:cs="Arial"/>
        </w:rPr>
      </w:pPr>
      <w:r w:rsidRPr="00D26F6F">
        <w:rPr>
          <w:rFonts w:cs="Arial"/>
        </w:rPr>
        <w:t xml:space="preserve">Zbirka radova studenata i studentkinja – konferencija povodom Međunarodnog dana starijih osoba. – U pitanju je zbornik radova učesnika i učesnica takmičenja u simulaciji suđenja u oblasti zaštite od diskriminacije, koji su svojim esejima učestvovali na konkursu Poverenika za zaštitu ravnopravnosti u okviru projekta koji finansira Fondacija za otvoreno društvo Srbija. Eseji su nastali kao želja i potreba da se o starijima u Srbiji ne govori samo iz perspektive godina i ne samo na njihov dan, 1. oktobar, već da se o njihovom položaju govori iz ugla međugeneracijske solidarnosti. </w:t>
      </w:r>
    </w:p>
    <w:p w:rsidR="00135D51" w:rsidRPr="00D26F6F" w:rsidRDefault="00D26F6F" w:rsidP="00D93153">
      <w:pPr>
        <w:numPr>
          <w:ilvl w:val="0"/>
          <w:numId w:val="7"/>
        </w:numPr>
        <w:tabs>
          <w:tab w:val="left" w:pos="284"/>
        </w:tabs>
        <w:spacing w:after="100" w:afterAutospacing="1" w:line="276" w:lineRule="auto"/>
        <w:rPr>
          <w:rFonts w:cs="Arial"/>
        </w:rPr>
      </w:pPr>
      <w:r w:rsidRPr="00D26F6F">
        <w:rPr>
          <w:rFonts w:cs="Arial"/>
        </w:rPr>
        <w:t>Brošura Poverenika za zaštitu ravnopravnosti. – Prepoznajući potrebu da institucija bude još dostupnija što većem broju građana i građanki, kreirana je brošura koja na jednostavan način i raznovrsnim primerima pojašnjava šta je diskriminacija i kako zatražiti zaštitu, zajedno s formularom pritužbe. Ova brošura izrađena je na srpskom (ćirilica i latinica), romskom i mađarskom jeziku, uz podršku GIZ Programa za pravne i pravosudne reforme.</w:t>
      </w:r>
    </w:p>
    <w:p w:rsidR="00160733" w:rsidRDefault="00160733" w:rsidP="00160733">
      <w:pPr>
        <w:pStyle w:val="NoSpacing"/>
        <w:rPr>
          <w:sz w:val="24"/>
        </w:rPr>
      </w:pPr>
    </w:p>
    <w:p w:rsidR="00135D51" w:rsidRPr="00135D51" w:rsidRDefault="006330FD" w:rsidP="00135D51">
      <w:pPr>
        <w:pStyle w:val="Heading1"/>
        <w:spacing w:after="100" w:afterAutospacing="1" w:line="276" w:lineRule="auto"/>
        <w:ind w:left="0" w:firstLine="0"/>
        <w:jc w:val="left"/>
        <w:rPr>
          <w:rFonts w:cs="Arial"/>
          <w:szCs w:val="22"/>
        </w:rPr>
      </w:pPr>
      <w:bookmarkStart w:id="219" w:name="_Toc477248685"/>
      <w:bookmarkStart w:id="220" w:name="_Toc477251810"/>
      <w:r>
        <w:rPr>
          <w:rFonts w:cs="Arial"/>
          <w:szCs w:val="22"/>
          <w:lang w:val="sr-Latn-RS"/>
        </w:rPr>
        <w:t>izvršavanje obaveza po zakonu o slobodnom pristupu informacijama od javnog značaja</w:t>
      </w:r>
      <w:bookmarkEnd w:id="219"/>
      <w:bookmarkEnd w:id="220"/>
    </w:p>
    <w:p w:rsidR="001240D5" w:rsidRPr="001240D5" w:rsidRDefault="001240D5" w:rsidP="001240D5">
      <w:pPr>
        <w:spacing w:after="100" w:afterAutospacing="1" w:line="276" w:lineRule="auto"/>
        <w:rPr>
          <w:rFonts w:cs="Arial"/>
        </w:rPr>
      </w:pPr>
      <w:r w:rsidRPr="001240D5">
        <w:rPr>
          <w:rFonts w:cs="Arial"/>
        </w:rPr>
        <w:t xml:space="preserve">Poverenik za zaštitu ravnopravnosti obezbeđuje slobodan pristup informacijama postupajući po zahtevima za slobodan pristup informacijama od javnog značaja, objavljivanjem Informatora o radu i drugih informacija na internet prezentaciji, izveštavanjem Narodne </w:t>
      </w:r>
      <w:r w:rsidRPr="001240D5">
        <w:rPr>
          <w:rFonts w:cs="Arial"/>
        </w:rPr>
        <w:lastRenderedPageBreak/>
        <w:t xml:space="preserve">skupštine, obaveštavanjem javnosti putem saopštenja, publikacijama, održavanjem konferencija za štampu i na druge odgovarajuće načine. </w:t>
      </w:r>
    </w:p>
    <w:p w:rsidR="001240D5" w:rsidRPr="001240D5" w:rsidRDefault="001240D5" w:rsidP="001240D5">
      <w:pPr>
        <w:spacing w:after="100" w:afterAutospacing="1" w:line="276" w:lineRule="auto"/>
        <w:rPr>
          <w:rFonts w:cs="Arial"/>
        </w:rPr>
      </w:pPr>
      <w:r w:rsidRPr="001240D5">
        <w:rPr>
          <w:rFonts w:cs="Arial"/>
        </w:rPr>
        <w:t>U 2016. godini podneto je dvanaest zahteva za slobodan pristup informacijama od javnog značaja, na koja je odgovoreno u zakonskom roku.</w:t>
      </w:r>
    </w:p>
    <w:p w:rsidR="00135D51" w:rsidRPr="000B2BB0" w:rsidRDefault="001240D5" w:rsidP="001240D5">
      <w:pPr>
        <w:spacing w:after="100" w:afterAutospacing="1" w:line="276" w:lineRule="auto"/>
        <w:rPr>
          <w:rFonts w:cs="Arial"/>
        </w:rPr>
      </w:pPr>
      <w:r w:rsidRPr="001240D5">
        <w:rPr>
          <w:rFonts w:cs="Arial"/>
        </w:rPr>
        <w:t>Tabelarni prikaz podnetih zahteva po kategorijama</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1382"/>
        <w:gridCol w:w="1878"/>
        <w:gridCol w:w="1276"/>
        <w:gridCol w:w="1984"/>
      </w:tblGrid>
      <w:tr w:rsidR="001240D5" w:rsidRPr="00135D51" w:rsidTr="0099759A">
        <w:tc>
          <w:tcPr>
            <w:tcW w:w="567" w:type="dxa"/>
            <w:tcBorders>
              <w:top w:val="single" w:sz="4" w:space="0" w:color="auto"/>
              <w:left w:val="single" w:sz="4" w:space="0" w:color="auto"/>
              <w:bottom w:val="single" w:sz="4" w:space="0" w:color="auto"/>
              <w:right w:val="single" w:sz="4" w:space="0" w:color="auto"/>
            </w:tcBorders>
            <w:shd w:val="clear" w:color="auto" w:fill="75E5FB"/>
            <w:vAlign w:val="center"/>
            <w:hideMark/>
          </w:tcPr>
          <w:p w:rsidR="001240D5" w:rsidRPr="00FB2154" w:rsidRDefault="001240D5" w:rsidP="001240D5">
            <w:pPr>
              <w:jc w:val="center"/>
            </w:pPr>
            <w:r w:rsidRPr="00FB2154">
              <w:t>R. b.</w:t>
            </w:r>
          </w:p>
        </w:tc>
        <w:tc>
          <w:tcPr>
            <w:tcW w:w="1985" w:type="dxa"/>
            <w:tcBorders>
              <w:top w:val="single" w:sz="4" w:space="0" w:color="auto"/>
              <w:left w:val="single" w:sz="4" w:space="0" w:color="auto"/>
              <w:bottom w:val="single" w:sz="4" w:space="0" w:color="auto"/>
              <w:right w:val="single" w:sz="4" w:space="0" w:color="auto"/>
            </w:tcBorders>
            <w:shd w:val="clear" w:color="auto" w:fill="75E5FB"/>
            <w:vAlign w:val="center"/>
            <w:hideMark/>
          </w:tcPr>
          <w:p w:rsidR="001240D5" w:rsidRPr="00FB2154" w:rsidRDefault="001240D5" w:rsidP="001240D5">
            <w:pPr>
              <w:jc w:val="center"/>
            </w:pPr>
            <w:r w:rsidRPr="00FB2154">
              <w:t>Tražilac informacije</w:t>
            </w:r>
          </w:p>
        </w:tc>
        <w:tc>
          <w:tcPr>
            <w:tcW w:w="1382" w:type="dxa"/>
            <w:tcBorders>
              <w:top w:val="single" w:sz="4" w:space="0" w:color="auto"/>
              <w:left w:val="single" w:sz="4" w:space="0" w:color="auto"/>
              <w:bottom w:val="single" w:sz="4" w:space="0" w:color="auto"/>
              <w:right w:val="single" w:sz="4" w:space="0" w:color="auto"/>
            </w:tcBorders>
            <w:shd w:val="clear" w:color="auto" w:fill="75E5FB"/>
            <w:vAlign w:val="center"/>
            <w:hideMark/>
          </w:tcPr>
          <w:p w:rsidR="001240D5" w:rsidRPr="00FB2154" w:rsidRDefault="001240D5" w:rsidP="001240D5">
            <w:pPr>
              <w:jc w:val="center"/>
            </w:pPr>
            <w:r w:rsidRPr="00FB2154">
              <w:t>Broj podnetih zahteva</w:t>
            </w:r>
          </w:p>
        </w:tc>
        <w:tc>
          <w:tcPr>
            <w:tcW w:w="1878" w:type="dxa"/>
            <w:tcBorders>
              <w:top w:val="single" w:sz="4" w:space="0" w:color="auto"/>
              <w:left w:val="single" w:sz="4" w:space="0" w:color="auto"/>
              <w:bottom w:val="single" w:sz="4" w:space="0" w:color="auto"/>
              <w:right w:val="single" w:sz="4" w:space="0" w:color="auto"/>
            </w:tcBorders>
            <w:shd w:val="clear" w:color="auto" w:fill="75E5FB"/>
            <w:vAlign w:val="center"/>
            <w:hideMark/>
          </w:tcPr>
          <w:p w:rsidR="001240D5" w:rsidRPr="00FB2154" w:rsidRDefault="001240D5" w:rsidP="001240D5">
            <w:pPr>
              <w:jc w:val="center"/>
            </w:pPr>
            <w:r w:rsidRPr="00FB2154">
              <w:t>Broj usvojenih / delimično usvojenih zahteva</w:t>
            </w:r>
          </w:p>
        </w:tc>
        <w:tc>
          <w:tcPr>
            <w:tcW w:w="1276" w:type="dxa"/>
            <w:tcBorders>
              <w:top w:val="single" w:sz="4" w:space="0" w:color="auto"/>
              <w:left w:val="single" w:sz="4" w:space="0" w:color="auto"/>
              <w:bottom w:val="single" w:sz="4" w:space="0" w:color="auto"/>
              <w:right w:val="single" w:sz="4" w:space="0" w:color="auto"/>
            </w:tcBorders>
            <w:shd w:val="clear" w:color="auto" w:fill="75E5FB"/>
            <w:vAlign w:val="center"/>
            <w:hideMark/>
          </w:tcPr>
          <w:p w:rsidR="001240D5" w:rsidRPr="00FB2154" w:rsidRDefault="001240D5" w:rsidP="001240D5">
            <w:pPr>
              <w:jc w:val="center"/>
            </w:pPr>
            <w:r w:rsidRPr="00FB2154">
              <w:t>Broj odbačenih zahteva</w:t>
            </w:r>
          </w:p>
        </w:tc>
        <w:tc>
          <w:tcPr>
            <w:tcW w:w="1984" w:type="dxa"/>
            <w:tcBorders>
              <w:top w:val="single" w:sz="4" w:space="0" w:color="auto"/>
              <w:left w:val="single" w:sz="4" w:space="0" w:color="auto"/>
              <w:bottom w:val="single" w:sz="4" w:space="0" w:color="auto"/>
              <w:right w:val="single" w:sz="4" w:space="0" w:color="auto"/>
            </w:tcBorders>
            <w:shd w:val="clear" w:color="auto" w:fill="75E5FB"/>
            <w:vAlign w:val="center"/>
            <w:hideMark/>
          </w:tcPr>
          <w:p w:rsidR="001240D5" w:rsidRDefault="001240D5" w:rsidP="001240D5">
            <w:pPr>
              <w:jc w:val="center"/>
            </w:pPr>
            <w:r w:rsidRPr="00FB2154">
              <w:t>Broj odbijenih zahteva</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1.</w:t>
            </w:r>
          </w:p>
        </w:tc>
        <w:tc>
          <w:tcPr>
            <w:tcW w:w="1985" w:type="dxa"/>
            <w:tcBorders>
              <w:top w:val="single" w:sz="4" w:space="0" w:color="auto"/>
              <w:left w:val="single" w:sz="4" w:space="0" w:color="auto"/>
              <w:bottom w:val="single" w:sz="4" w:space="0" w:color="auto"/>
              <w:right w:val="single" w:sz="4" w:space="0" w:color="auto"/>
            </w:tcBorders>
            <w:hideMark/>
          </w:tcPr>
          <w:p w:rsidR="001240D5" w:rsidRPr="00BF0FE5" w:rsidRDefault="001240D5" w:rsidP="001240D5">
            <w:pPr>
              <w:jc w:val="center"/>
            </w:pPr>
            <w:r w:rsidRPr="00BF0FE5">
              <w:t>Građani</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5</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1</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2.</w:t>
            </w:r>
          </w:p>
        </w:tc>
        <w:tc>
          <w:tcPr>
            <w:tcW w:w="1985" w:type="dxa"/>
            <w:tcBorders>
              <w:top w:val="single" w:sz="4" w:space="0" w:color="auto"/>
              <w:left w:val="single" w:sz="4" w:space="0" w:color="auto"/>
              <w:bottom w:val="single" w:sz="4" w:space="0" w:color="auto"/>
              <w:right w:val="single" w:sz="4" w:space="0" w:color="auto"/>
            </w:tcBorders>
            <w:hideMark/>
          </w:tcPr>
          <w:p w:rsidR="001240D5" w:rsidRPr="00BF0FE5" w:rsidRDefault="001240D5" w:rsidP="001240D5">
            <w:pPr>
              <w:jc w:val="center"/>
            </w:pPr>
            <w:r w:rsidRPr="00BF0FE5">
              <w:t>Mediji</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1</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3.</w:t>
            </w:r>
          </w:p>
        </w:tc>
        <w:tc>
          <w:tcPr>
            <w:tcW w:w="1985" w:type="dxa"/>
            <w:tcBorders>
              <w:top w:val="single" w:sz="4" w:space="0" w:color="auto"/>
              <w:left w:val="single" w:sz="4" w:space="0" w:color="auto"/>
              <w:bottom w:val="single" w:sz="4" w:space="0" w:color="auto"/>
              <w:right w:val="single" w:sz="4" w:space="0" w:color="auto"/>
            </w:tcBorders>
            <w:hideMark/>
          </w:tcPr>
          <w:p w:rsidR="001240D5" w:rsidRPr="00BF0FE5" w:rsidRDefault="001240D5" w:rsidP="001240D5">
            <w:pPr>
              <w:jc w:val="center"/>
            </w:pPr>
            <w:r w:rsidRPr="00BF0FE5">
              <w:t>Nevladine organizacije i druga udruženja građana</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3</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4.</w:t>
            </w:r>
          </w:p>
        </w:tc>
        <w:tc>
          <w:tcPr>
            <w:tcW w:w="1985" w:type="dxa"/>
            <w:tcBorders>
              <w:top w:val="single" w:sz="4" w:space="0" w:color="auto"/>
              <w:left w:val="single" w:sz="4" w:space="0" w:color="auto"/>
              <w:bottom w:val="single" w:sz="4" w:space="0" w:color="auto"/>
              <w:right w:val="single" w:sz="4" w:space="0" w:color="auto"/>
            </w:tcBorders>
            <w:hideMark/>
          </w:tcPr>
          <w:p w:rsidR="001240D5" w:rsidRPr="00BF0FE5" w:rsidRDefault="001240D5" w:rsidP="001240D5">
            <w:pPr>
              <w:jc w:val="center"/>
            </w:pPr>
            <w:r w:rsidRPr="00BF0FE5">
              <w:t>Političke stranke</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5.</w:t>
            </w:r>
          </w:p>
        </w:tc>
        <w:tc>
          <w:tcPr>
            <w:tcW w:w="1985" w:type="dxa"/>
            <w:tcBorders>
              <w:top w:val="single" w:sz="4" w:space="0" w:color="auto"/>
              <w:left w:val="single" w:sz="4" w:space="0" w:color="auto"/>
              <w:bottom w:val="single" w:sz="4" w:space="0" w:color="auto"/>
              <w:right w:val="single" w:sz="4" w:space="0" w:color="auto"/>
            </w:tcBorders>
            <w:hideMark/>
          </w:tcPr>
          <w:p w:rsidR="001240D5" w:rsidRPr="00BF0FE5" w:rsidRDefault="001240D5" w:rsidP="001240D5">
            <w:pPr>
              <w:jc w:val="center"/>
            </w:pPr>
            <w:r w:rsidRPr="00BF0FE5">
              <w:t>Organi vlasti</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6.</w:t>
            </w:r>
          </w:p>
        </w:tc>
        <w:tc>
          <w:tcPr>
            <w:tcW w:w="1985" w:type="dxa"/>
            <w:tcBorders>
              <w:top w:val="single" w:sz="4" w:space="0" w:color="auto"/>
              <w:left w:val="single" w:sz="4" w:space="0" w:color="auto"/>
              <w:bottom w:val="single" w:sz="4" w:space="0" w:color="auto"/>
              <w:right w:val="single" w:sz="4" w:space="0" w:color="auto"/>
            </w:tcBorders>
            <w:hideMark/>
          </w:tcPr>
          <w:p w:rsidR="001240D5" w:rsidRPr="00BF0FE5" w:rsidRDefault="001240D5" w:rsidP="001240D5">
            <w:pPr>
              <w:jc w:val="center"/>
            </w:pPr>
            <w:r w:rsidRPr="00BF0FE5">
              <w:t>Ostali</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3</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r>
      <w:tr w:rsidR="001240D5" w:rsidRPr="00135D51" w:rsidTr="0099759A">
        <w:tc>
          <w:tcPr>
            <w:tcW w:w="567"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sidRPr="00135D51">
              <w:rPr>
                <w:rFonts w:cs="Arial"/>
                <w:lang w:eastAsia="sr-Cyrl-CS"/>
              </w:rPr>
              <w:t>7.</w:t>
            </w:r>
          </w:p>
        </w:tc>
        <w:tc>
          <w:tcPr>
            <w:tcW w:w="1985" w:type="dxa"/>
            <w:tcBorders>
              <w:top w:val="single" w:sz="4" w:space="0" w:color="auto"/>
              <w:left w:val="single" w:sz="4" w:space="0" w:color="auto"/>
              <w:bottom w:val="single" w:sz="4" w:space="0" w:color="auto"/>
              <w:right w:val="single" w:sz="4" w:space="0" w:color="auto"/>
            </w:tcBorders>
            <w:hideMark/>
          </w:tcPr>
          <w:p w:rsidR="001240D5" w:rsidRDefault="001240D5" w:rsidP="00FD08DD">
            <w:r w:rsidRPr="00BF0FE5">
              <w:t>Ukupno</w:t>
            </w:r>
          </w:p>
        </w:tc>
        <w:tc>
          <w:tcPr>
            <w:tcW w:w="1382"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b/>
                <w:lang w:eastAsia="sr-Cyrl-CS"/>
              </w:rPr>
            </w:pPr>
            <w:r w:rsidRPr="00135D51">
              <w:rPr>
                <w:rFonts w:cs="Arial"/>
                <w:b/>
                <w:lang w:eastAsia="sr-Cyrl-CS"/>
              </w:rPr>
              <w:t>12</w:t>
            </w:r>
          </w:p>
        </w:tc>
        <w:tc>
          <w:tcPr>
            <w:tcW w:w="1878"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b/>
                <w:lang w:eastAsia="sr-Cyrl-CS"/>
              </w:rPr>
            </w:pPr>
            <w:r w:rsidRPr="00135D51">
              <w:rPr>
                <w:rFonts w:cs="Arial"/>
                <w:b/>
                <w:lang w:eastAsia="sr-Cyrl-CS"/>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lang w:eastAsia="sr-Cyrl-CS"/>
              </w:rPr>
            </w:pPr>
            <w:r>
              <w:rPr>
                <w:rFonts w:cs="Arial"/>
                <w:lang w:eastAsia="sr-Cyrl-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240D5" w:rsidRPr="00135D51" w:rsidRDefault="001240D5" w:rsidP="00135D51">
            <w:pPr>
              <w:spacing w:after="0" w:line="276" w:lineRule="auto"/>
              <w:jc w:val="center"/>
              <w:rPr>
                <w:rFonts w:cs="Arial"/>
                <w:b/>
                <w:lang w:eastAsia="sr-Cyrl-CS"/>
              </w:rPr>
            </w:pPr>
            <w:r w:rsidRPr="00135D51">
              <w:rPr>
                <w:rFonts w:cs="Arial"/>
                <w:b/>
                <w:lang w:eastAsia="sr-Cyrl-CS"/>
              </w:rPr>
              <w:t>1</w:t>
            </w:r>
          </w:p>
        </w:tc>
      </w:tr>
    </w:tbl>
    <w:p w:rsidR="00135D51" w:rsidRPr="00135D51" w:rsidRDefault="00135D51" w:rsidP="00135D51">
      <w:pPr>
        <w:pStyle w:val="NoSpacing"/>
        <w:spacing w:line="276" w:lineRule="auto"/>
        <w:rPr>
          <w:rFonts w:ascii="Arial" w:hAnsi="Arial" w:cs="Arial"/>
          <w:lang w:val="sr-Cyrl-CS"/>
        </w:rPr>
      </w:pPr>
    </w:p>
    <w:p w:rsidR="0099759A" w:rsidRPr="0099759A" w:rsidRDefault="0099759A" w:rsidP="0099759A">
      <w:pPr>
        <w:spacing w:line="276" w:lineRule="auto"/>
        <w:rPr>
          <w:rFonts w:cs="Arial"/>
        </w:rPr>
      </w:pPr>
      <w:r w:rsidRPr="0099759A">
        <w:rPr>
          <w:rFonts w:cs="Arial"/>
        </w:rPr>
        <w:t>Prilikom davanja informacija posebno se vodi računa o zaštiti podataka o ličnosti, u skladu sa Zakonom o zaštiti podataka o ličnosti</w:t>
      </w:r>
      <w:r w:rsidR="001371E1">
        <w:rPr>
          <w:rStyle w:val="FootnoteReference"/>
          <w:rFonts w:cs="Arial"/>
        </w:rPr>
        <w:footnoteReference w:id="276"/>
      </w:r>
      <w:r w:rsidRPr="0099759A">
        <w:rPr>
          <w:rFonts w:cs="Arial"/>
        </w:rPr>
        <w:t xml:space="preserve"> . Stranka u postupku pred Poverenikom za zaštitu ravnopravnosti ima pravo na poverljivost svih privatnih podataka koji se nalaze u spisima predmeta i s kojima stranka upozna Poverenika ili drugo ovlašćeno lice. </w:t>
      </w:r>
    </w:p>
    <w:p w:rsidR="0099759A" w:rsidRPr="0099759A" w:rsidRDefault="0099759A" w:rsidP="0099759A">
      <w:pPr>
        <w:spacing w:line="276" w:lineRule="auto"/>
        <w:rPr>
          <w:rFonts w:cs="Arial"/>
        </w:rPr>
      </w:pPr>
      <w:r w:rsidRPr="0099759A">
        <w:rPr>
          <w:rFonts w:cs="Arial"/>
        </w:rPr>
        <w:t xml:space="preserve">Informator o radu Poverenika za zaštitu ravnopravnosti dostupan je na internet prezentaciji (www.ravnopravnost.gov.rs). Radi lakšeg ostvarivanja prava na slobodan pristup informacijama od javnog značaja, građanima je omogućeno da na internet adresi Poverenika za zaštitu ravnopravnosti preuzmu obrasce s primerima za podnošenje zahteva za slobodan pristup informacijama. Zahtev se može podneti u pisanoj formi i bez korišćenja obrazaca. Bitno je da se u zahtevu jasno navede koja se informacija traži i/ili na šta se konkretno ona </w:t>
      </w:r>
      <w:r w:rsidRPr="0099759A">
        <w:rPr>
          <w:rFonts w:cs="Arial"/>
        </w:rPr>
        <w:lastRenderedPageBreak/>
        <w:t xml:space="preserve">odnosi, tj. što precizniji opis tražene informacije. Zahtev može ali ne mora da sadrži i razloge za podnošenje zahteva, kao i druge podatke koji olakšavaju pronalaženje tražene informacije. Uvid u dokument koji sadrži traženu informaciju je besplatan. </w:t>
      </w:r>
    </w:p>
    <w:p w:rsidR="0099759A" w:rsidRPr="0099759A" w:rsidRDefault="0099759A" w:rsidP="0099759A">
      <w:pPr>
        <w:spacing w:line="276" w:lineRule="auto"/>
        <w:rPr>
          <w:rFonts w:cs="Arial"/>
          <w:lang w:val="sr-Latn-RS"/>
        </w:rPr>
      </w:pPr>
      <w:r w:rsidRPr="0099759A">
        <w:rPr>
          <w:rFonts w:cs="Arial"/>
        </w:rPr>
        <w:t>Zahtev za pristup informacijama od javnog značaja koje se odnose na rad Poverenika ili su nastale u vezi s njegovim radom može se podneti u pisanoj formi na adresu: Poverenik za zaštitu ravnopravnosti, Bulevar kralja Aleksandra br. 84, 11000 Beograd, ili elektronskom poštom, na adresu: poverenik@ravnopravnost.gov.rs.</w:t>
      </w:r>
    </w:p>
    <w:p w:rsidR="00135D51" w:rsidRPr="00135D51" w:rsidRDefault="00135D51" w:rsidP="00135D51">
      <w:pPr>
        <w:spacing w:line="276" w:lineRule="auto"/>
        <w:rPr>
          <w:rFonts w:cs="Arial"/>
        </w:rPr>
      </w:pPr>
    </w:p>
    <w:p w:rsidR="00135D51" w:rsidRDefault="00135D51" w:rsidP="00135D51">
      <w:pPr>
        <w:spacing w:line="276" w:lineRule="auto"/>
        <w:rPr>
          <w:rFonts w:cs="Arial"/>
        </w:rPr>
      </w:pPr>
    </w:p>
    <w:p w:rsidR="00135D51" w:rsidRPr="00135D51" w:rsidRDefault="001371E1" w:rsidP="00135D51">
      <w:pPr>
        <w:pStyle w:val="Heading1"/>
        <w:spacing w:after="100" w:afterAutospacing="1" w:line="276" w:lineRule="auto"/>
        <w:ind w:left="0" w:firstLine="0"/>
        <w:jc w:val="left"/>
        <w:rPr>
          <w:rFonts w:cs="Arial"/>
          <w:szCs w:val="22"/>
        </w:rPr>
      </w:pPr>
      <w:bookmarkStart w:id="221" w:name="_Toc477248686"/>
      <w:bookmarkStart w:id="222" w:name="_Toc477251811"/>
      <w:r>
        <w:rPr>
          <w:rFonts w:cs="Arial"/>
          <w:szCs w:val="22"/>
          <w:lang w:val="sr-Latn-RS"/>
        </w:rPr>
        <w:t>izveštaj o izvršenju finansijskog plana</w:t>
      </w:r>
      <w:bookmarkEnd w:id="221"/>
      <w:bookmarkEnd w:id="222"/>
    </w:p>
    <w:p w:rsidR="001371E1" w:rsidRPr="001371E1" w:rsidRDefault="001371E1" w:rsidP="001371E1">
      <w:pPr>
        <w:spacing w:after="100" w:afterAutospacing="1" w:line="276" w:lineRule="auto"/>
        <w:rPr>
          <w:rFonts w:cs="Arial"/>
        </w:rPr>
      </w:pPr>
      <w:r w:rsidRPr="001371E1">
        <w:rPr>
          <w:rFonts w:cs="Arial"/>
        </w:rPr>
        <w:t>Zakonom o budžetu Republike Srbije za 2016. godinu</w:t>
      </w:r>
      <w:r w:rsidR="00FD08DD">
        <w:rPr>
          <w:rStyle w:val="FootnoteReference"/>
          <w:rFonts w:cs="Arial"/>
        </w:rPr>
        <w:footnoteReference w:id="277"/>
      </w:r>
      <w:r w:rsidRPr="001371E1">
        <w:rPr>
          <w:rFonts w:cs="Arial"/>
        </w:rPr>
        <w:t xml:space="preserve">  Povereniku za zaštitu ravnopravnosti dodeljena su sredstva za Program „Unapređenje i zaštita ljudskih i manjinskih prava i sloboda“, u iznosu od 81.255.000 dinara. </w:t>
      </w:r>
    </w:p>
    <w:p w:rsidR="001371E1" w:rsidRPr="001371E1" w:rsidRDefault="001371E1" w:rsidP="001371E1">
      <w:pPr>
        <w:spacing w:after="100" w:afterAutospacing="1" w:line="276" w:lineRule="auto"/>
        <w:rPr>
          <w:rFonts w:cs="Arial"/>
        </w:rPr>
      </w:pPr>
      <w:r w:rsidRPr="001371E1">
        <w:rPr>
          <w:rFonts w:cs="Arial"/>
        </w:rPr>
        <w:t>Uključivanjem neutrošenih sredstava donacija iz prethodne godine, kao i sredstava koja su kao nove donacije pristigla u toku 2016. godine, raspoloživa sredstva u budžetu za Program, odnosno iznos koji se nalazio na tekućim aproprijacijama, dostigao je nivo od 84.200.412 dinara.</w:t>
      </w:r>
    </w:p>
    <w:p w:rsidR="001371E1" w:rsidRPr="001371E1" w:rsidRDefault="001371E1" w:rsidP="001371E1">
      <w:pPr>
        <w:spacing w:after="100" w:afterAutospacing="1" w:line="276" w:lineRule="auto"/>
        <w:rPr>
          <w:rFonts w:cs="Arial"/>
        </w:rPr>
      </w:pPr>
      <w:r w:rsidRPr="001371E1">
        <w:rPr>
          <w:rFonts w:cs="Arial"/>
        </w:rPr>
        <w:t>Relativno učešće finansijskih sredstava u ukupnom budžetu po osnovu izvora finansiranja iznosi:</w:t>
      </w:r>
    </w:p>
    <w:p w:rsidR="001371E1" w:rsidRPr="001371E1" w:rsidRDefault="001371E1" w:rsidP="00D93153">
      <w:pPr>
        <w:pStyle w:val="ListParagraph"/>
        <w:numPr>
          <w:ilvl w:val="0"/>
          <w:numId w:val="37"/>
        </w:numPr>
        <w:spacing w:after="100" w:afterAutospacing="1" w:line="276" w:lineRule="auto"/>
        <w:rPr>
          <w:rFonts w:ascii="Arial" w:hAnsi="Arial" w:cs="Arial"/>
        </w:rPr>
      </w:pPr>
      <w:r w:rsidRPr="001371E1">
        <w:rPr>
          <w:rFonts w:ascii="Arial" w:hAnsi="Arial" w:cs="Arial"/>
        </w:rPr>
        <w:t xml:space="preserve">izvor 01                                      </w:t>
      </w:r>
      <w:r w:rsidRPr="001371E1">
        <w:rPr>
          <w:rFonts w:ascii="Arial" w:hAnsi="Arial" w:cs="Arial"/>
          <w:lang w:val="sr-Latn-RS"/>
        </w:rPr>
        <w:t xml:space="preserve">   </w:t>
      </w:r>
      <w:r w:rsidRPr="001371E1">
        <w:rPr>
          <w:rFonts w:ascii="Arial" w:hAnsi="Arial" w:cs="Arial"/>
        </w:rPr>
        <w:t>96%</w:t>
      </w:r>
    </w:p>
    <w:p w:rsidR="001371E1" w:rsidRPr="001371E1" w:rsidRDefault="001371E1" w:rsidP="00D93153">
      <w:pPr>
        <w:pStyle w:val="ListParagraph"/>
        <w:numPr>
          <w:ilvl w:val="0"/>
          <w:numId w:val="37"/>
        </w:numPr>
        <w:spacing w:after="100" w:afterAutospacing="1" w:line="276" w:lineRule="auto"/>
        <w:rPr>
          <w:rFonts w:ascii="Arial" w:hAnsi="Arial" w:cs="Arial"/>
        </w:rPr>
      </w:pPr>
      <w:r w:rsidRPr="001371E1">
        <w:rPr>
          <w:rFonts w:ascii="Arial" w:hAnsi="Arial" w:cs="Arial"/>
        </w:rPr>
        <w:t>ostali izvori 05, 06, 08, 15                 4%</w:t>
      </w:r>
    </w:p>
    <w:p w:rsidR="001371E1" w:rsidRPr="001371E1" w:rsidRDefault="001371E1" w:rsidP="001371E1">
      <w:pPr>
        <w:spacing w:after="100" w:afterAutospacing="1" w:line="276" w:lineRule="auto"/>
        <w:rPr>
          <w:rFonts w:cs="Arial"/>
        </w:rPr>
      </w:pPr>
      <w:r w:rsidRPr="001371E1">
        <w:rPr>
          <w:rFonts w:cs="Arial"/>
        </w:rPr>
        <w:t>Iz izvora 01 finansirane su :</w:t>
      </w:r>
    </w:p>
    <w:p w:rsidR="001371E1" w:rsidRPr="001371E1" w:rsidRDefault="001371E1" w:rsidP="00D93153">
      <w:pPr>
        <w:pStyle w:val="ListParagraph"/>
        <w:numPr>
          <w:ilvl w:val="0"/>
          <w:numId w:val="38"/>
        </w:numPr>
        <w:spacing w:after="100" w:afterAutospacing="1" w:line="276" w:lineRule="auto"/>
        <w:rPr>
          <w:rFonts w:ascii="Arial" w:hAnsi="Arial" w:cs="Arial"/>
        </w:rPr>
      </w:pPr>
      <w:r w:rsidRPr="001371E1">
        <w:rPr>
          <w:rFonts w:ascii="Arial" w:hAnsi="Arial" w:cs="Arial"/>
        </w:rPr>
        <w:t>Programska aktivnost „Delotvorno suzbijanje i zaštita od diskriminacije“.  – Sredstva su korišćena za finansiranje redovne delatnosti i funkcionisanje stručne službe Poverenika, u skladu s Finansijskim planom i Planom javnih nabavki. Ukupno izvršenje je iznosilo 58.532.387 dinara ili 73,08% raspoloživih sredstava. U strukturi Programske aktivnosti, kategorija rashodi za zaposlene učestvovala je sa 75,03%, kategorija korišćenja usluga i roba i ostalih rashoda sa 24,24%, a izdaci za nefinansijsku imovinu 0,73%.</w:t>
      </w:r>
    </w:p>
    <w:p w:rsidR="001371E1" w:rsidRPr="001371E1" w:rsidRDefault="001371E1" w:rsidP="001371E1">
      <w:pPr>
        <w:pStyle w:val="ListParagraph"/>
        <w:spacing w:after="100" w:afterAutospacing="1" w:line="276" w:lineRule="auto"/>
        <w:rPr>
          <w:rFonts w:ascii="Arial" w:hAnsi="Arial" w:cs="Arial"/>
        </w:rPr>
      </w:pPr>
    </w:p>
    <w:p w:rsidR="001371E1" w:rsidRPr="001371E1" w:rsidRDefault="001371E1" w:rsidP="00D93153">
      <w:pPr>
        <w:pStyle w:val="ListParagraph"/>
        <w:numPr>
          <w:ilvl w:val="0"/>
          <w:numId w:val="38"/>
        </w:numPr>
        <w:spacing w:after="0" w:line="276" w:lineRule="auto"/>
        <w:rPr>
          <w:rFonts w:ascii="Arial" w:hAnsi="Arial" w:cs="Arial"/>
        </w:rPr>
      </w:pPr>
      <w:r w:rsidRPr="001371E1">
        <w:rPr>
          <w:rFonts w:ascii="Arial" w:hAnsi="Arial" w:cs="Arial"/>
        </w:rPr>
        <w:t>Projekat „Ne ceni knjigu po koricama – Živa biblioteka“. – Ukupno izvršenje vezano za ovaj projekat je iznosilo 330.812 dinara, ili 63,99% raspoloživih sredstava.</w:t>
      </w:r>
    </w:p>
    <w:p w:rsidR="001371E1" w:rsidRPr="001371E1" w:rsidRDefault="001371E1" w:rsidP="001371E1">
      <w:pPr>
        <w:pStyle w:val="ListParagraph"/>
        <w:rPr>
          <w:rFonts w:ascii="Arial" w:hAnsi="Arial" w:cs="Arial"/>
          <w:sz w:val="16"/>
          <w:szCs w:val="16"/>
        </w:rPr>
      </w:pPr>
    </w:p>
    <w:p w:rsidR="001371E1" w:rsidRPr="001371E1" w:rsidRDefault="001371E1" w:rsidP="00D93153">
      <w:pPr>
        <w:pStyle w:val="ListParagraph"/>
        <w:numPr>
          <w:ilvl w:val="0"/>
          <w:numId w:val="38"/>
        </w:numPr>
        <w:spacing w:before="0" w:after="100" w:afterAutospacing="1" w:line="276" w:lineRule="auto"/>
        <w:rPr>
          <w:rFonts w:ascii="Arial" w:hAnsi="Arial" w:cs="Arial"/>
        </w:rPr>
      </w:pPr>
      <w:r w:rsidRPr="001371E1">
        <w:rPr>
          <w:rFonts w:ascii="Arial" w:hAnsi="Arial" w:cs="Arial"/>
        </w:rPr>
        <w:t>Projekat „Ravnopravno do cilja“. – Ukupno izvršenje vezano za ovaj projekat je iznosilo 174.960 dinara ili 45,68% raspoloživih sredstava.</w:t>
      </w:r>
    </w:p>
    <w:p w:rsidR="001371E1" w:rsidRPr="001371E1" w:rsidRDefault="001371E1" w:rsidP="001371E1">
      <w:pPr>
        <w:spacing w:after="100" w:afterAutospacing="1" w:line="276" w:lineRule="auto"/>
        <w:rPr>
          <w:rFonts w:cs="Arial"/>
        </w:rPr>
      </w:pPr>
      <w:r w:rsidRPr="001371E1">
        <w:rPr>
          <w:rFonts w:cs="Arial"/>
        </w:rPr>
        <w:t>Iz ostalih izvora finansirani su sledeći projekti:</w:t>
      </w:r>
    </w:p>
    <w:p w:rsidR="001371E1" w:rsidRPr="001371E1" w:rsidRDefault="001371E1" w:rsidP="00D93153">
      <w:pPr>
        <w:pStyle w:val="ListParagraph"/>
        <w:numPr>
          <w:ilvl w:val="0"/>
          <w:numId w:val="39"/>
        </w:numPr>
        <w:spacing w:after="100" w:afterAutospacing="1" w:line="276" w:lineRule="auto"/>
        <w:rPr>
          <w:rFonts w:ascii="Arial" w:hAnsi="Arial" w:cs="Arial"/>
        </w:rPr>
      </w:pPr>
      <w:r w:rsidRPr="001371E1">
        <w:rPr>
          <w:rFonts w:ascii="Arial" w:hAnsi="Arial" w:cs="Arial"/>
        </w:rPr>
        <w:lastRenderedPageBreak/>
        <w:t>Projekat „Simulacija suđenja iz oblasti zaštite od diskriminacije – MOOT COURT“. – Ovaj projekat je u finansijskom planu bio predstavljen u meri u kojoj su preostala sredstva za njegov završetak, s obzirom na to da je bio započet i finansiran u 2015. godini. Izvršenje za taj deo doniranih sredstava je iznosilo 92,43%. Sredinom 2016. godine projekat je nastavljen novom donacijom od 1.576.260 dinara, ali je njegovo izvršenje, usled rasporeda aktivnosti definisanih projektom, iznosilo na kraju godine 25,62%. Projekat se nastavlja i u 2017. godini</w:t>
      </w:r>
      <w:r w:rsidRPr="001371E1">
        <w:rPr>
          <w:rFonts w:ascii="Arial" w:hAnsi="Arial" w:cs="Arial"/>
          <w:lang w:val="sr-Latn-RS"/>
        </w:rPr>
        <w:t>.</w:t>
      </w:r>
    </w:p>
    <w:p w:rsidR="001371E1" w:rsidRPr="001371E1" w:rsidRDefault="001371E1" w:rsidP="001371E1">
      <w:pPr>
        <w:pStyle w:val="ListParagraph"/>
        <w:spacing w:after="100" w:afterAutospacing="1" w:line="276" w:lineRule="auto"/>
        <w:rPr>
          <w:rFonts w:ascii="Arial" w:hAnsi="Arial" w:cs="Arial"/>
        </w:rPr>
      </w:pPr>
    </w:p>
    <w:p w:rsidR="001371E1" w:rsidRPr="001371E1" w:rsidRDefault="001371E1" w:rsidP="00D93153">
      <w:pPr>
        <w:pStyle w:val="ListParagraph"/>
        <w:numPr>
          <w:ilvl w:val="0"/>
          <w:numId w:val="39"/>
        </w:numPr>
        <w:spacing w:after="100" w:afterAutospacing="1" w:line="276" w:lineRule="auto"/>
        <w:rPr>
          <w:rFonts w:ascii="Arial" w:hAnsi="Arial" w:cs="Arial"/>
        </w:rPr>
      </w:pPr>
      <w:r w:rsidRPr="001371E1">
        <w:rPr>
          <w:rFonts w:ascii="Arial" w:hAnsi="Arial" w:cs="Arial"/>
        </w:rPr>
        <w:t>Projekat Unicefa „Prevencija i zaštita dece od diskriminacije“. – Sredstva za ovaj projekat, u iznosu od 479.700 dinara, stavljena su na raspolaganje Povereniku krajem oktobra. Kod ovog projekta nije bilo realizacije, jer su se do kraja godine tek sprovodile aktivnosti koje će biti plaćene u narednoj godini. Rok završetka projekta je decembar 2017. godine.</w:t>
      </w:r>
    </w:p>
    <w:p w:rsidR="005F7F91" w:rsidRDefault="001371E1" w:rsidP="001371E1">
      <w:pPr>
        <w:spacing w:after="100" w:afterAutospacing="1" w:line="276" w:lineRule="auto"/>
        <w:rPr>
          <w:rFonts w:cs="Arial"/>
          <w:lang w:val="sr-Latn-RS"/>
        </w:rPr>
      </w:pPr>
      <w:r w:rsidRPr="001371E1">
        <w:rPr>
          <w:rFonts w:cs="Arial"/>
        </w:rPr>
        <w:t>Struktura izvršenja budžeta za 2016. godinu, kako po izvorima finansiranja, tako i po programu, programskoj aktivnosti i projektima, data je u tabelama koje slede.</w:t>
      </w:r>
    </w:p>
    <w:p w:rsidR="00C268A7" w:rsidRDefault="00C268A7" w:rsidP="001371E1">
      <w:pPr>
        <w:spacing w:after="100" w:afterAutospacing="1" w:line="276" w:lineRule="auto"/>
        <w:rPr>
          <w:rFonts w:cs="Arial"/>
          <w:lang w:val="sr-Latn-RS"/>
        </w:rPr>
      </w:pPr>
    </w:p>
    <w:p w:rsidR="00C268A7" w:rsidRPr="00C268A7" w:rsidRDefault="00C268A7" w:rsidP="001371E1">
      <w:pPr>
        <w:spacing w:after="100" w:afterAutospacing="1" w:line="276" w:lineRule="auto"/>
        <w:rPr>
          <w:rFonts w:cs="Arial"/>
          <w:lang w:val="sr-Latn-RS"/>
        </w:rPr>
      </w:pPr>
    </w:p>
    <w:tbl>
      <w:tblPr>
        <w:tblW w:w="5418" w:type="pct"/>
        <w:tblInd w:w="-318" w:type="dxa"/>
        <w:tblLayout w:type="fixed"/>
        <w:tblLook w:val="04A0" w:firstRow="1" w:lastRow="0" w:firstColumn="1" w:lastColumn="0" w:noHBand="0" w:noVBand="1"/>
      </w:tblPr>
      <w:tblGrid>
        <w:gridCol w:w="862"/>
        <w:gridCol w:w="986"/>
        <w:gridCol w:w="1158"/>
        <w:gridCol w:w="709"/>
        <w:gridCol w:w="1697"/>
        <w:gridCol w:w="1250"/>
        <w:gridCol w:w="1276"/>
        <w:gridCol w:w="1270"/>
        <w:gridCol w:w="858"/>
      </w:tblGrid>
      <w:tr w:rsidR="00135D51" w:rsidRPr="00076818" w:rsidTr="001D608C">
        <w:trPr>
          <w:trHeight w:val="283"/>
        </w:trPr>
        <w:tc>
          <w:tcPr>
            <w:tcW w:w="5000" w:type="pct"/>
            <w:gridSpan w:val="9"/>
            <w:tcBorders>
              <w:top w:val="nil"/>
              <w:left w:val="nil"/>
              <w:bottom w:val="nil"/>
              <w:right w:val="nil"/>
            </w:tcBorders>
            <w:shd w:val="clear" w:color="auto" w:fill="auto"/>
            <w:noWrap/>
            <w:vAlign w:val="center"/>
            <w:hideMark/>
          </w:tcPr>
          <w:p w:rsidR="00135D51" w:rsidRPr="00FD08DD" w:rsidRDefault="00FD08DD" w:rsidP="00FD08DD">
            <w:pPr>
              <w:spacing w:before="0" w:after="0" w:line="276" w:lineRule="auto"/>
              <w:jc w:val="center"/>
              <w:rPr>
                <w:rFonts w:eastAsia="Times New Roman" w:cs="Arial"/>
                <w:b/>
                <w:bCs/>
                <w:color w:val="000000"/>
                <w:szCs w:val="16"/>
                <w:lang w:val="sr-Latn-RS"/>
              </w:rPr>
            </w:pPr>
            <w:r>
              <w:rPr>
                <w:rFonts w:eastAsia="Times New Roman" w:cs="Arial"/>
                <w:b/>
                <w:bCs/>
                <w:color w:val="000000"/>
                <w:szCs w:val="16"/>
                <w:lang w:val="sr-Latn-RS"/>
              </w:rPr>
              <w:t xml:space="preserve">IZVRŠENJE BUDŽETA ZA </w:t>
            </w:r>
            <w:r w:rsidR="00135D51" w:rsidRPr="00FD704A">
              <w:rPr>
                <w:rFonts w:eastAsia="Times New Roman" w:cs="Arial"/>
                <w:b/>
                <w:bCs/>
                <w:color w:val="000000"/>
                <w:szCs w:val="16"/>
              </w:rPr>
              <w:t xml:space="preserve">2016. </w:t>
            </w:r>
            <w:r>
              <w:rPr>
                <w:rFonts w:eastAsia="Times New Roman" w:cs="Arial"/>
                <w:b/>
                <w:bCs/>
                <w:color w:val="000000"/>
                <w:szCs w:val="16"/>
                <w:lang w:val="sr-Latn-RS"/>
              </w:rPr>
              <w:t>GODINU</w:t>
            </w:r>
          </w:p>
        </w:tc>
      </w:tr>
      <w:tr w:rsidR="00135D51" w:rsidRPr="00076818" w:rsidTr="001D608C">
        <w:trPr>
          <w:trHeight w:val="283"/>
        </w:trPr>
        <w:tc>
          <w:tcPr>
            <w:tcW w:w="5000" w:type="pct"/>
            <w:gridSpan w:val="9"/>
            <w:tcBorders>
              <w:top w:val="nil"/>
              <w:left w:val="nil"/>
              <w:bottom w:val="single" w:sz="4" w:space="0" w:color="auto"/>
              <w:right w:val="nil"/>
            </w:tcBorders>
            <w:shd w:val="clear" w:color="auto" w:fill="auto"/>
            <w:noWrap/>
            <w:vAlign w:val="center"/>
            <w:hideMark/>
          </w:tcPr>
          <w:p w:rsidR="00135D51" w:rsidRPr="001D608C" w:rsidRDefault="00FD08DD" w:rsidP="00FD08DD">
            <w:pPr>
              <w:spacing w:before="0" w:after="0" w:line="276" w:lineRule="auto"/>
              <w:jc w:val="center"/>
              <w:rPr>
                <w:rFonts w:eastAsia="Times New Roman" w:cs="Arial"/>
                <w:b/>
                <w:bCs/>
                <w:i/>
                <w:iCs/>
                <w:color w:val="07D9EF"/>
                <w:szCs w:val="16"/>
                <w:lang w:val="sr-Latn-CS"/>
              </w:rPr>
            </w:pPr>
            <w:r>
              <w:rPr>
                <w:rFonts w:eastAsia="Times New Roman" w:cs="Arial"/>
                <w:b/>
                <w:bCs/>
                <w:i/>
                <w:iCs/>
                <w:color w:val="07D9EF"/>
                <w:szCs w:val="16"/>
                <w:lang w:val="sr-Latn-RS"/>
              </w:rPr>
              <w:t>STRUKTURA BUDŽETAPO IZVORIMA FINANSIRANJA</w:t>
            </w:r>
          </w:p>
        </w:tc>
      </w:tr>
      <w:tr w:rsidR="00FD08DD" w:rsidRPr="00076818" w:rsidTr="00A058BA">
        <w:trPr>
          <w:cantSplit/>
          <w:trHeight w:val="1130"/>
        </w:trPr>
        <w:tc>
          <w:tcPr>
            <w:tcW w:w="428" w:type="pct"/>
            <w:tcBorders>
              <w:top w:val="nil"/>
              <w:left w:val="single" w:sz="4" w:space="0" w:color="auto"/>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Izvor finan.</w:t>
            </w:r>
          </w:p>
        </w:tc>
        <w:tc>
          <w:tcPr>
            <w:tcW w:w="490"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Program</w:t>
            </w:r>
          </w:p>
        </w:tc>
        <w:tc>
          <w:tcPr>
            <w:tcW w:w="575"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Program. aktivnost / projekat</w:t>
            </w:r>
          </w:p>
        </w:tc>
        <w:tc>
          <w:tcPr>
            <w:tcW w:w="352"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Ekon. klas.</w:t>
            </w:r>
          </w:p>
        </w:tc>
        <w:tc>
          <w:tcPr>
            <w:tcW w:w="843"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O  P  I  S</w:t>
            </w:r>
          </w:p>
        </w:tc>
        <w:tc>
          <w:tcPr>
            <w:tcW w:w="621"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*Početna aproprijac.</w:t>
            </w:r>
          </w:p>
        </w:tc>
        <w:tc>
          <w:tcPr>
            <w:tcW w:w="634"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**Tekuća aproprijac.</w:t>
            </w:r>
          </w:p>
        </w:tc>
        <w:tc>
          <w:tcPr>
            <w:tcW w:w="631"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Izvršenje budžeta</w:t>
            </w:r>
          </w:p>
        </w:tc>
        <w:tc>
          <w:tcPr>
            <w:tcW w:w="426" w:type="pct"/>
            <w:tcBorders>
              <w:top w:val="nil"/>
              <w:left w:val="nil"/>
              <w:bottom w:val="single" w:sz="4" w:space="0" w:color="auto"/>
              <w:right w:val="single" w:sz="4" w:space="0" w:color="auto"/>
            </w:tcBorders>
            <w:shd w:val="clear" w:color="auto" w:fill="auto"/>
            <w:vAlign w:val="center"/>
            <w:hideMark/>
          </w:tcPr>
          <w:p w:rsidR="00FD08DD" w:rsidRPr="00FD08DD" w:rsidRDefault="00FD08DD" w:rsidP="00A058BA">
            <w:pPr>
              <w:jc w:val="center"/>
              <w:rPr>
                <w:b/>
                <w:sz w:val="16"/>
                <w:szCs w:val="16"/>
              </w:rPr>
            </w:pPr>
            <w:r w:rsidRPr="00FD08DD">
              <w:rPr>
                <w:b/>
                <w:sz w:val="16"/>
                <w:szCs w:val="16"/>
              </w:rPr>
              <w:t>% izvršenja (8 : 7)</w:t>
            </w:r>
          </w:p>
        </w:tc>
      </w:tr>
      <w:tr w:rsidR="00510759" w:rsidRPr="00076818" w:rsidTr="00510759">
        <w:trPr>
          <w:trHeight w:val="27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w:t>
            </w:r>
          </w:p>
        </w:tc>
        <w:tc>
          <w:tcPr>
            <w:tcW w:w="490"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2</w:t>
            </w:r>
          </w:p>
        </w:tc>
        <w:tc>
          <w:tcPr>
            <w:tcW w:w="575"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3</w:t>
            </w:r>
          </w:p>
        </w:tc>
        <w:tc>
          <w:tcPr>
            <w:tcW w:w="352"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w:t>
            </w:r>
          </w:p>
        </w:tc>
        <w:tc>
          <w:tcPr>
            <w:tcW w:w="843"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5</w:t>
            </w:r>
          </w:p>
        </w:tc>
        <w:tc>
          <w:tcPr>
            <w:tcW w:w="621"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6</w:t>
            </w:r>
          </w:p>
        </w:tc>
        <w:tc>
          <w:tcPr>
            <w:tcW w:w="634"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7</w:t>
            </w:r>
          </w:p>
        </w:tc>
        <w:tc>
          <w:tcPr>
            <w:tcW w:w="631"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8</w:t>
            </w:r>
          </w:p>
        </w:tc>
        <w:tc>
          <w:tcPr>
            <w:tcW w:w="426"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9</w:t>
            </w:r>
          </w:p>
        </w:tc>
      </w:tr>
      <w:tr w:rsidR="00FD08DD" w:rsidRPr="00076818" w:rsidTr="00FD08DD">
        <w:trPr>
          <w:trHeight w:val="57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E734A0">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01</w:t>
            </w:r>
            <w:r>
              <w:rPr>
                <w:rFonts w:eastAsia="Times New Roman" w:cs="Arial"/>
                <w:b/>
                <w:bCs/>
                <w:color w:val="000000"/>
                <w:sz w:val="16"/>
                <w:szCs w:val="16"/>
              </w:rPr>
              <w:t>–</w:t>
            </w:r>
            <w:r w:rsidRPr="00076818">
              <w:rPr>
                <w:rFonts w:eastAsia="Times New Roman" w:cs="Arial"/>
                <w:b/>
                <w:bCs/>
                <w:color w:val="000000"/>
                <w:sz w:val="16"/>
                <w:szCs w:val="16"/>
              </w:rPr>
              <w:t>15</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E02FF" w:rsidRDefault="00FD08DD" w:rsidP="00E734A0">
            <w:pPr>
              <w:spacing w:before="0" w:after="0" w:line="276" w:lineRule="auto"/>
              <w:jc w:val="center"/>
              <w:rPr>
                <w:rFonts w:eastAsia="Times New Roman" w:cs="Arial"/>
                <w:b/>
                <w:bCs/>
                <w:color w:val="000000"/>
                <w:sz w:val="16"/>
                <w:szCs w:val="16"/>
              </w:rPr>
            </w:pPr>
            <w:r>
              <w:rPr>
                <w:rFonts w:eastAsia="Times New Roman" w:cs="Arial"/>
                <w:b/>
                <w:bCs/>
                <w:color w:val="000000"/>
                <w:sz w:val="16"/>
                <w:szCs w:val="16"/>
              </w:rPr>
              <w:t>I–VI</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b/>
                <w:sz w:val="16"/>
                <w:szCs w:val="16"/>
              </w:rPr>
            </w:pPr>
            <w:r w:rsidRPr="00FD08DD">
              <w:rPr>
                <w:b/>
                <w:sz w:val="16"/>
                <w:szCs w:val="16"/>
              </w:rPr>
              <w:t>UKUPAN BUDŽET ZA 2016. GODINU</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81.255.000</w:t>
            </w:r>
          </w:p>
        </w:tc>
        <w:tc>
          <w:tcPr>
            <w:tcW w:w="634"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84.200.412</w:t>
            </w:r>
          </w:p>
        </w:tc>
        <w:tc>
          <w:tcPr>
            <w:tcW w:w="63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60.508.998</w:t>
            </w:r>
          </w:p>
        </w:tc>
        <w:tc>
          <w:tcPr>
            <w:tcW w:w="426"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71,86</w:t>
            </w:r>
          </w:p>
        </w:tc>
      </w:tr>
      <w:tr w:rsidR="00FD08DD" w:rsidRPr="00076818" w:rsidTr="00FD08DD">
        <w:trPr>
          <w:trHeight w:val="48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01</w:t>
            </w:r>
            <w:r>
              <w:rPr>
                <w:rFonts w:eastAsia="Times New Roman" w:cs="Arial"/>
                <w:b/>
                <w:bCs/>
                <w:color w:val="07D9EF"/>
                <w:sz w:val="16"/>
                <w:szCs w:val="16"/>
              </w:rPr>
              <w:t>, 05, 15</w:t>
            </w:r>
            <w:r w:rsidRPr="00076818">
              <w:rPr>
                <w:rFonts w:eastAsia="Times New Roman" w:cs="Arial"/>
                <w:b/>
                <w:bCs/>
                <w:color w:val="07D9EF"/>
                <w:sz w:val="16"/>
                <w:szCs w:val="16"/>
              </w:rPr>
              <w:t xml:space="preserve"> </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E734A0">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I</w:t>
            </w:r>
            <w:r>
              <w:rPr>
                <w:rFonts w:eastAsia="Times New Roman" w:cs="Arial"/>
                <w:b/>
                <w:bCs/>
                <w:color w:val="07D9EF"/>
                <w:sz w:val="16"/>
                <w:szCs w:val="16"/>
              </w:rPr>
              <w:t>–</w:t>
            </w:r>
            <w:r w:rsidRPr="00076818">
              <w:rPr>
                <w:rFonts w:eastAsia="Times New Roman" w:cs="Arial"/>
                <w:b/>
                <w:bCs/>
                <w:color w:val="07D9EF"/>
                <w:sz w:val="16"/>
                <w:szCs w:val="16"/>
              </w:rPr>
              <w:t>III</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b/>
                <w:color w:val="3BCCFF"/>
                <w:sz w:val="16"/>
                <w:szCs w:val="16"/>
              </w:rPr>
            </w:pPr>
            <w:r w:rsidRPr="00FD08DD">
              <w:rPr>
                <w:b/>
                <w:color w:val="3BCCFF"/>
                <w:sz w:val="16"/>
                <w:szCs w:val="16"/>
              </w:rPr>
              <w:t>UKUPNO PRIHODI – IZVOR 01, 05, 15</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60733">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80.</w:t>
            </w:r>
            <w:r>
              <w:rPr>
                <w:rFonts w:eastAsia="Times New Roman" w:cs="Arial"/>
                <w:b/>
                <w:bCs/>
                <w:color w:val="07D9EF"/>
                <w:sz w:val="16"/>
                <w:szCs w:val="16"/>
              </w:rPr>
              <w:t>919</w:t>
            </w:r>
            <w:r w:rsidRPr="00076818">
              <w:rPr>
                <w:rFonts w:eastAsia="Times New Roman" w:cs="Arial"/>
                <w:b/>
                <w:bCs/>
                <w:color w:val="07D9EF"/>
                <w:sz w:val="16"/>
                <w:szCs w:val="16"/>
              </w:rPr>
              <w:t>.000</w:t>
            </w:r>
          </w:p>
        </w:tc>
        <w:tc>
          <w:tcPr>
            <w:tcW w:w="634" w:type="pct"/>
            <w:tcBorders>
              <w:top w:val="nil"/>
              <w:left w:val="nil"/>
              <w:bottom w:val="single" w:sz="4" w:space="0" w:color="auto"/>
              <w:right w:val="single" w:sz="4" w:space="0" w:color="auto"/>
            </w:tcBorders>
            <w:shd w:val="clear" w:color="auto" w:fill="auto"/>
            <w:vAlign w:val="center"/>
            <w:hideMark/>
          </w:tcPr>
          <w:p w:rsidR="00FD08DD" w:rsidRPr="00160733" w:rsidRDefault="00FD08DD" w:rsidP="00160733">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80.</w:t>
            </w:r>
            <w:r>
              <w:rPr>
                <w:rFonts w:eastAsia="Times New Roman" w:cs="Arial"/>
                <w:b/>
                <w:bCs/>
                <w:color w:val="07D9EF"/>
                <w:sz w:val="16"/>
                <w:szCs w:val="16"/>
              </w:rPr>
              <w:t>990</w:t>
            </w:r>
            <w:r w:rsidRPr="00076818">
              <w:rPr>
                <w:rFonts w:eastAsia="Times New Roman" w:cs="Arial"/>
                <w:b/>
                <w:bCs/>
                <w:color w:val="07D9EF"/>
                <w:sz w:val="16"/>
                <w:szCs w:val="16"/>
              </w:rPr>
              <w:t>.0</w:t>
            </w:r>
            <w:r>
              <w:rPr>
                <w:rFonts w:eastAsia="Times New Roman" w:cs="Arial"/>
                <w:b/>
                <w:bCs/>
                <w:color w:val="07D9EF"/>
                <w:sz w:val="16"/>
                <w:szCs w:val="16"/>
              </w:rPr>
              <w:t>72</w:t>
            </w:r>
          </w:p>
        </w:tc>
        <w:tc>
          <w:tcPr>
            <w:tcW w:w="631" w:type="pct"/>
            <w:tcBorders>
              <w:top w:val="nil"/>
              <w:left w:val="nil"/>
              <w:bottom w:val="single" w:sz="4" w:space="0" w:color="auto"/>
              <w:right w:val="single" w:sz="4" w:space="0" w:color="auto"/>
            </w:tcBorders>
            <w:shd w:val="clear" w:color="auto" w:fill="auto"/>
            <w:vAlign w:val="center"/>
            <w:hideMark/>
          </w:tcPr>
          <w:p w:rsidR="00FD08DD" w:rsidRPr="00160733" w:rsidRDefault="00FD08DD" w:rsidP="00160733">
            <w:pPr>
              <w:spacing w:before="0" w:after="0" w:line="276" w:lineRule="auto"/>
              <w:jc w:val="center"/>
              <w:rPr>
                <w:rFonts w:eastAsia="Times New Roman" w:cs="Arial"/>
                <w:b/>
                <w:bCs/>
                <w:color w:val="07D9EF"/>
                <w:sz w:val="16"/>
                <w:szCs w:val="16"/>
              </w:rPr>
            </w:pPr>
            <w:r w:rsidRPr="00076818">
              <w:rPr>
                <w:rFonts w:eastAsia="Times New Roman" w:cs="Arial"/>
                <w:b/>
                <w:bCs/>
                <w:color w:val="07D9EF"/>
                <w:sz w:val="16"/>
                <w:szCs w:val="16"/>
              </w:rPr>
              <w:t>5</w:t>
            </w:r>
            <w:r>
              <w:rPr>
                <w:rFonts w:eastAsia="Times New Roman" w:cs="Arial"/>
                <w:b/>
                <w:bCs/>
                <w:color w:val="07D9EF"/>
                <w:sz w:val="16"/>
                <w:szCs w:val="16"/>
              </w:rPr>
              <w:t>9</w:t>
            </w:r>
            <w:r w:rsidRPr="00076818">
              <w:rPr>
                <w:rFonts w:eastAsia="Times New Roman" w:cs="Arial"/>
                <w:b/>
                <w:bCs/>
                <w:color w:val="07D9EF"/>
                <w:sz w:val="16"/>
                <w:szCs w:val="16"/>
              </w:rPr>
              <w:t>.</w:t>
            </w:r>
            <w:r>
              <w:rPr>
                <w:rFonts w:eastAsia="Times New Roman" w:cs="Arial"/>
                <w:b/>
                <w:bCs/>
                <w:color w:val="07D9EF"/>
                <w:sz w:val="16"/>
                <w:szCs w:val="16"/>
              </w:rPr>
              <w:t>038</w:t>
            </w:r>
            <w:r w:rsidRPr="00076818">
              <w:rPr>
                <w:rFonts w:eastAsia="Times New Roman" w:cs="Arial"/>
                <w:b/>
                <w:bCs/>
                <w:color w:val="07D9EF"/>
                <w:sz w:val="16"/>
                <w:szCs w:val="16"/>
              </w:rPr>
              <w:t>.</w:t>
            </w:r>
            <w:r>
              <w:rPr>
                <w:rFonts w:eastAsia="Times New Roman" w:cs="Arial"/>
                <w:b/>
                <w:bCs/>
                <w:color w:val="07D9EF"/>
                <w:sz w:val="16"/>
                <w:szCs w:val="16"/>
              </w:rPr>
              <w:t>159</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135D51">
            <w:pPr>
              <w:spacing w:before="0" w:after="0" w:line="276" w:lineRule="auto"/>
              <w:jc w:val="center"/>
              <w:rPr>
                <w:rFonts w:eastAsia="Times New Roman" w:cs="Arial"/>
                <w:b/>
                <w:bCs/>
                <w:color w:val="07D9EF"/>
                <w:sz w:val="16"/>
                <w:szCs w:val="16"/>
              </w:rPr>
            </w:pPr>
            <w:r>
              <w:rPr>
                <w:rFonts w:eastAsia="Times New Roman" w:cs="Arial"/>
                <w:b/>
                <w:bCs/>
                <w:color w:val="07D9EF"/>
                <w:sz w:val="16"/>
                <w:szCs w:val="16"/>
              </w:rPr>
              <w:t>72,90</w:t>
            </w:r>
          </w:p>
        </w:tc>
      </w:tr>
      <w:tr w:rsidR="00FD08DD" w:rsidRPr="00076818" w:rsidTr="00FD08DD">
        <w:trPr>
          <w:trHeight w:val="660"/>
        </w:trPr>
        <w:tc>
          <w:tcPr>
            <w:tcW w:w="428" w:type="pct"/>
            <w:tcBorders>
              <w:top w:val="nil"/>
              <w:left w:val="single" w:sz="4" w:space="0" w:color="auto"/>
              <w:bottom w:val="single" w:sz="4" w:space="0" w:color="auto"/>
              <w:right w:val="single" w:sz="4" w:space="0" w:color="auto"/>
            </w:tcBorders>
            <w:shd w:val="clear" w:color="auto" w:fill="04D9F6"/>
            <w:noWrap/>
            <w:vAlign w:val="center"/>
            <w:hideMark/>
          </w:tcPr>
          <w:p w:rsidR="00FD08DD" w:rsidRPr="00160733" w:rsidRDefault="00FD08DD" w:rsidP="00135D51">
            <w:pPr>
              <w:spacing w:before="0" w:after="0" w:line="276" w:lineRule="auto"/>
              <w:jc w:val="center"/>
              <w:rPr>
                <w:rFonts w:eastAsia="Times New Roman" w:cs="Arial"/>
                <w:b/>
                <w:bCs/>
                <w:color w:val="000000"/>
                <w:sz w:val="16"/>
                <w:szCs w:val="16"/>
              </w:rPr>
            </w:pPr>
            <w:r>
              <w:rPr>
                <w:rFonts w:eastAsia="Times New Roman" w:cs="Arial"/>
                <w:b/>
                <w:bCs/>
                <w:color w:val="000000"/>
                <w:sz w:val="16"/>
                <w:szCs w:val="16"/>
              </w:rPr>
              <w:t>01, 05, 15</w:t>
            </w:r>
          </w:p>
        </w:tc>
        <w:tc>
          <w:tcPr>
            <w:tcW w:w="490" w:type="pct"/>
            <w:tcBorders>
              <w:top w:val="nil"/>
              <w:left w:val="nil"/>
              <w:bottom w:val="single" w:sz="4" w:space="0" w:color="auto"/>
              <w:right w:val="single" w:sz="4" w:space="0" w:color="auto"/>
            </w:tcBorders>
            <w:shd w:val="clear" w:color="auto" w:fill="04D9F6"/>
            <w:noWrap/>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04D9F6"/>
            <w:noWrap/>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0012</w:t>
            </w:r>
          </w:p>
        </w:tc>
        <w:tc>
          <w:tcPr>
            <w:tcW w:w="352" w:type="pct"/>
            <w:tcBorders>
              <w:top w:val="nil"/>
              <w:left w:val="nil"/>
              <w:bottom w:val="single" w:sz="4" w:space="0" w:color="auto"/>
              <w:right w:val="single" w:sz="4" w:space="0" w:color="auto"/>
            </w:tcBorders>
            <w:shd w:val="clear" w:color="auto" w:fill="04D9F6"/>
            <w:noWrap/>
            <w:vAlign w:val="center"/>
            <w:hideMark/>
          </w:tcPr>
          <w:p w:rsidR="00FD08DD" w:rsidRPr="00076818" w:rsidRDefault="00FD08DD"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I</w:t>
            </w:r>
          </w:p>
        </w:tc>
        <w:tc>
          <w:tcPr>
            <w:tcW w:w="843" w:type="pct"/>
            <w:tcBorders>
              <w:top w:val="nil"/>
              <w:left w:val="nil"/>
              <w:bottom w:val="single" w:sz="4" w:space="0" w:color="auto"/>
              <w:right w:val="single" w:sz="4" w:space="0" w:color="auto"/>
            </w:tcBorders>
            <w:shd w:val="clear" w:color="auto" w:fill="04D9F6"/>
            <w:hideMark/>
          </w:tcPr>
          <w:p w:rsidR="00FD08DD" w:rsidRPr="00FD08DD" w:rsidRDefault="00FD08DD" w:rsidP="00FD08DD">
            <w:pPr>
              <w:jc w:val="center"/>
              <w:rPr>
                <w:b/>
                <w:sz w:val="16"/>
                <w:szCs w:val="16"/>
              </w:rPr>
            </w:pPr>
            <w:r w:rsidRPr="00FD08DD">
              <w:rPr>
                <w:b/>
                <w:sz w:val="16"/>
                <w:szCs w:val="16"/>
              </w:rPr>
              <w:t>SVEGA – Programska aktivnost 0012</w:t>
            </w:r>
          </w:p>
        </w:tc>
        <w:tc>
          <w:tcPr>
            <w:tcW w:w="621" w:type="pct"/>
            <w:tcBorders>
              <w:top w:val="nil"/>
              <w:left w:val="nil"/>
              <w:bottom w:val="single" w:sz="4" w:space="0" w:color="auto"/>
              <w:right w:val="single" w:sz="4" w:space="0" w:color="auto"/>
            </w:tcBorders>
            <w:shd w:val="clear" w:color="auto" w:fill="04D9F6"/>
            <w:noWrap/>
            <w:vAlign w:val="center"/>
            <w:hideMark/>
          </w:tcPr>
          <w:p w:rsidR="00FD08DD" w:rsidRPr="00076818" w:rsidRDefault="00FD08DD" w:rsidP="00A23B87">
            <w:pPr>
              <w:spacing w:before="0" w:after="0" w:line="276" w:lineRule="auto"/>
              <w:ind w:firstLineChars="100" w:firstLine="161"/>
              <w:jc w:val="right"/>
              <w:rPr>
                <w:rFonts w:eastAsia="Times New Roman" w:cs="Arial"/>
                <w:b/>
                <w:bCs/>
                <w:color w:val="000000"/>
                <w:sz w:val="16"/>
                <w:szCs w:val="16"/>
              </w:rPr>
            </w:pPr>
            <w:r>
              <w:rPr>
                <w:rFonts w:eastAsia="Times New Roman" w:cs="Arial"/>
                <w:b/>
                <w:bCs/>
                <w:color w:val="000000"/>
                <w:sz w:val="16"/>
                <w:szCs w:val="16"/>
              </w:rPr>
              <w:t>80</w:t>
            </w:r>
            <w:r w:rsidRPr="00076818">
              <w:rPr>
                <w:rFonts w:eastAsia="Times New Roman" w:cs="Arial"/>
                <w:b/>
                <w:bCs/>
                <w:color w:val="000000"/>
                <w:sz w:val="16"/>
                <w:szCs w:val="16"/>
              </w:rPr>
              <w:t>.</w:t>
            </w:r>
            <w:r>
              <w:rPr>
                <w:rFonts w:eastAsia="Times New Roman" w:cs="Arial"/>
                <w:b/>
                <w:bCs/>
                <w:color w:val="000000"/>
                <w:sz w:val="16"/>
                <w:szCs w:val="16"/>
              </w:rPr>
              <w:t>019</w:t>
            </w:r>
            <w:r w:rsidRPr="00076818">
              <w:rPr>
                <w:rFonts w:eastAsia="Times New Roman" w:cs="Arial"/>
                <w:b/>
                <w:bCs/>
                <w:color w:val="000000"/>
                <w:sz w:val="16"/>
                <w:szCs w:val="16"/>
              </w:rPr>
              <w:t>.000</w:t>
            </w:r>
          </w:p>
        </w:tc>
        <w:tc>
          <w:tcPr>
            <w:tcW w:w="634" w:type="pct"/>
            <w:tcBorders>
              <w:top w:val="nil"/>
              <w:left w:val="nil"/>
              <w:bottom w:val="single" w:sz="4" w:space="0" w:color="auto"/>
              <w:right w:val="single" w:sz="4" w:space="0" w:color="auto"/>
            </w:tcBorders>
            <w:shd w:val="clear" w:color="auto" w:fill="04D9F6"/>
            <w:noWrap/>
            <w:vAlign w:val="center"/>
            <w:hideMark/>
          </w:tcPr>
          <w:p w:rsidR="00FD08DD" w:rsidRDefault="00FD08DD" w:rsidP="00170EDF">
            <w:pPr>
              <w:spacing w:before="0" w:after="0" w:line="276" w:lineRule="auto"/>
              <w:ind w:firstLineChars="100" w:firstLine="161"/>
              <w:jc w:val="right"/>
              <w:rPr>
                <w:rFonts w:eastAsia="Times New Roman" w:cs="Arial"/>
                <w:b/>
                <w:bCs/>
                <w:color w:val="000000"/>
                <w:sz w:val="16"/>
                <w:szCs w:val="16"/>
              </w:rPr>
            </w:pPr>
            <w:r>
              <w:rPr>
                <w:rFonts w:eastAsia="Times New Roman" w:cs="Arial"/>
                <w:b/>
                <w:bCs/>
                <w:color w:val="000000"/>
                <w:sz w:val="16"/>
                <w:szCs w:val="16"/>
              </w:rPr>
              <w:t>80</w:t>
            </w:r>
            <w:r w:rsidRPr="00076818">
              <w:rPr>
                <w:rFonts w:eastAsia="Times New Roman" w:cs="Arial"/>
                <w:b/>
                <w:bCs/>
                <w:color w:val="000000"/>
                <w:sz w:val="16"/>
                <w:szCs w:val="16"/>
              </w:rPr>
              <w:t>.</w:t>
            </w:r>
            <w:r>
              <w:rPr>
                <w:rFonts w:eastAsia="Times New Roman" w:cs="Arial"/>
                <w:b/>
                <w:bCs/>
                <w:color w:val="000000"/>
                <w:sz w:val="16"/>
                <w:szCs w:val="16"/>
              </w:rPr>
              <w:t>090</w:t>
            </w:r>
            <w:r w:rsidRPr="00076818">
              <w:rPr>
                <w:rFonts w:eastAsia="Times New Roman" w:cs="Arial"/>
                <w:b/>
                <w:bCs/>
                <w:color w:val="000000"/>
                <w:sz w:val="16"/>
                <w:szCs w:val="16"/>
              </w:rPr>
              <w:t>.0</w:t>
            </w:r>
            <w:r>
              <w:rPr>
                <w:rFonts w:eastAsia="Times New Roman" w:cs="Arial"/>
                <w:b/>
                <w:bCs/>
                <w:color w:val="000000"/>
                <w:sz w:val="16"/>
                <w:szCs w:val="16"/>
              </w:rPr>
              <w:t>72</w:t>
            </w:r>
          </w:p>
        </w:tc>
        <w:tc>
          <w:tcPr>
            <w:tcW w:w="631" w:type="pct"/>
            <w:tcBorders>
              <w:top w:val="nil"/>
              <w:left w:val="nil"/>
              <w:bottom w:val="single" w:sz="4" w:space="0" w:color="auto"/>
              <w:right w:val="single" w:sz="4" w:space="0" w:color="auto"/>
            </w:tcBorders>
            <w:shd w:val="clear" w:color="auto" w:fill="04D9F6"/>
            <w:noWrap/>
            <w:vAlign w:val="center"/>
            <w:hideMark/>
          </w:tcPr>
          <w:p w:rsidR="00FD08DD" w:rsidRDefault="00FD08DD" w:rsidP="00170EDF">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58.</w:t>
            </w:r>
            <w:r>
              <w:rPr>
                <w:rFonts w:eastAsia="Times New Roman" w:cs="Arial"/>
                <w:b/>
                <w:bCs/>
                <w:color w:val="000000"/>
                <w:sz w:val="16"/>
                <w:szCs w:val="16"/>
              </w:rPr>
              <w:t>532</w:t>
            </w:r>
            <w:r w:rsidRPr="00076818">
              <w:rPr>
                <w:rFonts w:eastAsia="Times New Roman" w:cs="Arial"/>
                <w:b/>
                <w:bCs/>
                <w:color w:val="000000"/>
                <w:sz w:val="16"/>
                <w:szCs w:val="16"/>
              </w:rPr>
              <w:t>.3</w:t>
            </w:r>
            <w:r>
              <w:rPr>
                <w:rFonts w:eastAsia="Times New Roman" w:cs="Arial"/>
                <w:b/>
                <w:bCs/>
                <w:color w:val="000000"/>
                <w:sz w:val="16"/>
                <w:szCs w:val="16"/>
              </w:rPr>
              <w:t>87</w:t>
            </w:r>
          </w:p>
        </w:tc>
        <w:tc>
          <w:tcPr>
            <w:tcW w:w="426" w:type="pct"/>
            <w:tcBorders>
              <w:top w:val="nil"/>
              <w:left w:val="nil"/>
              <w:bottom w:val="single" w:sz="4" w:space="0" w:color="auto"/>
              <w:right w:val="single" w:sz="4" w:space="0" w:color="auto"/>
            </w:tcBorders>
            <w:shd w:val="clear" w:color="auto" w:fill="04D9F6"/>
            <w:noWrap/>
            <w:vAlign w:val="center"/>
            <w:hideMark/>
          </w:tcPr>
          <w:p w:rsidR="00FD08DD" w:rsidRPr="00160733" w:rsidRDefault="00FD08DD" w:rsidP="00160733">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73,0</w:t>
            </w:r>
            <w:r>
              <w:rPr>
                <w:rFonts w:eastAsia="Times New Roman" w:cs="Arial"/>
                <w:b/>
                <w:bCs/>
                <w:color w:val="000000"/>
                <w:sz w:val="16"/>
                <w:szCs w:val="16"/>
              </w:rPr>
              <w:t>8</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411</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Plate, dodaci i naknade zaposlenih</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45.337.000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44.402.000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34.836.584</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78,46</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412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Socijal. doprinosi na teret poslodavca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8.000.000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7.835.000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6.234.137</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79,57</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413</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Naknade u naturi</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97.200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97,20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414</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Socijalna davanja zaposlenima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700.000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700.000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311.279</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44,47</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lastRenderedPageBreak/>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415</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Naknade troškova za zaposlene</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3.000.000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3.000.000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2.255.598</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75,19</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416</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Nagrade zaposlenima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181.210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60,40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421</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Stalni troškovi</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4.897.000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4.547.000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2.711.042</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59,62</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F90124"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r>
              <w:rPr>
                <w:rFonts w:eastAsia="Times New Roman" w:cs="Arial"/>
                <w:color w:val="000000"/>
                <w:sz w:val="16"/>
                <w:szCs w:val="16"/>
              </w:rPr>
              <w:t>, 05</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Troškovi putovanja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160733">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2.08</w:t>
            </w:r>
            <w:r>
              <w:rPr>
                <w:rFonts w:eastAsia="Times New Roman" w:cs="Arial"/>
                <w:color w:val="000000"/>
                <w:sz w:val="16"/>
                <w:szCs w:val="16"/>
              </w:rPr>
              <w:t>5</w:t>
            </w:r>
            <w:r w:rsidRPr="00076818">
              <w:rPr>
                <w:rFonts w:eastAsia="Times New Roman" w:cs="Arial"/>
                <w:color w:val="000000"/>
                <w:sz w:val="16"/>
                <w:szCs w:val="16"/>
              </w:rPr>
              <w:t>.000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60733">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1.88</w:t>
            </w:r>
            <w:r>
              <w:rPr>
                <w:rFonts w:eastAsia="Times New Roman" w:cs="Arial"/>
                <w:color w:val="000000"/>
                <w:sz w:val="16"/>
                <w:szCs w:val="16"/>
              </w:rPr>
              <w:t>5</w:t>
            </w:r>
            <w:r w:rsidRPr="00076818">
              <w:rPr>
                <w:rFonts w:eastAsia="Times New Roman" w:cs="Arial"/>
                <w:color w:val="000000"/>
                <w:sz w:val="16"/>
                <w:szCs w:val="16"/>
              </w:rPr>
              <w:t>.000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987.650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160733">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52,4</w:t>
            </w:r>
            <w:r>
              <w:rPr>
                <w:rFonts w:eastAsia="Times New Roman" w:cs="Arial"/>
                <w:color w:val="000000"/>
                <w:sz w:val="16"/>
                <w:szCs w:val="16"/>
              </w:rPr>
              <w:t>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423</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Usluge po ugovoru</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7.690.000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8.790.000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6.675.114</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75,94</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424</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Specijalizovane usluge</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255.000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255.000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33.360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13,08</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425</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Tekuće popravke i održavanje</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2.350.000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2.900.000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1.156.470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39,88</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426</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Materijal</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2.825.000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2.825.000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2.286.497</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80,94</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462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Dotacije međunarodnim organizacijama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130.000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130.000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124.132</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95,49</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160733" w:rsidRDefault="00FD08DD"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15</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0012</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465</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Ostale dotacije i transferi</w:t>
            </w:r>
          </w:p>
        </w:tc>
        <w:tc>
          <w:tcPr>
            <w:tcW w:w="621" w:type="pct"/>
            <w:tcBorders>
              <w:top w:val="nil"/>
              <w:left w:val="nil"/>
              <w:bottom w:val="single" w:sz="4" w:space="0" w:color="auto"/>
              <w:right w:val="single" w:sz="4" w:space="0" w:color="auto"/>
            </w:tcBorders>
            <w:shd w:val="clear" w:color="auto" w:fill="auto"/>
            <w:vAlign w:val="center"/>
            <w:hideMark/>
          </w:tcPr>
          <w:p w:rsidR="00FD08DD" w:rsidRPr="00160733" w:rsidRDefault="00FD08DD" w:rsidP="00076818">
            <w:pPr>
              <w:spacing w:before="0" w:after="0" w:line="276" w:lineRule="auto"/>
              <w:ind w:firstLineChars="100" w:firstLine="160"/>
              <w:jc w:val="right"/>
              <w:rPr>
                <w:rFonts w:eastAsia="Times New Roman" w:cs="Arial"/>
                <w:color w:val="000000"/>
                <w:sz w:val="16"/>
                <w:szCs w:val="16"/>
              </w:rPr>
            </w:pPr>
            <w:r>
              <w:rPr>
                <w:rFonts w:eastAsia="Times New Roman" w:cs="Arial"/>
                <w:color w:val="000000"/>
                <w:sz w:val="16"/>
                <w:szCs w:val="16"/>
              </w:rPr>
              <w:t>100.000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076818">
            <w:pPr>
              <w:spacing w:before="0" w:after="0" w:line="276" w:lineRule="auto"/>
              <w:ind w:firstLineChars="100" w:firstLine="160"/>
              <w:jc w:val="right"/>
              <w:rPr>
                <w:rFonts w:eastAsia="Times New Roman" w:cs="Arial"/>
                <w:color w:val="000000"/>
                <w:sz w:val="16"/>
                <w:szCs w:val="16"/>
              </w:rPr>
            </w:pPr>
            <w:r>
              <w:rPr>
                <w:rFonts w:eastAsia="Times New Roman" w:cs="Arial"/>
                <w:color w:val="000000"/>
                <w:sz w:val="16"/>
                <w:szCs w:val="16"/>
              </w:rPr>
              <w:t>171.072</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Pr>
                <w:rFonts w:eastAsia="Times New Roman" w:cs="Arial"/>
                <w:color w:val="000000"/>
                <w:sz w:val="16"/>
                <w:szCs w:val="16"/>
              </w:rPr>
              <w:t>171.072</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160733" w:rsidRDefault="00FD08DD"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100,00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482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Porezi, obavezne takse i kazne</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13.350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6,68</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483</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Novčane kazne po rešenju sudova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28.500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28,50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512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Mašine i oprema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1.700.000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1.700.000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429.192</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25,25</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 xml:space="preserve">0012 </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515</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jc w:val="center"/>
              <w:rPr>
                <w:sz w:val="16"/>
                <w:szCs w:val="16"/>
              </w:rPr>
            </w:pPr>
            <w:r w:rsidRPr="00FD08DD">
              <w:rPr>
                <w:sz w:val="16"/>
                <w:szCs w:val="16"/>
              </w:rPr>
              <w:t>Nematerijalna imovina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250.000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250.000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0,00</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01</w:t>
            </w:r>
          </w:p>
        </w:tc>
        <w:tc>
          <w:tcPr>
            <w:tcW w:w="490"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4004</w:t>
            </w:r>
          </w:p>
        </w:tc>
        <w:tc>
          <w:tcPr>
            <w:tcW w:w="352"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II</w:t>
            </w:r>
          </w:p>
        </w:tc>
        <w:tc>
          <w:tcPr>
            <w:tcW w:w="843" w:type="pct"/>
            <w:tcBorders>
              <w:top w:val="nil"/>
              <w:left w:val="nil"/>
              <w:bottom w:val="single" w:sz="4" w:space="0" w:color="auto"/>
              <w:right w:val="single" w:sz="4" w:space="0" w:color="auto"/>
            </w:tcBorders>
            <w:shd w:val="clear" w:color="auto" w:fill="04D9F6"/>
            <w:vAlign w:val="center"/>
            <w:hideMark/>
          </w:tcPr>
          <w:p w:rsidR="00135D51" w:rsidRPr="00FD08DD" w:rsidRDefault="00FD08DD" w:rsidP="00FD08DD">
            <w:pPr>
              <w:spacing w:before="0" w:after="0" w:line="276" w:lineRule="auto"/>
              <w:jc w:val="center"/>
              <w:rPr>
                <w:rFonts w:eastAsia="Times New Roman" w:cs="Arial"/>
                <w:b/>
                <w:bCs/>
                <w:color w:val="000000"/>
                <w:sz w:val="16"/>
                <w:szCs w:val="16"/>
                <w:lang w:val="sr-Latn-RS"/>
              </w:rPr>
            </w:pPr>
            <w:r>
              <w:rPr>
                <w:rFonts w:eastAsia="Times New Roman" w:cs="Arial"/>
                <w:b/>
                <w:bCs/>
                <w:color w:val="000000"/>
                <w:sz w:val="16"/>
                <w:szCs w:val="16"/>
                <w:lang w:val="sr-Latn-RS"/>
              </w:rPr>
              <w:t>SVEGA</w:t>
            </w:r>
            <w:r w:rsidR="00135D51" w:rsidRPr="00076818">
              <w:rPr>
                <w:rFonts w:eastAsia="Times New Roman" w:cs="Arial"/>
                <w:b/>
                <w:bCs/>
                <w:color w:val="000000"/>
                <w:sz w:val="16"/>
                <w:szCs w:val="16"/>
              </w:rPr>
              <w:t xml:space="preserve"> </w:t>
            </w:r>
            <w:r w:rsidR="00E734A0">
              <w:rPr>
                <w:rFonts w:eastAsia="Times New Roman" w:cs="Arial"/>
                <w:b/>
                <w:bCs/>
                <w:color w:val="000000"/>
                <w:sz w:val="16"/>
                <w:szCs w:val="16"/>
              </w:rPr>
              <w:t>–</w:t>
            </w:r>
            <w:r w:rsidR="00135D51" w:rsidRPr="00076818">
              <w:rPr>
                <w:rFonts w:eastAsia="Times New Roman" w:cs="Arial"/>
                <w:b/>
                <w:bCs/>
                <w:color w:val="000000"/>
                <w:sz w:val="16"/>
                <w:szCs w:val="16"/>
              </w:rPr>
              <w:t xml:space="preserve"> </w:t>
            </w:r>
            <w:r>
              <w:rPr>
                <w:rFonts w:eastAsia="Times New Roman" w:cs="Arial"/>
                <w:b/>
                <w:bCs/>
                <w:color w:val="000000"/>
                <w:sz w:val="16"/>
                <w:szCs w:val="16"/>
                <w:lang w:val="sr-Latn-RS"/>
              </w:rPr>
              <w:t>Projekat Živa biblioteka</w:t>
            </w:r>
            <w:r w:rsidR="00135D51" w:rsidRPr="00076818">
              <w:rPr>
                <w:rFonts w:eastAsia="Times New Roman" w:cs="Arial"/>
                <w:b/>
                <w:bCs/>
                <w:i/>
                <w:iCs/>
                <w:color w:val="000000"/>
                <w:sz w:val="16"/>
                <w:szCs w:val="16"/>
              </w:rPr>
              <w:t xml:space="preserve">                                       </w:t>
            </w:r>
            <w:r>
              <w:rPr>
                <w:rFonts w:eastAsia="Times New Roman" w:cs="Arial"/>
                <w:b/>
                <w:bCs/>
                <w:i/>
                <w:iCs/>
                <w:color w:val="000000"/>
                <w:sz w:val="16"/>
                <w:szCs w:val="16"/>
              </w:rPr>
              <w:t xml:space="preserve">                 </w:t>
            </w:r>
          </w:p>
        </w:tc>
        <w:tc>
          <w:tcPr>
            <w:tcW w:w="621"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517.000</w:t>
            </w:r>
          </w:p>
        </w:tc>
        <w:tc>
          <w:tcPr>
            <w:tcW w:w="634"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517.000</w:t>
            </w:r>
          </w:p>
        </w:tc>
        <w:tc>
          <w:tcPr>
            <w:tcW w:w="631"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330.812</w:t>
            </w:r>
          </w:p>
        </w:tc>
        <w:tc>
          <w:tcPr>
            <w:tcW w:w="426"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63,99</w:t>
            </w:r>
          </w:p>
        </w:tc>
      </w:tr>
      <w:tr w:rsidR="00510759" w:rsidRPr="00076818" w:rsidTr="00510759">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4004</w:t>
            </w:r>
          </w:p>
        </w:tc>
        <w:tc>
          <w:tcPr>
            <w:tcW w:w="352"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422</w:t>
            </w:r>
          </w:p>
        </w:tc>
        <w:tc>
          <w:tcPr>
            <w:tcW w:w="843" w:type="pct"/>
            <w:tcBorders>
              <w:top w:val="nil"/>
              <w:left w:val="nil"/>
              <w:bottom w:val="single" w:sz="4" w:space="0" w:color="auto"/>
              <w:right w:val="single" w:sz="4" w:space="0" w:color="auto"/>
            </w:tcBorders>
            <w:shd w:val="clear" w:color="auto" w:fill="auto"/>
            <w:vAlign w:val="center"/>
            <w:hideMark/>
          </w:tcPr>
          <w:p w:rsidR="00135D51" w:rsidRPr="00FD08DD" w:rsidRDefault="00FD08DD" w:rsidP="00135D51">
            <w:pPr>
              <w:spacing w:before="0" w:after="0" w:line="276" w:lineRule="auto"/>
              <w:jc w:val="center"/>
              <w:rPr>
                <w:rFonts w:eastAsia="Times New Roman" w:cs="Arial"/>
                <w:color w:val="000000"/>
                <w:sz w:val="16"/>
                <w:szCs w:val="16"/>
                <w:lang w:val="sr-Latn-RS"/>
              </w:rPr>
            </w:pPr>
            <w:r>
              <w:rPr>
                <w:rFonts w:eastAsia="Times New Roman" w:cs="Arial"/>
                <w:color w:val="000000"/>
                <w:sz w:val="16"/>
                <w:szCs w:val="16"/>
                <w:lang w:val="sr-Latn-RS"/>
              </w:rPr>
              <w:t>Troškovi putovanja</w:t>
            </w:r>
          </w:p>
        </w:tc>
        <w:tc>
          <w:tcPr>
            <w:tcW w:w="621"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176.000</w:t>
            </w:r>
          </w:p>
        </w:tc>
        <w:tc>
          <w:tcPr>
            <w:tcW w:w="634"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176.000</w:t>
            </w:r>
          </w:p>
        </w:tc>
        <w:tc>
          <w:tcPr>
            <w:tcW w:w="631"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116.787</w:t>
            </w:r>
          </w:p>
        </w:tc>
        <w:tc>
          <w:tcPr>
            <w:tcW w:w="426"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66,36</w:t>
            </w:r>
          </w:p>
        </w:tc>
      </w:tr>
      <w:tr w:rsidR="00510759" w:rsidRPr="00076818" w:rsidTr="00A058BA">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4004</w:t>
            </w:r>
          </w:p>
        </w:tc>
        <w:tc>
          <w:tcPr>
            <w:tcW w:w="352"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423</w:t>
            </w:r>
          </w:p>
        </w:tc>
        <w:tc>
          <w:tcPr>
            <w:tcW w:w="843" w:type="pct"/>
            <w:tcBorders>
              <w:top w:val="nil"/>
              <w:left w:val="nil"/>
              <w:bottom w:val="single" w:sz="4" w:space="0" w:color="auto"/>
              <w:right w:val="single" w:sz="4" w:space="0" w:color="auto"/>
            </w:tcBorders>
            <w:shd w:val="clear" w:color="auto" w:fill="auto"/>
            <w:vAlign w:val="center"/>
            <w:hideMark/>
          </w:tcPr>
          <w:p w:rsidR="00135D51" w:rsidRPr="00076818" w:rsidRDefault="00FD08DD" w:rsidP="00FD08DD">
            <w:pPr>
              <w:spacing w:before="0" w:after="0" w:line="276" w:lineRule="auto"/>
              <w:jc w:val="center"/>
              <w:rPr>
                <w:rFonts w:eastAsia="Times New Roman" w:cs="Arial"/>
                <w:color w:val="000000"/>
                <w:sz w:val="16"/>
                <w:szCs w:val="16"/>
              </w:rPr>
            </w:pPr>
            <w:r>
              <w:rPr>
                <w:rFonts w:eastAsia="Times New Roman" w:cs="Arial"/>
                <w:color w:val="000000"/>
                <w:sz w:val="16"/>
                <w:szCs w:val="16"/>
                <w:lang w:val="sr-Latn-RS"/>
              </w:rPr>
              <w:t>Usluge po ugovoru</w:t>
            </w:r>
          </w:p>
        </w:tc>
        <w:tc>
          <w:tcPr>
            <w:tcW w:w="621"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341.000</w:t>
            </w:r>
          </w:p>
        </w:tc>
        <w:tc>
          <w:tcPr>
            <w:tcW w:w="634"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341.000</w:t>
            </w:r>
          </w:p>
        </w:tc>
        <w:tc>
          <w:tcPr>
            <w:tcW w:w="631"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214.025</w:t>
            </w:r>
          </w:p>
        </w:tc>
        <w:tc>
          <w:tcPr>
            <w:tcW w:w="426" w:type="pct"/>
            <w:tcBorders>
              <w:top w:val="nil"/>
              <w:left w:val="nil"/>
              <w:bottom w:val="single" w:sz="4" w:space="0" w:color="auto"/>
              <w:right w:val="single" w:sz="4" w:space="0" w:color="auto"/>
            </w:tcBorders>
            <w:shd w:val="clear" w:color="auto" w:fill="auto"/>
            <w:noWrap/>
            <w:vAlign w:val="center"/>
            <w:hideMark/>
          </w:tcPr>
          <w:p w:rsidR="00135D51" w:rsidRPr="00510759"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62,76</w:t>
            </w:r>
          </w:p>
        </w:tc>
      </w:tr>
      <w:tr w:rsidR="00A058BA" w:rsidRPr="00076818" w:rsidTr="00A058BA">
        <w:trPr>
          <w:trHeight w:val="1128"/>
        </w:trPr>
        <w:tc>
          <w:tcPr>
            <w:tcW w:w="42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A058BA" w:rsidRPr="00FD08DD" w:rsidRDefault="00A058BA" w:rsidP="00A058BA">
            <w:pPr>
              <w:jc w:val="center"/>
              <w:rPr>
                <w:b/>
                <w:sz w:val="16"/>
                <w:szCs w:val="16"/>
              </w:rPr>
            </w:pPr>
            <w:r w:rsidRPr="00FD08DD">
              <w:rPr>
                <w:b/>
                <w:sz w:val="16"/>
                <w:szCs w:val="16"/>
              </w:rPr>
              <w:t>Izvor finan.</w:t>
            </w:r>
          </w:p>
        </w:tc>
        <w:tc>
          <w:tcPr>
            <w:tcW w:w="490" w:type="pct"/>
            <w:tcBorders>
              <w:top w:val="single" w:sz="4" w:space="0" w:color="auto"/>
              <w:left w:val="nil"/>
              <w:bottom w:val="single" w:sz="4" w:space="0" w:color="auto"/>
              <w:right w:val="single" w:sz="4" w:space="0" w:color="auto"/>
            </w:tcBorders>
            <w:shd w:val="clear" w:color="auto" w:fill="FFFFFF"/>
            <w:noWrap/>
            <w:vAlign w:val="center"/>
            <w:hideMark/>
          </w:tcPr>
          <w:p w:rsidR="00A058BA" w:rsidRPr="00FD08DD" w:rsidRDefault="00A058BA" w:rsidP="00A058BA">
            <w:pPr>
              <w:jc w:val="center"/>
              <w:rPr>
                <w:b/>
                <w:sz w:val="16"/>
                <w:szCs w:val="16"/>
              </w:rPr>
            </w:pPr>
            <w:r w:rsidRPr="00FD08DD">
              <w:rPr>
                <w:b/>
                <w:sz w:val="16"/>
                <w:szCs w:val="16"/>
              </w:rPr>
              <w:t>Program</w:t>
            </w:r>
          </w:p>
        </w:tc>
        <w:tc>
          <w:tcPr>
            <w:tcW w:w="575" w:type="pct"/>
            <w:tcBorders>
              <w:top w:val="single" w:sz="4" w:space="0" w:color="auto"/>
              <w:left w:val="nil"/>
              <w:bottom w:val="single" w:sz="4" w:space="0" w:color="auto"/>
              <w:right w:val="single" w:sz="4" w:space="0" w:color="auto"/>
            </w:tcBorders>
            <w:shd w:val="clear" w:color="auto" w:fill="FFFFFF"/>
            <w:noWrap/>
            <w:vAlign w:val="center"/>
            <w:hideMark/>
          </w:tcPr>
          <w:p w:rsidR="00A058BA" w:rsidRPr="00FD08DD" w:rsidRDefault="00A058BA" w:rsidP="00A058BA">
            <w:pPr>
              <w:jc w:val="center"/>
              <w:rPr>
                <w:b/>
                <w:sz w:val="16"/>
                <w:szCs w:val="16"/>
              </w:rPr>
            </w:pPr>
            <w:r w:rsidRPr="00FD08DD">
              <w:rPr>
                <w:b/>
                <w:sz w:val="16"/>
                <w:szCs w:val="16"/>
              </w:rPr>
              <w:t>Program. aktivnost / projekat</w:t>
            </w:r>
          </w:p>
        </w:tc>
        <w:tc>
          <w:tcPr>
            <w:tcW w:w="352" w:type="pct"/>
            <w:tcBorders>
              <w:top w:val="single" w:sz="4" w:space="0" w:color="auto"/>
              <w:left w:val="nil"/>
              <w:bottom w:val="single" w:sz="4" w:space="0" w:color="auto"/>
              <w:right w:val="single" w:sz="4" w:space="0" w:color="auto"/>
            </w:tcBorders>
            <w:shd w:val="clear" w:color="auto" w:fill="FFFFFF"/>
            <w:noWrap/>
            <w:vAlign w:val="center"/>
            <w:hideMark/>
          </w:tcPr>
          <w:p w:rsidR="00A058BA" w:rsidRPr="00FD08DD" w:rsidRDefault="00A058BA" w:rsidP="00A058BA">
            <w:pPr>
              <w:jc w:val="center"/>
              <w:rPr>
                <w:b/>
                <w:sz w:val="16"/>
                <w:szCs w:val="16"/>
              </w:rPr>
            </w:pPr>
            <w:r w:rsidRPr="00FD08DD">
              <w:rPr>
                <w:b/>
                <w:sz w:val="16"/>
                <w:szCs w:val="16"/>
              </w:rPr>
              <w:t>Ekon. klas.</w:t>
            </w:r>
          </w:p>
        </w:tc>
        <w:tc>
          <w:tcPr>
            <w:tcW w:w="843" w:type="pct"/>
            <w:tcBorders>
              <w:top w:val="single" w:sz="4" w:space="0" w:color="auto"/>
              <w:left w:val="nil"/>
              <w:bottom w:val="single" w:sz="4" w:space="0" w:color="auto"/>
              <w:right w:val="single" w:sz="4" w:space="0" w:color="auto"/>
            </w:tcBorders>
            <w:shd w:val="clear" w:color="auto" w:fill="FFFFFF"/>
            <w:vAlign w:val="center"/>
            <w:hideMark/>
          </w:tcPr>
          <w:p w:rsidR="00A058BA" w:rsidRPr="00FD08DD" w:rsidRDefault="00A058BA" w:rsidP="00A058BA">
            <w:pPr>
              <w:jc w:val="center"/>
              <w:rPr>
                <w:b/>
                <w:sz w:val="16"/>
                <w:szCs w:val="16"/>
              </w:rPr>
            </w:pPr>
            <w:r w:rsidRPr="00FD08DD">
              <w:rPr>
                <w:b/>
                <w:sz w:val="16"/>
                <w:szCs w:val="16"/>
              </w:rPr>
              <w:t>O  P  I  S</w:t>
            </w:r>
          </w:p>
        </w:tc>
        <w:tc>
          <w:tcPr>
            <w:tcW w:w="621" w:type="pct"/>
            <w:tcBorders>
              <w:top w:val="single" w:sz="4" w:space="0" w:color="auto"/>
              <w:left w:val="nil"/>
              <w:bottom w:val="single" w:sz="4" w:space="0" w:color="auto"/>
              <w:right w:val="single" w:sz="4" w:space="0" w:color="auto"/>
            </w:tcBorders>
            <w:shd w:val="clear" w:color="auto" w:fill="FFFFFF"/>
            <w:vAlign w:val="center"/>
            <w:hideMark/>
          </w:tcPr>
          <w:p w:rsidR="00A058BA" w:rsidRPr="00FD08DD" w:rsidRDefault="00A058BA" w:rsidP="00A058BA">
            <w:pPr>
              <w:jc w:val="center"/>
              <w:rPr>
                <w:b/>
                <w:sz w:val="16"/>
                <w:szCs w:val="16"/>
              </w:rPr>
            </w:pPr>
            <w:r w:rsidRPr="00FD08DD">
              <w:rPr>
                <w:b/>
                <w:sz w:val="16"/>
                <w:szCs w:val="16"/>
              </w:rPr>
              <w:t>*Početna aproprijac.</w:t>
            </w:r>
          </w:p>
        </w:tc>
        <w:tc>
          <w:tcPr>
            <w:tcW w:w="634" w:type="pct"/>
            <w:tcBorders>
              <w:top w:val="single" w:sz="4" w:space="0" w:color="auto"/>
              <w:left w:val="nil"/>
              <w:bottom w:val="single" w:sz="4" w:space="0" w:color="auto"/>
              <w:right w:val="single" w:sz="4" w:space="0" w:color="auto"/>
            </w:tcBorders>
            <w:shd w:val="clear" w:color="auto" w:fill="FFFFFF"/>
            <w:vAlign w:val="center"/>
            <w:hideMark/>
          </w:tcPr>
          <w:p w:rsidR="00A058BA" w:rsidRPr="00FD08DD" w:rsidRDefault="00A058BA" w:rsidP="00A058BA">
            <w:pPr>
              <w:jc w:val="center"/>
              <w:rPr>
                <w:b/>
                <w:sz w:val="16"/>
                <w:szCs w:val="16"/>
              </w:rPr>
            </w:pPr>
            <w:r w:rsidRPr="00FD08DD">
              <w:rPr>
                <w:b/>
                <w:sz w:val="16"/>
                <w:szCs w:val="16"/>
              </w:rPr>
              <w:t>**Tekuća aproprijac.</w:t>
            </w:r>
          </w:p>
        </w:tc>
        <w:tc>
          <w:tcPr>
            <w:tcW w:w="631" w:type="pct"/>
            <w:tcBorders>
              <w:top w:val="single" w:sz="4" w:space="0" w:color="auto"/>
              <w:left w:val="nil"/>
              <w:bottom w:val="single" w:sz="4" w:space="0" w:color="auto"/>
              <w:right w:val="single" w:sz="4" w:space="0" w:color="auto"/>
            </w:tcBorders>
            <w:shd w:val="clear" w:color="auto" w:fill="FFFFFF"/>
            <w:vAlign w:val="center"/>
            <w:hideMark/>
          </w:tcPr>
          <w:p w:rsidR="00A058BA" w:rsidRPr="00FD08DD" w:rsidRDefault="00A058BA" w:rsidP="00A058BA">
            <w:pPr>
              <w:jc w:val="center"/>
              <w:rPr>
                <w:b/>
                <w:sz w:val="16"/>
                <w:szCs w:val="16"/>
              </w:rPr>
            </w:pPr>
            <w:r w:rsidRPr="00FD08DD">
              <w:rPr>
                <w:b/>
                <w:sz w:val="16"/>
                <w:szCs w:val="16"/>
              </w:rPr>
              <w:t>Izvršenje budžeta</w:t>
            </w:r>
          </w:p>
        </w:tc>
        <w:tc>
          <w:tcPr>
            <w:tcW w:w="426" w:type="pct"/>
            <w:tcBorders>
              <w:top w:val="single" w:sz="4" w:space="0" w:color="auto"/>
              <w:left w:val="nil"/>
              <w:bottom w:val="single" w:sz="4" w:space="0" w:color="auto"/>
              <w:right w:val="single" w:sz="4" w:space="0" w:color="auto"/>
            </w:tcBorders>
            <w:shd w:val="clear" w:color="auto" w:fill="FFFFFF"/>
            <w:noWrap/>
            <w:vAlign w:val="center"/>
            <w:hideMark/>
          </w:tcPr>
          <w:p w:rsidR="00A058BA" w:rsidRPr="00FD08DD" w:rsidRDefault="00A058BA" w:rsidP="00A058BA">
            <w:pPr>
              <w:jc w:val="center"/>
              <w:rPr>
                <w:b/>
                <w:sz w:val="16"/>
                <w:szCs w:val="16"/>
              </w:rPr>
            </w:pPr>
            <w:r w:rsidRPr="00FD08DD">
              <w:rPr>
                <w:b/>
                <w:sz w:val="16"/>
                <w:szCs w:val="16"/>
              </w:rPr>
              <w:t>% izvršenja (8 : 7)</w:t>
            </w:r>
          </w:p>
        </w:tc>
      </w:tr>
      <w:tr w:rsidR="00510759" w:rsidRPr="00076818" w:rsidTr="00510759">
        <w:trPr>
          <w:trHeight w:val="307"/>
        </w:trPr>
        <w:tc>
          <w:tcPr>
            <w:tcW w:w="428" w:type="pct"/>
            <w:tcBorders>
              <w:top w:val="nil"/>
              <w:left w:val="single" w:sz="4" w:space="0" w:color="auto"/>
              <w:bottom w:val="single" w:sz="4" w:space="0" w:color="auto"/>
              <w:right w:val="single" w:sz="4" w:space="0" w:color="auto"/>
            </w:tcBorders>
            <w:shd w:val="clear" w:color="auto" w:fill="FFFFFF"/>
            <w:noWrap/>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w:t>
            </w:r>
          </w:p>
        </w:tc>
        <w:tc>
          <w:tcPr>
            <w:tcW w:w="490" w:type="pct"/>
            <w:tcBorders>
              <w:top w:val="nil"/>
              <w:left w:val="nil"/>
              <w:bottom w:val="single" w:sz="4" w:space="0" w:color="auto"/>
              <w:right w:val="single" w:sz="4" w:space="0" w:color="auto"/>
            </w:tcBorders>
            <w:shd w:val="clear" w:color="auto" w:fill="FFFFFF"/>
            <w:noWrap/>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2</w:t>
            </w:r>
          </w:p>
        </w:tc>
        <w:tc>
          <w:tcPr>
            <w:tcW w:w="575" w:type="pct"/>
            <w:tcBorders>
              <w:top w:val="nil"/>
              <w:left w:val="nil"/>
              <w:bottom w:val="single" w:sz="4" w:space="0" w:color="auto"/>
              <w:right w:val="single" w:sz="4" w:space="0" w:color="auto"/>
            </w:tcBorders>
            <w:shd w:val="clear" w:color="auto" w:fill="FFFFFF"/>
            <w:noWrap/>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3</w:t>
            </w:r>
          </w:p>
        </w:tc>
        <w:tc>
          <w:tcPr>
            <w:tcW w:w="352" w:type="pct"/>
            <w:tcBorders>
              <w:top w:val="nil"/>
              <w:left w:val="nil"/>
              <w:bottom w:val="single" w:sz="4" w:space="0" w:color="auto"/>
              <w:right w:val="single" w:sz="4" w:space="0" w:color="auto"/>
            </w:tcBorders>
            <w:shd w:val="clear" w:color="auto" w:fill="FFFFFF"/>
            <w:noWrap/>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w:t>
            </w:r>
          </w:p>
        </w:tc>
        <w:tc>
          <w:tcPr>
            <w:tcW w:w="843" w:type="pct"/>
            <w:tcBorders>
              <w:top w:val="nil"/>
              <w:left w:val="nil"/>
              <w:bottom w:val="single" w:sz="4" w:space="0" w:color="auto"/>
              <w:right w:val="single" w:sz="4" w:space="0" w:color="auto"/>
            </w:tcBorders>
            <w:shd w:val="clear" w:color="auto" w:fill="FFFFFF"/>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5</w:t>
            </w:r>
          </w:p>
        </w:tc>
        <w:tc>
          <w:tcPr>
            <w:tcW w:w="621" w:type="pct"/>
            <w:tcBorders>
              <w:top w:val="nil"/>
              <w:left w:val="nil"/>
              <w:bottom w:val="single" w:sz="4" w:space="0" w:color="auto"/>
              <w:right w:val="single" w:sz="4" w:space="0" w:color="auto"/>
            </w:tcBorders>
            <w:shd w:val="clear" w:color="auto" w:fill="FFFFFF"/>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6</w:t>
            </w:r>
          </w:p>
        </w:tc>
        <w:tc>
          <w:tcPr>
            <w:tcW w:w="634" w:type="pct"/>
            <w:tcBorders>
              <w:top w:val="nil"/>
              <w:left w:val="nil"/>
              <w:bottom w:val="single" w:sz="4" w:space="0" w:color="auto"/>
              <w:right w:val="single" w:sz="4" w:space="0" w:color="auto"/>
            </w:tcBorders>
            <w:shd w:val="clear" w:color="auto" w:fill="FFFFFF"/>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7</w:t>
            </w:r>
          </w:p>
        </w:tc>
        <w:tc>
          <w:tcPr>
            <w:tcW w:w="631" w:type="pct"/>
            <w:tcBorders>
              <w:top w:val="nil"/>
              <w:left w:val="nil"/>
              <w:bottom w:val="single" w:sz="4" w:space="0" w:color="auto"/>
              <w:right w:val="single" w:sz="4" w:space="0" w:color="auto"/>
            </w:tcBorders>
            <w:shd w:val="clear" w:color="auto" w:fill="FFFFFF"/>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8</w:t>
            </w:r>
          </w:p>
        </w:tc>
        <w:tc>
          <w:tcPr>
            <w:tcW w:w="426" w:type="pct"/>
            <w:tcBorders>
              <w:top w:val="nil"/>
              <w:left w:val="nil"/>
              <w:bottom w:val="single" w:sz="4" w:space="0" w:color="auto"/>
              <w:right w:val="single" w:sz="4" w:space="0" w:color="auto"/>
            </w:tcBorders>
            <w:shd w:val="clear" w:color="auto" w:fill="FFFFFF"/>
            <w:noWrap/>
            <w:vAlign w:val="center"/>
            <w:hideMark/>
          </w:tcPr>
          <w:p w:rsidR="00510759" w:rsidRPr="00076818" w:rsidRDefault="00510759" w:rsidP="00287DF2">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9</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01</w:t>
            </w:r>
          </w:p>
        </w:tc>
        <w:tc>
          <w:tcPr>
            <w:tcW w:w="490"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4005</w:t>
            </w:r>
          </w:p>
        </w:tc>
        <w:tc>
          <w:tcPr>
            <w:tcW w:w="352"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III</w:t>
            </w:r>
          </w:p>
        </w:tc>
        <w:tc>
          <w:tcPr>
            <w:tcW w:w="843" w:type="pct"/>
            <w:tcBorders>
              <w:top w:val="nil"/>
              <w:left w:val="nil"/>
              <w:bottom w:val="single" w:sz="4" w:space="0" w:color="auto"/>
              <w:right w:val="single" w:sz="4" w:space="0" w:color="auto"/>
            </w:tcBorders>
            <w:shd w:val="clear" w:color="auto" w:fill="04D9F6"/>
            <w:vAlign w:val="center"/>
            <w:hideMark/>
          </w:tcPr>
          <w:p w:rsidR="00135D51" w:rsidRPr="00FD08DD" w:rsidRDefault="00FD08DD" w:rsidP="00E734A0">
            <w:pPr>
              <w:spacing w:before="0" w:after="0" w:line="276" w:lineRule="auto"/>
              <w:jc w:val="center"/>
              <w:rPr>
                <w:rFonts w:eastAsia="Times New Roman" w:cs="Arial"/>
                <w:b/>
                <w:bCs/>
                <w:color w:val="000000"/>
                <w:sz w:val="16"/>
                <w:szCs w:val="16"/>
                <w:lang w:val="sr-Latn-RS"/>
              </w:rPr>
            </w:pPr>
            <w:r>
              <w:rPr>
                <w:rFonts w:eastAsia="Times New Roman" w:cs="Arial"/>
                <w:b/>
                <w:bCs/>
                <w:color w:val="000000"/>
                <w:sz w:val="16"/>
                <w:szCs w:val="16"/>
                <w:lang w:val="sr-Latn-RS"/>
              </w:rPr>
              <w:t>SVEGA</w:t>
            </w:r>
            <w:r w:rsidR="00135D51" w:rsidRPr="00076818">
              <w:rPr>
                <w:rFonts w:eastAsia="Times New Roman" w:cs="Arial"/>
                <w:b/>
                <w:bCs/>
                <w:color w:val="000000"/>
                <w:sz w:val="16"/>
                <w:szCs w:val="16"/>
              </w:rPr>
              <w:t xml:space="preserve"> </w:t>
            </w:r>
            <w:r w:rsidR="00E734A0">
              <w:rPr>
                <w:rFonts w:eastAsia="Times New Roman" w:cs="Arial"/>
                <w:b/>
                <w:bCs/>
                <w:color w:val="000000"/>
                <w:sz w:val="16"/>
                <w:szCs w:val="16"/>
              </w:rPr>
              <w:t>–</w:t>
            </w:r>
            <w:r w:rsidR="00135D51" w:rsidRPr="00076818">
              <w:rPr>
                <w:rFonts w:eastAsia="Times New Roman" w:cs="Arial"/>
                <w:b/>
                <w:bCs/>
                <w:color w:val="000000"/>
                <w:sz w:val="16"/>
                <w:szCs w:val="16"/>
              </w:rPr>
              <w:t xml:space="preserve"> </w:t>
            </w:r>
            <w:r>
              <w:rPr>
                <w:rFonts w:eastAsia="Times New Roman" w:cs="Arial"/>
                <w:b/>
                <w:bCs/>
                <w:color w:val="000000"/>
                <w:sz w:val="16"/>
                <w:szCs w:val="16"/>
                <w:lang w:val="sr-Latn-RS"/>
              </w:rPr>
              <w:t>Projekat Ravnopravno do cilja</w:t>
            </w:r>
            <w:r w:rsidR="00135D51" w:rsidRPr="00076818">
              <w:rPr>
                <w:rFonts w:eastAsia="Times New Roman" w:cs="Arial"/>
                <w:b/>
                <w:bCs/>
                <w:color w:val="000000"/>
                <w:sz w:val="16"/>
                <w:szCs w:val="16"/>
              </w:rPr>
              <w:t xml:space="preserve">        </w:t>
            </w:r>
            <w:r>
              <w:rPr>
                <w:rFonts w:eastAsia="Times New Roman" w:cs="Arial"/>
                <w:b/>
                <w:bCs/>
                <w:color w:val="000000"/>
                <w:sz w:val="16"/>
                <w:szCs w:val="16"/>
              </w:rPr>
              <w:t xml:space="preserve">                             </w:t>
            </w:r>
          </w:p>
        </w:tc>
        <w:tc>
          <w:tcPr>
            <w:tcW w:w="621"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383.000</w:t>
            </w:r>
          </w:p>
        </w:tc>
        <w:tc>
          <w:tcPr>
            <w:tcW w:w="634"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383.000</w:t>
            </w:r>
          </w:p>
        </w:tc>
        <w:tc>
          <w:tcPr>
            <w:tcW w:w="631"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174.960</w:t>
            </w:r>
          </w:p>
        </w:tc>
        <w:tc>
          <w:tcPr>
            <w:tcW w:w="426"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45,68</w:t>
            </w:r>
          </w:p>
        </w:tc>
      </w:tr>
      <w:tr w:rsidR="00510759" w:rsidRPr="00076818" w:rsidTr="00510759">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01</w:t>
            </w:r>
          </w:p>
        </w:tc>
        <w:tc>
          <w:tcPr>
            <w:tcW w:w="490"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4005</w:t>
            </w:r>
          </w:p>
        </w:tc>
        <w:tc>
          <w:tcPr>
            <w:tcW w:w="352"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423</w:t>
            </w:r>
          </w:p>
        </w:tc>
        <w:tc>
          <w:tcPr>
            <w:tcW w:w="843" w:type="pct"/>
            <w:tcBorders>
              <w:top w:val="nil"/>
              <w:left w:val="nil"/>
              <w:bottom w:val="single" w:sz="4" w:space="0" w:color="auto"/>
              <w:right w:val="single" w:sz="4" w:space="0" w:color="auto"/>
            </w:tcBorders>
            <w:shd w:val="clear" w:color="auto" w:fill="auto"/>
            <w:vAlign w:val="center"/>
            <w:hideMark/>
          </w:tcPr>
          <w:p w:rsidR="00135D51" w:rsidRPr="00076818" w:rsidRDefault="00FD08DD" w:rsidP="00FD08DD">
            <w:pPr>
              <w:spacing w:before="0" w:after="0" w:line="276" w:lineRule="auto"/>
              <w:jc w:val="center"/>
              <w:rPr>
                <w:rFonts w:eastAsia="Times New Roman" w:cs="Arial"/>
                <w:color w:val="000000"/>
                <w:sz w:val="16"/>
                <w:szCs w:val="16"/>
              </w:rPr>
            </w:pPr>
            <w:r>
              <w:rPr>
                <w:rFonts w:eastAsia="Times New Roman" w:cs="Arial"/>
                <w:color w:val="000000"/>
                <w:sz w:val="16"/>
                <w:szCs w:val="16"/>
                <w:lang w:val="sr-Latn-RS"/>
              </w:rPr>
              <w:t>Usluge po ugovoru</w:t>
            </w:r>
          </w:p>
        </w:tc>
        <w:tc>
          <w:tcPr>
            <w:tcW w:w="621" w:type="pct"/>
            <w:tcBorders>
              <w:top w:val="nil"/>
              <w:left w:val="nil"/>
              <w:bottom w:val="single" w:sz="4" w:space="0" w:color="auto"/>
              <w:right w:val="single" w:sz="4" w:space="0" w:color="auto"/>
            </w:tcBorders>
            <w:shd w:val="clear" w:color="auto" w:fill="auto"/>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383.000</w:t>
            </w:r>
          </w:p>
        </w:tc>
        <w:tc>
          <w:tcPr>
            <w:tcW w:w="634"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383.000</w:t>
            </w:r>
          </w:p>
        </w:tc>
        <w:tc>
          <w:tcPr>
            <w:tcW w:w="631"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174.960</w:t>
            </w:r>
          </w:p>
        </w:tc>
        <w:tc>
          <w:tcPr>
            <w:tcW w:w="426"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45,68</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135D51" w:rsidRPr="00076818" w:rsidRDefault="00135D51" w:rsidP="00E734A0">
            <w:pPr>
              <w:spacing w:before="0" w:after="0" w:line="276" w:lineRule="auto"/>
              <w:jc w:val="center"/>
              <w:rPr>
                <w:rFonts w:eastAsia="Times New Roman" w:cs="Arial"/>
                <w:b/>
                <w:bCs/>
                <w:color w:val="04D9F6"/>
                <w:sz w:val="16"/>
                <w:szCs w:val="16"/>
              </w:rPr>
            </w:pPr>
            <w:r w:rsidRPr="00076818">
              <w:rPr>
                <w:rFonts w:eastAsia="Times New Roman" w:cs="Arial"/>
                <w:b/>
                <w:bCs/>
                <w:color w:val="04D9F6"/>
                <w:sz w:val="16"/>
                <w:szCs w:val="16"/>
              </w:rPr>
              <w:lastRenderedPageBreak/>
              <w:t>0</w:t>
            </w:r>
            <w:r w:rsidR="00160733">
              <w:rPr>
                <w:rFonts w:eastAsia="Times New Roman" w:cs="Arial"/>
                <w:b/>
                <w:bCs/>
                <w:color w:val="04D9F6"/>
                <w:sz w:val="16"/>
                <w:szCs w:val="16"/>
              </w:rPr>
              <w:t>6</w:t>
            </w:r>
            <w:r w:rsidR="00E734A0">
              <w:rPr>
                <w:rFonts w:eastAsia="Times New Roman" w:cs="Arial"/>
                <w:b/>
                <w:bCs/>
                <w:color w:val="04D9F6"/>
                <w:sz w:val="16"/>
                <w:szCs w:val="16"/>
              </w:rPr>
              <w:t>–</w:t>
            </w:r>
            <w:r w:rsidRPr="00076818">
              <w:rPr>
                <w:rFonts w:eastAsia="Times New Roman" w:cs="Arial"/>
                <w:b/>
                <w:bCs/>
                <w:color w:val="04D9F6"/>
                <w:sz w:val="16"/>
                <w:szCs w:val="16"/>
              </w:rPr>
              <w:t>15</w:t>
            </w:r>
          </w:p>
        </w:tc>
        <w:tc>
          <w:tcPr>
            <w:tcW w:w="490"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b/>
                <w:bCs/>
                <w:color w:val="04D9F6"/>
                <w:sz w:val="16"/>
                <w:szCs w:val="16"/>
              </w:rPr>
            </w:pPr>
            <w:r w:rsidRPr="00076818">
              <w:rPr>
                <w:rFonts w:eastAsia="Times New Roman" w:cs="Arial"/>
                <w:b/>
                <w:bCs/>
                <w:color w:val="04D9F6"/>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135D51" w:rsidRPr="00076818" w:rsidRDefault="00135D51" w:rsidP="00135D51">
            <w:pPr>
              <w:spacing w:before="0" w:after="0" w:line="276" w:lineRule="auto"/>
              <w:jc w:val="center"/>
              <w:rPr>
                <w:rFonts w:eastAsia="Times New Roman" w:cs="Arial"/>
                <w:b/>
                <w:bCs/>
                <w:color w:val="04D9F6"/>
                <w:sz w:val="16"/>
                <w:szCs w:val="16"/>
              </w:rPr>
            </w:pPr>
            <w:r w:rsidRPr="00076818">
              <w:rPr>
                <w:rFonts w:eastAsia="Times New Roman" w:cs="Arial"/>
                <w:b/>
                <w:bCs/>
                <w:color w:val="04D9F6"/>
                <w:sz w:val="16"/>
                <w:szCs w:val="16"/>
              </w:rPr>
              <w:t> </w:t>
            </w:r>
          </w:p>
        </w:tc>
        <w:tc>
          <w:tcPr>
            <w:tcW w:w="352" w:type="pct"/>
            <w:tcBorders>
              <w:top w:val="nil"/>
              <w:left w:val="nil"/>
              <w:bottom w:val="single" w:sz="4" w:space="0" w:color="auto"/>
              <w:right w:val="single" w:sz="4" w:space="0" w:color="auto"/>
            </w:tcBorders>
            <w:shd w:val="clear" w:color="auto" w:fill="auto"/>
            <w:noWrap/>
            <w:vAlign w:val="center"/>
            <w:hideMark/>
          </w:tcPr>
          <w:p w:rsidR="00135D51" w:rsidRPr="00160733" w:rsidRDefault="00160733" w:rsidP="00E734A0">
            <w:pPr>
              <w:spacing w:before="0" w:after="0" w:line="276" w:lineRule="auto"/>
              <w:jc w:val="center"/>
              <w:rPr>
                <w:rFonts w:eastAsia="Times New Roman" w:cs="Arial"/>
                <w:b/>
                <w:bCs/>
                <w:color w:val="04D9F6"/>
                <w:sz w:val="16"/>
                <w:szCs w:val="16"/>
              </w:rPr>
            </w:pPr>
            <w:r w:rsidRPr="00160733">
              <w:rPr>
                <w:rFonts w:eastAsia="Times New Roman" w:cs="Arial"/>
                <w:b/>
                <w:bCs/>
                <w:color w:val="04D9F6"/>
                <w:sz w:val="16"/>
                <w:szCs w:val="16"/>
              </w:rPr>
              <w:t>I</w:t>
            </w:r>
            <w:r>
              <w:rPr>
                <w:rFonts w:eastAsia="Times New Roman" w:cs="Arial"/>
                <w:b/>
                <w:bCs/>
                <w:color w:val="04D9F6"/>
                <w:sz w:val="16"/>
                <w:szCs w:val="16"/>
              </w:rPr>
              <w:t>V</w:t>
            </w:r>
            <w:r w:rsidR="00E734A0">
              <w:rPr>
                <w:rFonts w:eastAsia="Times New Roman" w:cs="Arial"/>
                <w:b/>
                <w:bCs/>
                <w:color w:val="04D9F6"/>
                <w:sz w:val="16"/>
                <w:szCs w:val="16"/>
              </w:rPr>
              <w:t>–</w:t>
            </w:r>
            <w:r>
              <w:rPr>
                <w:rFonts w:eastAsia="Times New Roman" w:cs="Arial"/>
                <w:b/>
                <w:bCs/>
                <w:color w:val="04D9F6"/>
                <w:sz w:val="16"/>
                <w:szCs w:val="16"/>
              </w:rPr>
              <w:t>VI</w:t>
            </w:r>
          </w:p>
        </w:tc>
        <w:tc>
          <w:tcPr>
            <w:tcW w:w="843" w:type="pct"/>
            <w:tcBorders>
              <w:top w:val="nil"/>
              <w:left w:val="nil"/>
              <w:bottom w:val="single" w:sz="4" w:space="0" w:color="auto"/>
              <w:right w:val="single" w:sz="4" w:space="0" w:color="auto"/>
            </w:tcBorders>
            <w:shd w:val="clear" w:color="auto" w:fill="auto"/>
            <w:vAlign w:val="center"/>
            <w:hideMark/>
          </w:tcPr>
          <w:p w:rsidR="00135D51" w:rsidRPr="00076818" w:rsidRDefault="00FD08DD" w:rsidP="00E734A0">
            <w:pPr>
              <w:spacing w:before="0" w:after="0" w:line="276" w:lineRule="auto"/>
              <w:jc w:val="center"/>
              <w:rPr>
                <w:rFonts w:eastAsia="Times New Roman" w:cs="Arial"/>
                <w:b/>
                <w:bCs/>
                <w:color w:val="04D9F6"/>
                <w:sz w:val="16"/>
                <w:szCs w:val="16"/>
              </w:rPr>
            </w:pPr>
            <w:r w:rsidRPr="00FD08DD">
              <w:rPr>
                <w:rFonts w:eastAsia="Times New Roman" w:cs="Arial"/>
                <w:b/>
                <w:bCs/>
                <w:color w:val="04D9F6"/>
                <w:sz w:val="16"/>
                <w:szCs w:val="16"/>
              </w:rPr>
              <w:t>UKUPNO PRIHODI – OSTALI IZVORI</w:t>
            </w:r>
          </w:p>
        </w:tc>
        <w:tc>
          <w:tcPr>
            <w:tcW w:w="621" w:type="pct"/>
            <w:tcBorders>
              <w:top w:val="nil"/>
              <w:left w:val="nil"/>
              <w:bottom w:val="single" w:sz="4" w:space="0" w:color="auto"/>
              <w:right w:val="single" w:sz="4" w:space="0" w:color="auto"/>
            </w:tcBorders>
            <w:shd w:val="clear" w:color="auto" w:fill="auto"/>
            <w:vAlign w:val="center"/>
            <w:hideMark/>
          </w:tcPr>
          <w:p w:rsidR="00135D51" w:rsidRPr="00076818" w:rsidRDefault="00160733" w:rsidP="00A23B87">
            <w:pPr>
              <w:spacing w:before="0" w:after="0" w:line="276" w:lineRule="auto"/>
              <w:ind w:firstLineChars="100" w:firstLine="161"/>
              <w:jc w:val="right"/>
              <w:rPr>
                <w:rFonts w:eastAsia="Times New Roman" w:cs="Arial"/>
                <w:b/>
                <w:bCs/>
                <w:color w:val="04D9F6"/>
                <w:sz w:val="16"/>
                <w:szCs w:val="16"/>
              </w:rPr>
            </w:pPr>
            <w:r>
              <w:rPr>
                <w:rFonts w:eastAsia="Times New Roman" w:cs="Arial"/>
                <w:b/>
                <w:bCs/>
                <w:color w:val="04D9F6"/>
                <w:sz w:val="16"/>
                <w:szCs w:val="16"/>
              </w:rPr>
              <w:t>336</w:t>
            </w:r>
            <w:r w:rsidR="00135D51" w:rsidRPr="00076818">
              <w:rPr>
                <w:rFonts w:eastAsia="Times New Roman" w:cs="Arial"/>
                <w:b/>
                <w:bCs/>
                <w:color w:val="04D9F6"/>
                <w:sz w:val="16"/>
                <w:szCs w:val="16"/>
              </w:rPr>
              <w:t>.000</w:t>
            </w:r>
          </w:p>
        </w:tc>
        <w:tc>
          <w:tcPr>
            <w:tcW w:w="634" w:type="pct"/>
            <w:tcBorders>
              <w:top w:val="nil"/>
              <w:left w:val="nil"/>
              <w:bottom w:val="single" w:sz="4" w:space="0" w:color="auto"/>
              <w:right w:val="single" w:sz="4" w:space="0" w:color="auto"/>
            </w:tcBorders>
            <w:shd w:val="clear" w:color="auto" w:fill="auto"/>
            <w:vAlign w:val="center"/>
            <w:hideMark/>
          </w:tcPr>
          <w:p w:rsidR="007F5A1D" w:rsidRDefault="00135D51" w:rsidP="00170EDF">
            <w:pPr>
              <w:spacing w:before="0" w:after="0" w:line="276" w:lineRule="auto"/>
              <w:ind w:firstLineChars="100" w:firstLine="161"/>
              <w:jc w:val="right"/>
              <w:rPr>
                <w:rFonts w:eastAsia="Times New Roman" w:cs="Arial"/>
                <w:b/>
                <w:bCs/>
                <w:i/>
                <w:color w:val="04D9F6"/>
                <w:sz w:val="16"/>
                <w:szCs w:val="16"/>
              </w:rPr>
            </w:pPr>
            <w:r w:rsidRPr="00076818">
              <w:rPr>
                <w:rFonts w:eastAsia="Times New Roman" w:cs="Arial"/>
                <w:b/>
                <w:bCs/>
                <w:color w:val="04D9F6"/>
                <w:sz w:val="16"/>
                <w:szCs w:val="16"/>
              </w:rPr>
              <w:t>3.</w:t>
            </w:r>
            <w:r w:rsidR="00160733">
              <w:rPr>
                <w:rFonts w:eastAsia="Times New Roman" w:cs="Arial"/>
                <w:b/>
                <w:bCs/>
                <w:color w:val="04D9F6"/>
                <w:sz w:val="16"/>
                <w:szCs w:val="16"/>
              </w:rPr>
              <w:t>201</w:t>
            </w:r>
            <w:r w:rsidRPr="00076818">
              <w:rPr>
                <w:rFonts w:eastAsia="Times New Roman" w:cs="Arial"/>
                <w:b/>
                <w:bCs/>
                <w:color w:val="04D9F6"/>
                <w:sz w:val="16"/>
                <w:szCs w:val="16"/>
              </w:rPr>
              <w:t>.</w:t>
            </w:r>
            <w:r w:rsidR="00160733">
              <w:rPr>
                <w:rFonts w:eastAsia="Times New Roman" w:cs="Arial"/>
                <w:b/>
                <w:bCs/>
                <w:color w:val="04D9F6"/>
                <w:sz w:val="16"/>
                <w:szCs w:val="16"/>
              </w:rPr>
              <w:t>340</w:t>
            </w:r>
          </w:p>
        </w:tc>
        <w:tc>
          <w:tcPr>
            <w:tcW w:w="631" w:type="pct"/>
            <w:tcBorders>
              <w:top w:val="nil"/>
              <w:left w:val="nil"/>
              <w:bottom w:val="single" w:sz="4" w:space="0" w:color="auto"/>
              <w:right w:val="single" w:sz="4" w:space="0" w:color="auto"/>
            </w:tcBorders>
            <w:shd w:val="clear" w:color="auto" w:fill="auto"/>
            <w:vAlign w:val="center"/>
            <w:hideMark/>
          </w:tcPr>
          <w:p w:rsidR="007F5A1D" w:rsidRDefault="00135D51" w:rsidP="00170EDF">
            <w:pPr>
              <w:spacing w:before="0" w:after="0" w:line="276" w:lineRule="auto"/>
              <w:ind w:firstLineChars="100" w:firstLine="161"/>
              <w:jc w:val="right"/>
              <w:rPr>
                <w:rFonts w:eastAsia="Times New Roman" w:cs="Arial"/>
                <w:b/>
                <w:bCs/>
                <w:i/>
                <w:color w:val="04D9F6"/>
                <w:sz w:val="16"/>
                <w:szCs w:val="16"/>
              </w:rPr>
            </w:pPr>
            <w:r w:rsidRPr="00076818">
              <w:rPr>
                <w:rFonts w:eastAsia="Times New Roman" w:cs="Arial"/>
                <w:b/>
                <w:bCs/>
                <w:color w:val="04D9F6"/>
                <w:sz w:val="16"/>
                <w:szCs w:val="16"/>
              </w:rPr>
              <w:t>1.</w:t>
            </w:r>
            <w:r w:rsidR="00160733">
              <w:rPr>
                <w:rFonts w:eastAsia="Times New Roman" w:cs="Arial"/>
                <w:b/>
                <w:bCs/>
                <w:color w:val="04D9F6"/>
                <w:sz w:val="16"/>
                <w:szCs w:val="16"/>
              </w:rPr>
              <w:t>470</w:t>
            </w:r>
            <w:r w:rsidRPr="00076818">
              <w:rPr>
                <w:rFonts w:eastAsia="Times New Roman" w:cs="Arial"/>
                <w:b/>
                <w:bCs/>
                <w:color w:val="04D9F6"/>
                <w:sz w:val="16"/>
                <w:szCs w:val="16"/>
              </w:rPr>
              <w:t>.</w:t>
            </w:r>
            <w:r w:rsidR="00160733">
              <w:rPr>
                <w:rFonts w:eastAsia="Times New Roman" w:cs="Arial"/>
                <w:b/>
                <w:bCs/>
                <w:color w:val="04D9F6"/>
                <w:sz w:val="16"/>
                <w:szCs w:val="16"/>
              </w:rPr>
              <w:t>839</w:t>
            </w:r>
          </w:p>
        </w:tc>
        <w:tc>
          <w:tcPr>
            <w:tcW w:w="426" w:type="pct"/>
            <w:tcBorders>
              <w:top w:val="nil"/>
              <w:left w:val="nil"/>
              <w:bottom w:val="single" w:sz="4" w:space="0" w:color="auto"/>
              <w:right w:val="single" w:sz="4" w:space="0" w:color="auto"/>
            </w:tcBorders>
            <w:shd w:val="clear" w:color="auto" w:fill="auto"/>
            <w:vAlign w:val="center"/>
            <w:hideMark/>
          </w:tcPr>
          <w:p w:rsidR="00135D51" w:rsidRPr="00160733" w:rsidRDefault="00160733" w:rsidP="00135D51">
            <w:pPr>
              <w:spacing w:before="0" w:after="0" w:line="276" w:lineRule="auto"/>
              <w:jc w:val="center"/>
              <w:rPr>
                <w:rFonts w:eastAsia="Times New Roman" w:cs="Arial"/>
                <w:b/>
                <w:bCs/>
                <w:color w:val="04D9F6"/>
                <w:sz w:val="16"/>
                <w:szCs w:val="16"/>
              </w:rPr>
            </w:pPr>
            <w:r>
              <w:rPr>
                <w:rFonts w:eastAsia="Times New Roman" w:cs="Arial"/>
                <w:b/>
                <w:bCs/>
                <w:color w:val="04D9F6"/>
                <w:sz w:val="16"/>
                <w:szCs w:val="16"/>
              </w:rPr>
              <w:t>45,82</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B6F0FC"/>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06</w:t>
            </w:r>
          </w:p>
        </w:tc>
        <w:tc>
          <w:tcPr>
            <w:tcW w:w="490" w:type="pct"/>
            <w:tcBorders>
              <w:top w:val="nil"/>
              <w:left w:val="nil"/>
              <w:bottom w:val="single" w:sz="4" w:space="0" w:color="auto"/>
              <w:right w:val="single" w:sz="4" w:space="0" w:color="auto"/>
            </w:tcBorders>
            <w:shd w:val="clear" w:color="auto" w:fill="B6F0FC"/>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B6F0FC"/>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4007</w:t>
            </w:r>
          </w:p>
        </w:tc>
        <w:tc>
          <w:tcPr>
            <w:tcW w:w="352" w:type="pct"/>
            <w:tcBorders>
              <w:top w:val="nil"/>
              <w:left w:val="nil"/>
              <w:bottom w:val="single" w:sz="4" w:space="0" w:color="auto"/>
              <w:right w:val="single" w:sz="4" w:space="0" w:color="auto"/>
            </w:tcBorders>
            <w:shd w:val="clear" w:color="auto" w:fill="B6F0FC"/>
            <w:noWrap/>
            <w:vAlign w:val="center"/>
            <w:hideMark/>
          </w:tcPr>
          <w:p w:rsidR="00135D51" w:rsidRPr="00076818" w:rsidRDefault="00160733"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I</w:t>
            </w:r>
            <w:r w:rsidR="00135D51" w:rsidRPr="00076818">
              <w:rPr>
                <w:rFonts w:eastAsia="Times New Roman" w:cs="Arial"/>
                <w:b/>
                <w:bCs/>
                <w:color w:val="000000"/>
                <w:sz w:val="16"/>
                <w:szCs w:val="16"/>
              </w:rPr>
              <w:t>V</w:t>
            </w:r>
          </w:p>
        </w:tc>
        <w:tc>
          <w:tcPr>
            <w:tcW w:w="843" w:type="pct"/>
            <w:tcBorders>
              <w:top w:val="nil"/>
              <w:left w:val="nil"/>
              <w:bottom w:val="single" w:sz="4" w:space="0" w:color="auto"/>
              <w:right w:val="single" w:sz="4" w:space="0" w:color="auto"/>
            </w:tcBorders>
            <w:shd w:val="clear" w:color="auto" w:fill="B6F0FC"/>
            <w:vAlign w:val="center"/>
            <w:hideMark/>
          </w:tcPr>
          <w:p w:rsidR="00135D51" w:rsidRPr="00076818" w:rsidRDefault="00FD08DD" w:rsidP="00E734A0">
            <w:pPr>
              <w:spacing w:before="0" w:after="0" w:line="276" w:lineRule="auto"/>
              <w:jc w:val="center"/>
              <w:rPr>
                <w:rFonts w:eastAsia="Times New Roman" w:cs="Arial"/>
                <w:b/>
                <w:bCs/>
                <w:color w:val="000000"/>
                <w:sz w:val="16"/>
                <w:szCs w:val="16"/>
              </w:rPr>
            </w:pPr>
            <w:r w:rsidRPr="00FD08DD">
              <w:rPr>
                <w:rFonts w:eastAsia="Times New Roman" w:cs="Arial"/>
                <w:b/>
                <w:bCs/>
                <w:color w:val="000000"/>
                <w:sz w:val="16"/>
                <w:szCs w:val="16"/>
              </w:rPr>
              <w:t>Donacije od međunar. organizacija                izvor 06</w:t>
            </w:r>
          </w:p>
        </w:tc>
        <w:tc>
          <w:tcPr>
            <w:tcW w:w="621" w:type="pct"/>
            <w:tcBorders>
              <w:top w:val="nil"/>
              <w:left w:val="nil"/>
              <w:bottom w:val="single" w:sz="4" w:space="0" w:color="auto"/>
              <w:right w:val="single" w:sz="4" w:space="0" w:color="auto"/>
            </w:tcBorders>
            <w:shd w:val="clear" w:color="auto" w:fill="B6F0FC"/>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0</w:t>
            </w:r>
          </w:p>
        </w:tc>
        <w:tc>
          <w:tcPr>
            <w:tcW w:w="634" w:type="pct"/>
            <w:tcBorders>
              <w:top w:val="nil"/>
              <w:left w:val="nil"/>
              <w:bottom w:val="single" w:sz="4" w:space="0" w:color="auto"/>
              <w:right w:val="single" w:sz="4" w:space="0" w:color="auto"/>
            </w:tcBorders>
            <w:shd w:val="clear" w:color="auto" w:fill="B6F0FC"/>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479.700</w:t>
            </w:r>
          </w:p>
        </w:tc>
        <w:tc>
          <w:tcPr>
            <w:tcW w:w="631" w:type="pct"/>
            <w:tcBorders>
              <w:top w:val="nil"/>
              <w:left w:val="nil"/>
              <w:bottom w:val="single" w:sz="4" w:space="0" w:color="auto"/>
              <w:right w:val="single" w:sz="4" w:space="0" w:color="auto"/>
            </w:tcBorders>
            <w:shd w:val="clear" w:color="auto" w:fill="B6F0FC"/>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0</w:t>
            </w:r>
          </w:p>
        </w:tc>
        <w:tc>
          <w:tcPr>
            <w:tcW w:w="426" w:type="pct"/>
            <w:tcBorders>
              <w:top w:val="nil"/>
              <w:left w:val="nil"/>
              <w:bottom w:val="single" w:sz="4" w:space="0" w:color="auto"/>
              <w:right w:val="single" w:sz="4" w:space="0" w:color="auto"/>
            </w:tcBorders>
            <w:shd w:val="clear" w:color="auto" w:fill="B6F0FC"/>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0,00</w:t>
            </w:r>
          </w:p>
        </w:tc>
      </w:tr>
      <w:tr w:rsidR="00510759" w:rsidRPr="00076818" w:rsidTr="00510759">
        <w:trPr>
          <w:trHeight w:val="810"/>
        </w:trPr>
        <w:tc>
          <w:tcPr>
            <w:tcW w:w="428" w:type="pct"/>
            <w:tcBorders>
              <w:top w:val="nil"/>
              <w:left w:val="single" w:sz="4" w:space="0" w:color="auto"/>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06</w:t>
            </w:r>
          </w:p>
        </w:tc>
        <w:tc>
          <w:tcPr>
            <w:tcW w:w="490"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4007</w:t>
            </w:r>
          </w:p>
        </w:tc>
        <w:tc>
          <w:tcPr>
            <w:tcW w:w="352"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 </w:t>
            </w:r>
          </w:p>
        </w:tc>
        <w:tc>
          <w:tcPr>
            <w:tcW w:w="843" w:type="pct"/>
            <w:tcBorders>
              <w:top w:val="nil"/>
              <w:left w:val="nil"/>
              <w:bottom w:val="single" w:sz="4" w:space="0" w:color="auto"/>
              <w:right w:val="single" w:sz="4" w:space="0" w:color="auto"/>
            </w:tcBorders>
            <w:shd w:val="clear" w:color="auto" w:fill="04D9F6"/>
            <w:vAlign w:val="center"/>
            <w:hideMark/>
          </w:tcPr>
          <w:p w:rsidR="00135D51" w:rsidRPr="00076818" w:rsidRDefault="00FD08DD" w:rsidP="00E734A0">
            <w:pPr>
              <w:spacing w:before="0" w:after="0" w:line="276" w:lineRule="auto"/>
              <w:jc w:val="center"/>
              <w:rPr>
                <w:rFonts w:eastAsia="Times New Roman" w:cs="Arial"/>
                <w:b/>
                <w:bCs/>
                <w:color w:val="000000"/>
                <w:sz w:val="16"/>
                <w:szCs w:val="16"/>
              </w:rPr>
            </w:pPr>
            <w:r w:rsidRPr="00FD08DD">
              <w:rPr>
                <w:rFonts w:eastAsia="Times New Roman" w:cs="Arial"/>
                <w:b/>
                <w:bCs/>
                <w:color w:val="000000"/>
                <w:sz w:val="16"/>
                <w:szCs w:val="16"/>
              </w:rPr>
              <w:t>SVEGA – Projekat  UNICEF                            Prevencija i zaštita dece od diskriminacije</w:t>
            </w:r>
          </w:p>
        </w:tc>
        <w:tc>
          <w:tcPr>
            <w:tcW w:w="621"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0</w:t>
            </w:r>
          </w:p>
        </w:tc>
        <w:tc>
          <w:tcPr>
            <w:tcW w:w="634"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479.700</w:t>
            </w:r>
          </w:p>
        </w:tc>
        <w:tc>
          <w:tcPr>
            <w:tcW w:w="631"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0</w:t>
            </w:r>
          </w:p>
        </w:tc>
        <w:tc>
          <w:tcPr>
            <w:tcW w:w="426"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0,00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06</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4007</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sz w:val="16"/>
                <w:szCs w:val="16"/>
              </w:rPr>
            </w:pPr>
            <w:r w:rsidRPr="00FD08DD">
              <w:rPr>
                <w:sz w:val="16"/>
                <w:szCs w:val="16"/>
              </w:rPr>
              <w:t>Troškovi putovanja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0,00</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06</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4007</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423</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sz w:val="16"/>
                <w:szCs w:val="16"/>
              </w:rPr>
            </w:pPr>
            <w:r w:rsidRPr="00FD08DD">
              <w:rPr>
                <w:sz w:val="16"/>
                <w:szCs w:val="16"/>
              </w:rPr>
              <w:t>Usluge po ugovoru</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478.700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0,00</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B6F0FC"/>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08</w:t>
            </w:r>
          </w:p>
        </w:tc>
        <w:tc>
          <w:tcPr>
            <w:tcW w:w="490" w:type="pct"/>
            <w:tcBorders>
              <w:top w:val="nil"/>
              <w:left w:val="nil"/>
              <w:bottom w:val="single" w:sz="4" w:space="0" w:color="auto"/>
              <w:right w:val="single" w:sz="4" w:space="0" w:color="auto"/>
            </w:tcBorders>
            <w:shd w:val="clear" w:color="auto" w:fill="B6F0FC"/>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B6F0FC"/>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4003</w:t>
            </w:r>
          </w:p>
        </w:tc>
        <w:tc>
          <w:tcPr>
            <w:tcW w:w="352" w:type="pct"/>
            <w:tcBorders>
              <w:top w:val="nil"/>
              <w:left w:val="nil"/>
              <w:bottom w:val="single" w:sz="4" w:space="0" w:color="auto"/>
              <w:right w:val="single" w:sz="4" w:space="0" w:color="auto"/>
            </w:tcBorders>
            <w:shd w:val="clear" w:color="auto" w:fill="B6F0FC"/>
            <w:noWrap/>
            <w:vAlign w:val="center"/>
            <w:hideMark/>
          </w:tcPr>
          <w:p w:rsidR="00135D51" w:rsidRPr="00160733" w:rsidRDefault="00160733" w:rsidP="00135D51">
            <w:pPr>
              <w:spacing w:before="0" w:after="0" w:line="276" w:lineRule="auto"/>
              <w:jc w:val="center"/>
              <w:rPr>
                <w:rFonts w:eastAsia="Times New Roman" w:cs="Arial"/>
                <w:b/>
                <w:bCs/>
                <w:color w:val="000000"/>
                <w:sz w:val="16"/>
                <w:szCs w:val="16"/>
              </w:rPr>
            </w:pPr>
            <w:r>
              <w:rPr>
                <w:rFonts w:eastAsia="Times New Roman" w:cs="Arial"/>
                <w:b/>
                <w:bCs/>
                <w:color w:val="000000"/>
                <w:sz w:val="16"/>
                <w:szCs w:val="16"/>
              </w:rPr>
              <w:t>V</w:t>
            </w:r>
          </w:p>
        </w:tc>
        <w:tc>
          <w:tcPr>
            <w:tcW w:w="843" w:type="pct"/>
            <w:tcBorders>
              <w:top w:val="nil"/>
              <w:left w:val="nil"/>
              <w:bottom w:val="single" w:sz="4" w:space="0" w:color="auto"/>
              <w:right w:val="single" w:sz="4" w:space="0" w:color="auto"/>
            </w:tcBorders>
            <w:shd w:val="clear" w:color="auto" w:fill="B6F0FC"/>
            <w:vAlign w:val="center"/>
            <w:hideMark/>
          </w:tcPr>
          <w:p w:rsidR="00135D51" w:rsidRPr="00076818" w:rsidRDefault="00FD08DD" w:rsidP="00E734A0">
            <w:pPr>
              <w:spacing w:before="0" w:after="0" w:line="276" w:lineRule="auto"/>
              <w:jc w:val="center"/>
              <w:rPr>
                <w:rFonts w:eastAsia="Times New Roman" w:cs="Arial"/>
                <w:b/>
                <w:bCs/>
                <w:color w:val="000000"/>
                <w:sz w:val="16"/>
                <w:szCs w:val="16"/>
              </w:rPr>
            </w:pPr>
            <w:r w:rsidRPr="00FD08DD">
              <w:rPr>
                <w:rFonts w:eastAsia="Times New Roman" w:cs="Arial"/>
                <w:b/>
                <w:bCs/>
                <w:color w:val="000000"/>
                <w:sz w:val="16"/>
                <w:szCs w:val="16"/>
              </w:rPr>
              <w:t>Donacije od nevladinih organizacija                       izvor 08</w:t>
            </w:r>
          </w:p>
        </w:tc>
        <w:tc>
          <w:tcPr>
            <w:tcW w:w="621" w:type="pct"/>
            <w:tcBorders>
              <w:top w:val="nil"/>
              <w:left w:val="nil"/>
              <w:bottom w:val="single" w:sz="4" w:space="0" w:color="auto"/>
              <w:right w:val="single" w:sz="4" w:space="0" w:color="auto"/>
            </w:tcBorders>
            <w:shd w:val="clear" w:color="auto" w:fill="B6F0FC"/>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0</w:t>
            </w:r>
          </w:p>
        </w:tc>
        <w:tc>
          <w:tcPr>
            <w:tcW w:w="634" w:type="pct"/>
            <w:tcBorders>
              <w:top w:val="nil"/>
              <w:left w:val="nil"/>
              <w:bottom w:val="single" w:sz="4" w:space="0" w:color="auto"/>
              <w:right w:val="single" w:sz="4" w:space="0" w:color="auto"/>
            </w:tcBorders>
            <w:shd w:val="clear" w:color="auto" w:fill="B6F0FC"/>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1.576.260</w:t>
            </w:r>
          </w:p>
        </w:tc>
        <w:tc>
          <w:tcPr>
            <w:tcW w:w="631" w:type="pct"/>
            <w:tcBorders>
              <w:top w:val="nil"/>
              <w:left w:val="nil"/>
              <w:bottom w:val="single" w:sz="4" w:space="0" w:color="auto"/>
              <w:right w:val="single" w:sz="4" w:space="0" w:color="auto"/>
            </w:tcBorders>
            <w:shd w:val="clear" w:color="auto" w:fill="B6F0FC"/>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403.842</w:t>
            </w:r>
          </w:p>
        </w:tc>
        <w:tc>
          <w:tcPr>
            <w:tcW w:w="426" w:type="pct"/>
            <w:tcBorders>
              <w:top w:val="nil"/>
              <w:left w:val="nil"/>
              <w:bottom w:val="single" w:sz="4" w:space="0" w:color="auto"/>
              <w:right w:val="single" w:sz="4" w:space="0" w:color="auto"/>
            </w:tcBorders>
            <w:shd w:val="clear" w:color="auto" w:fill="B6F0FC"/>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25,62</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08</w:t>
            </w:r>
          </w:p>
        </w:tc>
        <w:tc>
          <w:tcPr>
            <w:tcW w:w="490"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4003</w:t>
            </w:r>
          </w:p>
        </w:tc>
        <w:tc>
          <w:tcPr>
            <w:tcW w:w="352"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 </w:t>
            </w:r>
          </w:p>
        </w:tc>
        <w:tc>
          <w:tcPr>
            <w:tcW w:w="843" w:type="pct"/>
            <w:tcBorders>
              <w:top w:val="nil"/>
              <w:left w:val="nil"/>
              <w:bottom w:val="single" w:sz="4" w:space="0" w:color="auto"/>
              <w:right w:val="single" w:sz="4" w:space="0" w:color="auto"/>
            </w:tcBorders>
            <w:shd w:val="clear" w:color="auto" w:fill="04D9F6"/>
            <w:vAlign w:val="center"/>
            <w:hideMark/>
          </w:tcPr>
          <w:p w:rsidR="00135D51" w:rsidRPr="00076818" w:rsidRDefault="00FD08DD" w:rsidP="00E734A0">
            <w:pPr>
              <w:spacing w:before="0" w:after="0" w:line="276" w:lineRule="auto"/>
              <w:jc w:val="center"/>
              <w:rPr>
                <w:rFonts w:eastAsia="Times New Roman" w:cs="Arial"/>
                <w:b/>
                <w:bCs/>
                <w:color w:val="000000"/>
                <w:sz w:val="16"/>
                <w:szCs w:val="16"/>
              </w:rPr>
            </w:pPr>
            <w:r w:rsidRPr="00FD08DD">
              <w:rPr>
                <w:rFonts w:eastAsia="Times New Roman" w:cs="Arial"/>
                <w:b/>
                <w:bCs/>
                <w:color w:val="000000"/>
                <w:sz w:val="16"/>
                <w:szCs w:val="16"/>
              </w:rPr>
              <w:t>SVEGA – Projekat MOOT COURT                                        Simulacija suđenja</w:t>
            </w:r>
          </w:p>
        </w:tc>
        <w:tc>
          <w:tcPr>
            <w:tcW w:w="621"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0</w:t>
            </w:r>
          </w:p>
        </w:tc>
        <w:tc>
          <w:tcPr>
            <w:tcW w:w="634"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1.576.260</w:t>
            </w:r>
          </w:p>
        </w:tc>
        <w:tc>
          <w:tcPr>
            <w:tcW w:w="631"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403.842</w:t>
            </w:r>
          </w:p>
        </w:tc>
        <w:tc>
          <w:tcPr>
            <w:tcW w:w="426"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25,62</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08</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4003</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sz w:val="16"/>
                <w:szCs w:val="16"/>
              </w:rPr>
            </w:pPr>
            <w:r w:rsidRPr="00FD08DD">
              <w:rPr>
                <w:sz w:val="16"/>
                <w:szCs w:val="16"/>
              </w:rPr>
              <w:t>Troškovi putovanja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769.260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199.810</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25,97</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08</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4003</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423</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sz w:val="16"/>
                <w:szCs w:val="16"/>
              </w:rPr>
            </w:pPr>
            <w:r w:rsidRPr="00FD08DD">
              <w:rPr>
                <w:sz w:val="16"/>
                <w:szCs w:val="16"/>
              </w:rPr>
              <w:t>Usluge po ugovoru</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807.000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204.032</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25,28</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B6F0FC"/>
            <w:noWrap/>
            <w:vAlign w:val="center"/>
            <w:hideMark/>
          </w:tcPr>
          <w:p w:rsidR="00510759" w:rsidRPr="00076818" w:rsidRDefault="00510759"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15</w:t>
            </w:r>
          </w:p>
        </w:tc>
        <w:tc>
          <w:tcPr>
            <w:tcW w:w="490" w:type="pct"/>
            <w:tcBorders>
              <w:top w:val="nil"/>
              <w:left w:val="nil"/>
              <w:bottom w:val="single" w:sz="4" w:space="0" w:color="auto"/>
              <w:right w:val="single" w:sz="4" w:space="0" w:color="auto"/>
            </w:tcBorders>
            <w:shd w:val="clear" w:color="auto" w:fill="B6F0FC"/>
            <w:noWrap/>
            <w:vAlign w:val="center"/>
            <w:hideMark/>
          </w:tcPr>
          <w:p w:rsidR="00510759" w:rsidRPr="00076818" w:rsidRDefault="00510759"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B6F0FC"/>
            <w:noWrap/>
            <w:vAlign w:val="center"/>
            <w:hideMark/>
          </w:tcPr>
          <w:p w:rsidR="00510759" w:rsidRPr="00076818" w:rsidRDefault="00510759"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 </w:t>
            </w:r>
          </w:p>
        </w:tc>
        <w:tc>
          <w:tcPr>
            <w:tcW w:w="352" w:type="pct"/>
            <w:tcBorders>
              <w:top w:val="nil"/>
              <w:left w:val="nil"/>
              <w:bottom w:val="single" w:sz="4" w:space="0" w:color="auto"/>
              <w:right w:val="single" w:sz="4" w:space="0" w:color="auto"/>
            </w:tcBorders>
            <w:shd w:val="clear" w:color="auto" w:fill="B6F0FC"/>
            <w:noWrap/>
            <w:vAlign w:val="center"/>
            <w:hideMark/>
          </w:tcPr>
          <w:p w:rsidR="00510759" w:rsidRPr="00160733" w:rsidRDefault="00510759" w:rsidP="00135D51">
            <w:pPr>
              <w:spacing w:before="0" w:after="0" w:line="276" w:lineRule="auto"/>
              <w:jc w:val="center"/>
              <w:rPr>
                <w:rFonts w:eastAsia="Times New Roman" w:cs="Arial"/>
                <w:b/>
                <w:bCs/>
                <w:color w:val="000000"/>
                <w:sz w:val="16"/>
                <w:szCs w:val="16"/>
              </w:rPr>
            </w:pPr>
            <w:r>
              <w:rPr>
                <w:rFonts w:eastAsia="Times New Roman" w:cs="Arial"/>
                <w:b/>
                <w:bCs/>
                <w:color w:val="000000"/>
                <w:sz w:val="16"/>
                <w:szCs w:val="16"/>
              </w:rPr>
              <w:t>VI</w:t>
            </w:r>
          </w:p>
        </w:tc>
        <w:tc>
          <w:tcPr>
            <w:tcW w:w="843" w:type="pct"/>
            <w:tcBorders>
              <w:top w:val="nil"/>
              <w:left w:val="nil"/>
              <w:bottom w:val="single" w:sz="4" w:space="0" w:color="auto"/>
              <w:right w:val="single" w:sz="4" w:space="0" w:color="auto"/>
            </w:tcBorders>
            <w:shd w:val="clear" w:color="auto" w:fill="B6F0FC"/>
            <w:vAlign w:val="center"/>
            <w:hideMark/>
          </w:tcPr>
          <w:p w:rsidR="00510759" w:rsidRPr="00076818" w:rsidRDefault="00FD08DD" w:rsidP="00E734A0">
            <w:pPr>
              <w:spacing w:before="0" w:after="0" w:line="276" w:lineRule="auto"/>
              <w:jc w:val="center"/>
              <w:rPr>
                <w:rFonts w:eastAsia="Times New Roman" w:cs="Arial"/>
                <w:b/>
                <w:bCs/>
                <w:color w:val="000000"/>
                <w:sz w:val="16"/>
                <w:szCs w:val="16"/>
              </w:rPr>
            </w:pPr>
            <w:r w:rsidRPr="00FD08DD">
              <w:rPr>
                <w:rFonts w:eastAsia="Times New Roman" w:cs="Arial"/>
                <w:b/>
                <w:bCs/>
                <w:color w:val="000000"/>
                <w:sz w:val="16"/>
                <w:szCs w:val="16"/>
              </w:rPr>
              <w:t>Preneta sredstva iz preth. godina                 izvor 15</w:t>
            </w:r>
          </w:p>
        </w:tc>
        <w:tc>
          <w:tcPr>
            <w:tcW w:w="621" w:type="pct"/>
            <w:tcBorders>
              <w:top w:val="nil"/>
              <w:left w:val="nil"/>
              <w:bottom w:val="single" w:sz="4" w:space="0" w:color="auto"/>
              <w:right w:val="single" w:sz="4" w:space="0" w:color="auto"/>
            </w:tcBorders>
            <w:shd w:val="clear" w:color="auto" w:fill="B6F0FC"/>
            <w:vAlign w:val="center"/>
            <w:hideMark/>
          </w:tcPr>
          <w:p w:rsidR="00510759" w:rsidRPr="00076818" w:rsidRDefault="00510759"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336.000</w:t>
            </w:r>
          </w:p>
        </w:tc>
        <w:tc>
          <w:tcPr>
            <w:tcW w:w="634" w:type="pct"/>
            <w:tcBorders>
              <w:top w:val="nil"/>
              <w:left w:val="nil"/>
              <w:bottom w:val="single" w:sz="4" w:space="0" w:color="auto"/>
              <w:right w:val="single" w:sz="4" w:space="0" w:color="auto"/>
            </w:tcBorders>
            <w:shd w:val="clear" w:color="auto" w:fill="B6F0FC"/>
            <w:vAlign w:val="center"/>
            <w:hideMark/>
          </w:tcPr>
          <w:p w:rsidR="007F5A1D" w:rsidRDefault="00510759"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1.154.380</w:t>
            </w:r>
          </w:p>
        </w:tc>
        <w:tc>
          <w:tcPr>
            <w:tcW w:w="631" w:type="pct"/>
            <w:tcBorders>
              <w:top w:val="nil"/>
              <w:left w:val="nil"/>
              <w:bottom w:val="single" w:sz="4" w:space="0" w:color="auto"/>
              <w:right w:val="single" w:sz="4" w:space="0" w:color="auto"/>
            </w:tcBorders>
            <w:shd w:val="clear" w:color="auto" w:fill="B6F0FC"/>
            <w:vAlign w:val="center"/>
            <w:hideMark/>
          </w:tcPr>
          <w:p w:rsidR="007F5A1D" w:rsidRDefault="00510759"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1.066.997</w:t>
            </w:r>
          </w:p>
        </w:tc>
        <w:tc>
          <w:tcPr>
            <w:tcW w:w="426" w:type="pct"/>
            <w:tcBorders>
              <w:top w:val="nil"/>
              <w:left w:val="nil"/>
              <w:bottom w:val="single" w:sz="4" w:space="0" w:color="auto"/>
              <w:right w:val="single" w:sz="4" w:space="0" w:color="auto"/>
            </w:tcBorders>
            <w:shd w:val="clear" w:color="auto" w:fill="B6F0FC"/>
            <w:noWrap/>
            <w:vAlign w:val="center"/>
            <w:hideMark/>
          </w:tcPr>
          <w:p w:rsidR="00510759" w:rsidRPr="00076818" w:rsidRDefault="00510759" w:rsidP="00287DF2">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92,43</w:t>
            </w:r>
          </w:p>
        </w:tc>
      </w:tr>
      <w:tr w:rsidR="00510759" w:rsidRPr="00076818" w:rsidTr="00510759">
        <w:trPr>
          <w:trHeight w:val="660"/>
        </w:trPr>
        <w:tc>
          <w:tcPr>
            <w:tcW w:w="428" w:type="pct"/>
            <w:tcBorders>
              <w:top w:val="nil"/>
              <w:left w:val="single" w:sz="4" w:space="0" w:color="auto"/>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15</w:t>
            </w:r>
          </w:p>
        </w:tc>
        <w:tc>
          <w:tcPr>
            <w:tcW w:w="490"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1001</w:t>
            </w:r>
          </w:p>
        </w:tc>
        <w:tc>
          <w:tcPr>
            <w:tcW w:w="575"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4003</w:t>
            </w:r>
          </w:p>
        </w:tc>
        <w:tc>
          <w:tcPr>
            <w:tcW w:w="352"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 </w:t>
            </w:r>
          </w:p>
        </w:tc>
        <w:tc>
          <w:tcPr>
            <w:tcW w:w="843"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E734A0">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 xml:space="preserve">СВЕГА </w:t>
            </w:r>
            <w:r w:rsidR="00E734A0">
              <w:rPr>
                <w:rFonts w:eastAsia="Times New Roman" w:cs="Arial"/>
                <w:b/>
                <w:bCs/>
                <w:color w:val="000000"/>
                <w:sz w:val="16"/>
                <w:szCs w:val="16"/>
              </w:rPr>
              <w:t>–</w:t>
            </w:r>
            <w:r w:rsidRPr="00076818">
              <w:rPr>
                <w:rFonts w:eastAsia="Times New Roman" w:cs="Arial"/>
                <w:b/>
                <w:bCs/>
                <w:color w:val="000000"/>
                <w:sz w:val="16"/>
                <w:szCs w:val="16"/>
              </w:rPr>
              <w:t xml:space="preserve"> Пројекат </w:t>
            </w:r>
            <w:r w:rsidR="00B77F4D" w:rsidRPr="00B77F4D">
              <w:rPr>
                <w:rFonts w:eastAsia="Times New Roman" w:cs="Arial"/>
                <w:b/>
                <w:bCs/>
                <w:i/>
                <w:color w:val="000000"/>
                <w:sz w:val="16"/>
                <w:szCs w:val="16"/>
              </w:rPr>
              <w:t>MOOT COURT</w:t>
            </w:r>
            <w:r w:rsidRPr="00076818">
              <w:rPr>
                <w:rFonts w:eastAsia="Times New Roman" w:cs="Arial"/>
                <w:b/>
                <w:bCs/>
                <w:color w:val="000000"/>
                <w:sz w:val="16"/>
                <w:szCs w:val="16"/>
              </w:rPr>
              <w:t xml:space="preserve">                                       </w:t>
            </w:r>
            <w:r w:rsidRPr="00076818">
              <w:rPr>
                <w:rFonts w:eastAsia="Times New Roman" w:cs="Arial"/>
                <w:b/>
                <w:bCs/>
                <w:i/>
                <w:iCs/>
                <w:color w:val="000000"/>
                <w:sz w:val="16"/>
                <w:szCs w:val="16"/>
              </w:rPr>
              <w:t xml:space="preserve"> Симулација суђења </w:t>
            </w:r>
          </w:p>
        </w:tc>
        <w:tc>
          <w:tcPr>
            <w:tcW w:w="621" w:type="pct"/>
            <w:tcBorders>
              <w:top w:val="nil"/>
              <w:left w:val="nil"/>
              <w:bottom w:val="single" w:sz="4" w:space="0" w:color="auto"/>
              <w:right w:val="single" w:sz="4" w:space="0" w:color="auto"/>
            </w:tcBorders>
            <w:shd w:val="clear" w:color="auto" w:fill="04D9F6"/>
            <w:vAlign w:val="center"/>
            <w:hideMark/>
          </w:tcPr>
          <w:p w:rsidR="00135D51" w:rsidRPr="00076818" w:rsidRDefault="00135D51" w:rsidP="00A23B87">
            <w:pPr>
              <w:spacing w:before="0" w:after="0" w:line="276" w:lineRule="auto"/>
              <w:ind w:firstLineChars="100" w:firstLine="161"/>
              <w:jc w:val="right"/>
              <w:rPr>
                <w:rFonts w:eastAsia="Times New Roman" w:cs="Arial"/>
                <w:b/>
                <w:bCs/>
                <w:color w:val="000000"/>
                <w:sz w:val="16"/>
                <w:szCs w:val="16"/>
              </w:rPr>
            </w:pPr>
            <w:r w:rsidRPr="00076818">
              <w:rPr>
                <w:rFonts w:eastAsia="Times New Roman" w:cs="Arial"/>
                <w:b/>
                <w:bCs/>
                <w:color w:val="000000"/>
                <w:sz w:val="16"/>
                <w:szCs w:val="16"/>
              </w:rPr>
              <w:t>336.000</w:t>
            </w:r>
          </w:p>
        </w:tc>
        <w:tc>
          <w:tcPr>
            <w:tcW w:w="634"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1.154.380</w:t>
            </w:r>
          </w:p>
        </w:tc>
        <w:tc>
          <w:tcPr>
            <w:tcW w:w="631" w:type="pct"/>
            <w:tcBorders>
              <w:top w:val="nil"/>
              <w:left w:val="nil"/>
              <w:bottom w:val="single" w:sz="4" w:space="0" w:color="auto"/>
              <w:right w:val="single" w:sz="4" w:space="0" w:color="auto"/>
            </w:tcBorders>
            <w:shd w:val="clear" w:color="auto" w:fill="04D9F6"/>
            <w:vAlign w:val="center"/>
            <w:hideMark/>
          </w:tcPr>
          <w:p w:rsidR="007F5A1D" w:rsidRDefault="00135D51" w:rsidP="00170EDF">
            <w:pPr>
              <w:spacing w:before="0" w:after="0" w:line="276" w:lineRule="auto"/>
              <w:ind w:firstLineChars="100" w:firstLine="161"/>
              <w:jc w:val="right"/>
              <w:rPr>
                <w:rFonts w:eastAsia="Times New Roman" w:cs="Arial"/>
                <w:b/>
                <w:bCs/>
                <w:i/>
                <w:color w:val="000000"/>
                <w:sz w:val="16"/>
                <w:szCs w:val="16"/>
              </w:rPr>
            </w:pPr>
            <w:r w:rsidRPr="00076818">
              <w:rPr>
                <w:rFonts w:eastAsia="Times New Roman" w:cs="Arial"/>
                <w:b/>
                <w:bCs/>
                <w:color w:val="000000"/>
                <w:sz w:val="16"/>
                <w:szCs w:val="16"/>
              </w:rPr>
              <w:t>1.066.997</w:t>
            </w:r>
          </w:p>
        </w:tc>
        <w:tc>
          <w:tcPr>
            <w:tcW w:w="426" w:type="pct"/>
            <w:tcBorders>
              <w:top w:val="nil"/>
              <w:left w:val="nil"/>
              <w:bottom w:val="single" w:sz="4" w:space="0" w:color="auto"/>
              <w:right w:val="single" w:sz="4" w:space="0" w:color="auto"/>
            </w:tcBorders>
            <w:shd w:val="clear" w:color="auto" w:fill="04D9F6"/>
            <w:noWrap/>
            <w:vAlign w:val="center"/>
            <w:hideMark/>
          </w:tcPr>
          <w:p w:rsidR="00135D51" w:rsidRPr="00076818" w:rsidRDefault="00135D51" w:rsidP="00135D51">
            <w:pPr>
              <w:spacing w:before="0" w:after="0" w:line="276" w:lineRule="auto"/>
              <w:jc w:val="center"/>
              <w:rPr>
                <w:rFonts w:eastAsia="Times New Roman" w:cs="Arial"/>
                <w:b/>
                <w:bCs/>
                <w:color w:val="000000"/>
                <w:sz w:val="16"/>
                <w:szCs w:val="16"/>
              </w:rPr>
            </w:pPr>
            <w:r w:rsidRPr="00076818">
              <w:rPr>
                <w:rFonts w:eastAsia="Times New Roman" w:cs="Arial"/>
                <w:b/>
                <w:bCs/>
                <w:color w:val="000000"/>
                <w:sz w:val="16"/>
                <w:szCs w:val="16"/>
              </w:rPr>
              <w:t>92,43</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15</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4003</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422</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sz w:val="16"/>
                <w:szCs w:val="16"/>
              </w:rPr>
            </w:pPr>
            <w:r w:rsidRPr="00FD08DD">
              <w:rPr>
                <w:sz w:val="16"/>
                <w:szCs w:val="16"/>
              </w:rPr>
              <w:t>Troškovi putovanja</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336.000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557.760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482.411</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86,49</w:t>
            </w:r>
          </w:p>
        </w:tc>
      </w:tr>
      <w:tr w:rsidR="00FD08DD" w:rsidRPr="00076818" w:rsidTr="00FD08DD">
        <w:trPr>
          <w:trHeight w:val="300"/>
        </w:trPr>
        <w:tc>
          <w:tcPr>
            <w:tcW w:w="428" w:type="pct"/>
            <w:tcBorders>
              <w:top w:val="nil"/>
              <w:left w:val="single" w:sz="4" w:space="0" w:color="auto"/>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15</w:t>
            </w:r>
          </w:p>
        </w:tc>
        <w:tc>
          <w:tcPr>
            <w:tcW w:w="490"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1001</w:t>
            </w:r>
          </w:p>
        </w:tc>
        <w:tc>
          <w:tcPr>
            <w:tcW w:w="575"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4003</w:t>
            </w:r>
          </w:p>
        </w:tc>
        <w:tc>
          <w:tcPr>
            <w:tcW w:w="352"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423</w:t>
            </w:r>
          </w:p>
        </w:tc>
        <w:tc>
          <w:tcPr>
            <w:tcW w:w="843" w:type="pct"/>
            <w:tcBorders>
              <w:top w:val="nil"/>
              <w:left w:val="nil"/>
              <w:bottom w:val="single" w:sz="4" w:space="0" w:color="auto"/>
              <w:right w:val="single" w:sz="4" w:space="0" w:color="auto"/>
            </w:tcBorders>
            <w:shd w:val="clear" w:color="auto" w:fill="auto"/>
            <w:hideMark/>
          </w:tcPr>
          <w:p w:rsidR="00FD08DD" w:rsidRPr="00FD08DD" w:rsidRDefault="00FD08DD" w:rsidP="00FD08DD">
            <w:pPr>
              <w:rPr>
                <w:sz w:val="16"/>
                <w:szCs w:val="16"/>
              </w:rPr>
            </w:pPr>
            <w:r w:rsidRPr="00FD08DD">
              <w:rPr>
                <w:sz w:val="16"/>
                <w:szCs w:val="16"/>
              </w:rPr>
              <w:t>Usluge po ugovoru</w:t>
            </w:r>
          </w:p>
        </w:tc>
        <w:tc>
          <w:tcPr>
            <w:tcW w:w="621" w:type="pct"/>
            <w:tcBorders>
              <w:top w:val="nil"/>
              <w:left w:val="nil"/>
              <w:bottom w:val="single" w:sz="4" w:space="0" w:color="auto"/>
              <w:right w:val="single" w:sz="4" w:space="0" w:color="auto"/>
            </w:tcBorders>
            <w:shd w:val="clear" w:color="auto" w:fill="auto"/>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0</w:t>
            </w:r>
          </w:p>
        </w:tc>
        <w:tc>
          <w:tcPr>
            <w:tcW w:w="634"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596.620</w:t>
            </w:r>
          </w:p>
        </w:tc>
        <w:tc>
          <w:tcPr>
            <w:tcW w:w="631"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076818">
            <w:pPr>
              <w:spacing w:before="0" w:after="0" w:line="276" w:lineRule="auto"/>
              <w:ind w:firstLineChars="100" w:firstLine="160"/>
              <w:jc w:val="right"/>
              <w:rPr>
                <w:rFonts w:eastAsia="Times New Roman" w:cs="Arial"/>
                <w:color w:val="000000"/>
                <w:sz w:val="16"/>
                <w:szCs w:val="16"/>
              </w:rPr>
            </w:pPr>
            <w:r w:rsidRPr="00076818">
              <w:rPr>
                <w:rFonts w:eastAsia="Times New Roman" w:cs="Arial"/>
                <w:color w:val="000000"/>
                <w:sz w:val="16"/>
                <w:szCs w:val="16"/>
              </w:rPr>
              <w:t>584.586</w:t>
            </w:r>
          </w:p>
        </w:tc>
        <w:tc>
          <w:tcPr>
            <w:tcW w:w="426" w:type="pct"/>
            <w:tcBorders>
              <w:top w:val="nil"/>
              <w:left w:val="nil"/>
              <w:bottom w:val="single" w:sz="4" w:space="0" w:color="auto"/>
              <w:right w:val="single" w:sz="4" w:space="0" w:color="auto"/>
            </w:tcBorders>
            <w:shd w:val="clear" w:color="auto" w:fill="auto"/>
            <w:noWrap/>
            <w:vAlign w:val="center"/>
            <w:hideMark/>
          </w:tcPr>
          <w:p w:rsidR="00FD08DD" w:rsidRPr="00076818" w:rsidRDefault="00FD08DD" w:rsidP="00135D51">
            <w:pPr>
              <w:spacing w:before="0" w:after="0" w:line="276" w:lineRule="auto"/>
              <w:jc w:val="center"/>
              <w:rPr>
                <w:rFonts w:eastAsia="Times New Roman" w:cs="Arial"/>
                <w:color w:val="000000"/>
                <w:sz w:val="16"/>
                <w:szCs w:val="16"/>
              </w:rPr>
            </w:pPr>
            <w:r w:rsidRPr="00076818">
              <w:rPr>
                <w:rFonts w:eastAsia="Times New Roman" w:cs="Arial"/>
                <w:color w:val="000000"/>
                <w:sz w:val="16"/>
                <w:szCs w:val="16"/>
              </w:rPr>
              <w:t>97,98</w:t>
            </w:r>
          </w:p>
        </w:tc>
      </w:tr>
    </w:tbl>
    <w:p w:rsidR="001C25B6" w:rsidRDefault="001C25B6" w:rsidP="000B2BB0">
      <w:pPr>
        <w:spacing w:before="0" w:after="0" w:line="240" w:lineRule="auto"/>
        <w:rPr>
          <w:rFonts w:cs="Arial"/>
          <w:b/>
        </w:rPr>
      </w:pPr>
    </w:p>
    <w:p w:rsidR="00A058BA" w:rsidRPr="00A058BA" w:rsidRDefault="00A058BA" w:rsidP="00A058BA">
      <w:pPr>
        <w:spacing w:before="0" w:after="0" w:line="240" w:lineRule="auto"/>
        <w:rPr>
          <w:rFonts w:cs="Arial"/>
          <w:sz w:val="16"/>
          <w:szCs w:val="16"/>
        </w:rPr>
      </w:pPr>
      <w:r w:rsidRPr="00A058BA">
        <w:rPr>
          <w:rFonts w:cs="Arial"/>
          <w:sz w:val="16"/>
          <w:szCs w:val="16"/>
        </w:rPr>
        <w:t xml:space="preserve">* Početna aproprijacija je odobrena Zakonom o budžetu Republike Srbije za 2016. godinu („Službeni glasnik RS“, broj 103/15). </w:t>
      </w:r>
    </w:p>
    <w:p w:rsidR="000B2BB0" w:rsidRDefault="00A058BA" w:rsidP="00A058BA">
      <w:pPr>
        <w:spacing w:before="0" w:after="0" w:line="240" w:lineRule="auto"/>
        <w:rPr>
          <w:rFonts w:cs="Arial"/>
          <w:b/>
        </w:rPr>
      </w:pPr>
      <w:r w:rsidRPr="00A058BA">
        <w:rPr>
          <w:rFonts w:cs="Arial"/>
          <w:sz w:val="16"/>
          <w:szCs w:val="16"/>
        </w:rPr>
        <w:t>** Tekuća aproprijacija predstavlja početnu aproprijaciju uvećanu za iznos novih donacija kao i iznos prenetih neutrošenih sredstava iz prethodne godine.</w:t>
      </w:r>
    </w:p>
    <w:p w:rsidR="00AE17D2" w:rsidRDefault="00AE17D2" w:rsidP="000B2BB0">
      <w:pPr>
        <w:spacing w:before="0" w:after="0" w:line="240" w:lineRule="auto"/>
        <w:rPr>
          <w:rFonts w:cs="Arial"/>
          <w:b/>
        </w:rPr>
      </w:pPr>
    </w:p>
    <w:p w:rsidR="00AE17D2" w:rsidRDefault="00AE17D2" w:rsidP="000B2BB0">
      <w:pPr>
        <w:spacing w:before="0" w:after="0" w:line="240" w:lineRule="auto"/>
        <w:rPr>
          <w:rFonts w:cs="Arial"/>
          <w:b/>
        </w:rPr>
      </w:pPr>
    </w:p>
    <w:p w:rsidR="00AE17D2" w:rsidRDefault="00AE17D2" w:rsidP="000B2BB0">
      <w:pPr>
        <w:spacing w:before="0" w:after="0" w:line="240" w:lineRule="auto"/>
        <w:rPr>
          <w:rFonts w:cs="Arial"/>
          <w:b/>
        </w:rPr>
      </w:pPr>
    </w:p>
    <w:p w:rsidR="00AE17D2" w:rsidRDefault="00AE17D2" w:rsidP="000B2BB0">
      <w:pPr>
        <w:spacing w:before="0" w:after="0" w:line="240" w:lineRule="auto"/>
        <w:rPr>
          <w:rFonts w:cs="Arial"/>
          <w:b/>
        </w:rPr>
      </w:pPr>
    </w:p>
    <w:p w:rsidR="00AE17D2" w:rsidRDefault="00AE17D2"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Default="00C268A7" w:rsidP="000B2BB0">
      <w:pPr>
        <w:spacing w:before="0" w:after="0" w:line="240" w:lineRule="auto"/>
        <w:rPr>
          <w:rFonts w:cs="Arial"/>
          <w:b/>
          <w:lang w:val="sr-Latn-RS"/>
        </w:rPr>
      </w:pPr>
    </w:p>
    <w:p w:rsidR="00C268A7" w:rsidRPr="00C268A7" w:rsidRDefault="00C268A7" w:rsidP="000B2BB0">
      <w:pPr>
        <w:spacing w:before="0" w:after="0" w:line="240" w:lineRule="auto"/>
        <w:rPr>
          <w:rFonts w:cs="Arial"/>
          <w:b/>
          <w:lang w:val="sr-Latn-RS"/>
        </w:rPr>
      </w:pPr>
    </w:p>
    <w:tbl>
      <w:tblPr>
        <w:tblW w:w="5418" w:type="pct"/>
        <w:tblInd w:w="-318" w:type="dxa"/>
        <w:tblLayout w:type="fixed"/>
        <w:tblLook w:val="04A0" w:firstRow="1" w:lastRow="0" w:firstColumn="1" w:lastColumn="0" w:noHBand="0" w:noVBand="1"/>
      </w:tblPr>
      <w:tblGrid>
        <w:gridCol w:w="1000"/>
        <w:gridCol w:w="1137"/>
        <w:gridCol w:w="1129"/>
        <w:gridCol w:w="1848"/>
        <w:gridCol w:w="1550"/>
        <w:gridCol w:w="1274"/>
        <w:gridCol w:w="1276"/>
        <w:gridCol w:w="852"/>
      </w:tblGrid>
      <w:tr w:rsidR="00F83D27" w:rsidRPr="00F83D27" w:rsidTr="00FD704A">
        <w:trPr>
          <w:trHeight w:val="990"/>
        </w:trPr>
        <w:tc>
          <w:tcPr>
            <w:tcW w:w="5000" w:type="pct"/>
            <w:gridSpan w:val="8"/>
            <w:tcBorders>
              <w:top w:val="single" w:sz="4" w:space="0" w:color="FFFFFF"/>
              <w:left w:val="single" w:sz="4" w:space="0" w:color="FFFFFF"/>
              <w:bottom w:val="single" w:sz="4" w:space="0" w:color="auto"/>
              <w:right w:val="single" w:sz="4" w:space="0" w:color="FFFFFF"/>
            </w:tcBorders>
            <w:shd w:val="clear" w:color="auto" w:fill="auto"/>
            <w:vAlign w:val="center"/>
            <w:hideMark/>
          </w:tcPr>
          <w:p w:rsidR="001D6418" w:rsidRDefault="001D6418" w:rsidP="00F83D27">
            <w:pPr>
              <w:spacing w:before="0" w:after="0" w:line="276" w:lineRule="auto"/>
              <w:jc w:val="center"/>
              <w:rPr>
                <w:rFonts w:eastAsia="Times New Roman" w:cs="Arial"/>
                <w:b/>
                <w:bCs/>
                <w:color w:val="000000"/>
                <w:sz w:val="20"/>
                <w:szCs w:val="16"/>
              </w:rPr>
            </w:pPr>
          </w:p>
          <w:p w:rsidR="00B33184" w:rsidRPr="00B33184" w:rsidRDefault="00B33184" w:rsidP="00B33184">
            <w:pPr>
              <w:spacing w:before="0" w:after="0" w:line="276" w:lineRule="auto"/>
              <w:jc w:val="center"/>
              <w:rPr>
                <w:rFonts w:eastAsia="Times New Roman" w:cs="Arial"/>
                <w:b/>
                <w:bCs/>
                <w:color w:val="000000"/>
                <w:szCs w:val="16"/>
              </w:rPr>
            </w:pPr>
            <w:r w:rsidRPr="00B33184">
              <w:rPr>
                <w:rFonts w:eastAsia="Times New Roman" w:cs="Arial"/>
                <w:b/>
                <w:bCs/>
                <w:color w:val="000000"/>
                <w:szCs w:val="16"/>
              </w:rPr>
              <w:t>IZVRŠENJE   BUDŽETA   ZA   2016.   GODINU</w:t>
            </w:r>
          </w:p>
          <w:p w:rsidR="001D6418" w:rsidRPr="00B33184" w:rsidRDefault="00B33184" w:rsidP="00B33184">
            <w:pPr>
              <w:spacing w:before="0" w:after="0" w:line="276" w:lineRule="auto"/>
              <w:jc w:val="center"/>
              <w:rPr>
                <w:rFonts w:eastAsia="Times New Roman" w:cs="Arial"/>
                <w:b/>
                <w:bCs/>
                <w:color w:val="3BCCFF"/>
                <w:sz w:val="20"/>
                <w:szCs w:val="16"/>
              </w:rPr>
            </w:pPr>
            <w:r w:rsidRPr="00B33184">
              <w:rPr>
                <w:rFonts w:eastAsia="Times New Roman" w:cs="Arial"/>
                <w:b/>
                <w:bCs/>
                <w:color w:val="3BCCFF"/>
                <w:szCs w:val="16"/>
              </w:rPr>
              <w:t>STRUKTURA BUDŽETA PO PROGRAMU, PROGRAMSKOJ AKTIVNOSTI I PROJEKTIMA</w:t>
            </w:r>
          </w:p>
          <w:p w:rsidR="001D6418" w:rsidRPr="00F83D27" w:rsidRDefault="001D6418" w:rsidP="00F83D27">
            <w:pPr>
              <w:spacing w:before="0" w:after="0" w:line="276" w:lineRule="auto"/>
              <w:jc w:val="center"/>
              <w:rPr>
                <w:rFonts w:eastAsia="Times New Roman" w:cs="Arial"/>
                <w:b/>
                <w:bCs/>
                <w:color w:val="12D9EE"/>
                <w:sz w:val="16"/>
                <w:szCs w:val="16"/>
              </w:rPr>
            </w:pPr>
          </w:p>
        </w:tc>
      </w:tr>
      <w:tr w:rsidR="00B33184" w:rsidRPr="00F83D27" w:rsidTr="009A2BDF">
        <w:trPr>
          <w:trHeight w:val="990"/>
        </w:trPr>
        <w:tc>
          <w:tcPr>
            <w:tcW w:w="496" w:type="pct"/>
            <w:tcBorders>
              <w:top w:val="nil"/>
              <w:left w:val="single" w:sz="4" w:space="0" w:color="auto"/>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Izvor finan.</w:t>
            </w:r>
          </w:p>
        </w:tc>
        <w:tc>
          <w:tcPr>
            <w:tcW w:w="565"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Program</w:t>
            </w:r>
          </w:p>
        </w:tc>
        <w:tc>
          <w:tcPr>
            <w:tcW w:w="561"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Program. aktivnost / projekat</w:t>
            </w:r>
          </w:p>
        </w:tc>
        <w:tc>
          <w:tcPr>
            <w:tcW w:w="918"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O  P  I  S</w:t>
            </w:r>
          </w:p>
        </w:tc>
        <w:tc>
          <w:tcPr>
            <w:tcW w:w="770"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*Početna aproprijac.</w:t>
            </w:r>
          </w:p>
        </w:tc>
        <w:tc>
          <w:tcPr>
            <w:tcW w:w="633"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**Tekuća aproprijac.</w:t>
            </w:r>
          </w:p>
        </w:tc>
        <w:tc>
          <w:tcPr>
            <w:tcW w:w="634"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Izvršenje budžeta</w:t>
            </w:r>
          </w:p>
        </w:tc>
        <w:tc>
          <w:tcPr>
            <w:tcW w:w="424" w:type="pct"/>
            <w:tcBorders>
              <w:top w:val="nil"/>
              <w:left w:val="nil"/>
              <w:bottom w:val="single" w:sz="4" w:space="0" w:color="auto"/>
              <w:right w:val="single" w:sz="4" w:space="0" w:color="auto"/>
            </w:tcBorders>
            <w:shd w:val="clear" w:color="auto" w:fill="auto"/>
            <w:vAlign w:val="center"/>
            <w:hideMark/>
          </w:tcPr>
          <w:p w:rsidR="00B33184" w:rsidRPr="00B33184" w:rsidRDefault="00B33184" w:rsidP="00B33184">
            <w:pPr>
              <w:jc w:val="center"/>
              <w:rPr>
                <w:b/>
                <w:sz w:val="16"/>
                <w:szCs w:val="16"/>
              </w:rPr>
            </w:pPr>
            <w:r w:rsidRPr="00B33184">
              <w:rPr>
                <w:b/>
                <w:sz w:val="16"/>
                <w:szCs w:val="16"/>
              </w:rPr>
              <w:t>% izvršenja (8 : 7)</w:t>
            </w:r>
          </w:p>
        </w:tc>
      </w:tr>
      <w:tr w:rsidR="00FD704A" w:rsidRPr="00F83D27" w:rsidTr="009A2BDF">
        <w:trPr>
          <w:trHeight w:val="27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sidRPr="00F83D27">
              <w:rPr>
                <w:rFonts w:eastAsia="Times New Roman" w:cs="Arial"/>
                <w:color w:val="000000"/>
                <w:sz w:val="16"/>
                <w:szCs w:val="16"/>
              </w:rPr>
              <w:t>1</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sidRPr="00F83D27">
              <w:rPr>
                <w:rFonts w:eastAsia="Times New Roman" w:cs="Arial"/>
                <w:color w:val="000000"/>
                <w:sz w:val="16"/>
                <w:szCs w:val="16"/>
              </w:rPr>
              <w:t>2</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sidRPr="00F83D27">
              <w:rPr>
                <w:rFonts w:eastAsia="Times New Roman" w:cs="Arial"/>
                <w:color w:val="000000"/>
                <w:sz w:val="16"/>
                <w:szCs w:val="16"/>
              </w:rPr>
              <w:t>3</w:t>
            </w:r>
          </w:p>
        </w:tc>
        <w:tc>
          <w:tcPr>
            <w:tcW w:w="918" w:type="pct"/>
            <w:tcBorders>
              <w:top w:val="nil"/>
              <w:left w:val="nil"/>
              <w:bottom w:val="single" w:sz="4" w:space="0" w:color="auto"/>
              <w:right w:val="single" w:sz="4" w:space="0" w:color="auto"/>
            </w:tcBorders>
            <w:shd w:val="clear" w:color="auto" w:fill="auto"/>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4</w:t>
            </w:r>
          </w:p>
        </w:tc>
        <w:tc>
          <w:tcPr>
            <w:tcW w:w="770" w:type="pct"/>
            <w:tcBorders>
              <w:top w:val="nil"/>
              <w:left w:val="nil"/>
              <w:bottom w:val="single" w:sz="4" w:space="0" w:color="auto"/>
              <w:right w:val="single" w:sz="4" w:space="0" w:color="auto"/>
            </w:tcBorders>
            <w:shd w:val="clear" w:color="auto" w:fill="auto"/>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5</w:t>
            </w:r>
          </w:p>
        </w:tc>
        <w:tc>
          <w:tcPr>
            <w:tcW w:w="633"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6</w:t>
            </w:r>
          </w:p>
        </w:tc>
        <w:tc>
          <w:tcPr>
            <w:tcW w:w="63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7</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r>
              <w:rPr>
                <w:rFonts w:eastAsia="Times New Roman" w:cs="Arial"/>
                <w:color w:val="000000"/>
                <w:sz w:val="16"/>
                <w:szCs w:val="16"/>
              </w:rPr>
              <w:t>8</w:t>
            </w:r>
          </w:p>
        </w:tc>
      </w:tr>
      <w:tr w:rsidR="00FD704A" w:rsidRPr="00F83D27" w:rsidTr="009A2BDF">
        <w:trPr>
          <w:trHeight w:val="66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E734A0">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01</w:t>
            </w:r>
            <w:r w:rsidR="00E734A0">
              <w:rPr>
                <w:rFonts w:eastAsia="Times New Roman" w:cs="Arial"/>
                <w:b/>
                <w:bCs/>
                <w:color w:val="000000"/>
                <w:sz w:val="16"/>
                <w:szCs w:val="16"/>
              </w:rPr>
              <w:t>–</w:t>
            </w:r>
            <w:r w:rsidRPr="00F83D27">
              <w:rPr>
                <w:rFonts w:eastAsia="Times New Roman" w:cs="Arial"/>
                <w:b/>
                <w:bCs/>
                <w:color w:val="000000"/>
                <w:sz w:val="16"/>
                <w:szCs w:val="16"/>
              </w:rPr>
              <w:t xml:space="preserve">15 </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1001</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 </w:t>
            </w:r>
          </w:p>
        </w:tc>
        <w:tc>
          <w:tcPr>
            <w:tcW w:w="918" w:type="pct"/>
            <w:tcBorders>
              <w:top w:val="nil"/>
              <w:left w:val="nil"/>
              <w:bottom w:val="single" w:sz="4" w:space="0" w:color="auto"/>
              <w:right w:val="single" w:sz="4" w:space="0" w:color="auto"/>
            </w:tcBorders>
            <w:shd w:val="clear" w:color="auto" w:fill="auto"/>
            <w:vAlign w:val="center"/>
            <w:hideMark/>
          </w:tcPr>
          <w:p w:rsidR="00FD704A" w:rsidRDefault="00FD704A" w:rsidP="00135D51">
            <w:pPr>
              <w:spacing w:before="0" w:after="0" w:line="276" w:lineRule="auto"/>
              <w:jc w:val="left"/>
              <w:rPr>
                <w:rFonts w:eastAsia="Times New Roman" w:cs="Arial"/>
                <w:b/>
                <w:bCs/>
                <w:color w:val="04D9F6"/>
                <w:sz w:val="16"/>
                <w:szCs w:val="16"/>
                <w:u w:val="single"/>
              </w:rPr>
            </w:pPr>
          </w:p>
          <w:p w:rsidR="00F83D27" w:rsidRPr="00F83D27" w:rsidRDefault="00B33184" w:rsidP="00135D51">
            <w:pPr>
              <w:spacing w:before="0" w:after="0" w:line="276" w:lineRule="auto"/>
              <w:jc w:val="left"/>
              <w:rPr>
                <w:rFonts w:eastAsia="Times New Roman" w:cs="Arial"/>
                <w:b/>
                <w:bCs/>
                <w:color w:val="000000"/>
                <w:sz w:val="16"/>
                <w:szCs w:val="16"/>
              </w:rPr>
            </w:pPr>
            <w:r w:rsidRPr="00B33184">
              <w:rPr>
                <w:rFonts w:eastAsia="Times New Roman" w:cs="Arial"/>
                <w:b/>
                <w:bCs/>
                <w:color w:val="04D9F6"/>
                <w:sz w:val="16"/>
                <w:szCs w:val="16"/>
                <w:u w:val="single"/>
              </w:rPr>
              <w:t xml:space="preserve">PROGRAM:           </w:t>
            </w:r>
            <w:r w:rsidRPr="00B33184">
              <w:rPr>
                <w:rFonts w:eastAsia="Times New Roman" w:cs="Arial"/>
                <w:b/>
                <w:bCs/>
                <w:sz w:val="16"/>
                <w:szCs w:val="16"/>
              </w:rPr>
              <w:t>Unapređenje i zaštita ljudskih i manjinskih prava i sloboda</w:t>
            </w:r>
          </w:p>
        </w:tc>
        <w:tc>
          <w:tcPr>
            <w:tcW w:w="770"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81.255.000</w:t>
            </w:r>
          </w:p>
        </w:tc>
        <w:tc>
          <w:tcPr>
            <w:tcW w:w="633"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84.200.412</w:t>
            </w:r>
          </w:p>
        </w:tc>
        <w:tc>
          <w:tcPr>
            <w:tcW w:w="634"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60.508.998</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71,86</w:t>
            </w:r>
          </w:p>
        </w:tc>
      </w:tr>
      <w:tr w:rsidR="00FD704A" w:rsidRPr="00F83D27" w:rsidTr="009A2BDF">
        <w:trPr>
          <w:trHeight w:val="66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01</w:t>
            </w:r>
            <w:r w:rsidR="00FD704A">
              <w:rPr>
                <w:rFonts w:eastAsia="Times New Roman" w:cs="Arial"/>
                <w:b/>
                <w:bCs/>
                <w:color w:val="000000"/>
                <w:sz w:val="16"/>
                <w:szCs w:val="16"/>
              </w:rPr>
              <w:t>,</w:t>
            </w:r>
            <w:r w:rsidR="00E734A0">
              <w:rPr>
                <w:rFonts w:eastAsia="Times New Roman" w:cs="Arial"/>
                <w:b/>
                <w:bCs/>
                <w:color w:val="000000"/>
                <w:sz w:val="16"/>
                <w:szCs w:val="16"/>
              </w:rPr>
              <w:t xml:space="preserve"> </w:t>
            </w:r>
            <w:r w:rsidR="00FD704A">
              <w:rPr>
                <w:rFonts w:eastAsia="Times New Roman" w:cs="Arial"/>
                <w:b/>
                <w:bCs/>
                <w:color w:val="000000"/>
                <w:sz w:val="16"/>
                <w:szCs w:val="16"/>
              </w:rPr>
              <w:t>05,</w:t>
            </w:r>
            <w:r w:rsidR="00E734A0">
              <w:rPr>
                <w:rFonts w:eastAsia="Times New Roman" w:cs="Arial"/>
                <w:b/>
                <w:bCs/>
                <w:color w:val="000000"/>
                <w:sz w:val="16"/>
                <w:szCs w:val="16"/>
              </w:rPr>
              <w:t xml:space="preserve"> </w:t>
            </w:r>
            <w:r w:rsidR="00FD704A">
              <w:rPr>
                <w:rFonts w:eastAsia="Times New Roman" w:cs="Arial"/>
                <w:b/>
                <w:bCs/>
                <w:color w:val="000000"/>
                <w:sz w:val="16"/>
                <w:szCs w:val="16"/>
              </w:rPr>
              <w:t>15</w:t>
            </w:r>
            <w:r w:rsidRPr="00F83D27">
              <w:rPr>
                <w:rFonts w:eastAsia="Times New Roman" w:cs="Arial"/>
                <w:b/>
                <w:bCs/>
                <w:color w:val="000000"/>
                <w:sz w:val="16"/>
                <w:szCs w:val="16"/>
              </w:rPr>
              <w:t xml:space="preserve"> </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 </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0012</w:t>
            </w:r>
          </w:p>
        </w:tc>
        <w:tc>
          <w:tcPr>
            <w:tcW w:w="918" w:type="pct"/>
            <w:tcBorders>
              <w:top w:val="nil"/>
              <w:left w:val="nil"/>
              <w:bottom w:val="single" w:sz="4" w:space="0" w:color="auto"/>
              <w:right w:val="single" w:sz="4" w:space="0" w:color="auto"/>
            </w:tcBorders>
            <w:shd w:val="clear" w:color="auto" w:fill="auto"/>
            <w:vAlign w:val="center"/>
            <w:hideMark/>
          </w:tcPr>
          <w:p w:rsidR="00FD704A" w:rsidRDefault="00FD704A" w:rsidP="00135D51">
            <w:pPr>
              <w:spacing w:before="0" w:after="0" w:line="276" w:lineRule="auto"/>
              <w:jc w:val="left"/>
              <w:rPr>
                <w:rFonts w:eastAsia="Times New Roman" w:cs="Arial"/>
                <w:b/>
                <w:bCs/>
                <w:color w:val="04D9F6"/>
                <w:sz w:val="16"/>
                <w:szCs w:val="16"/>
                <w:u w:val="single"/>
              </w:rPr>
            </w:pPr>
          </w:p>
          <w:p w:rsidR="00F83D27" w:rsidRPr="00FD704A" w:rsidRDefault="00B33184" w:rsidP="00135D51">
            <w:pPr>
              <w:spacing w:before="0" w:after="0" w:line="276" w:lineRule="auto"/>
              <w:jc w:val="left"/>
              <w:rPr>
                <w:rFonts w:eastAsia="Times New Roman" w:cs="Arial"/>
                <w:b/>
                <w:bCs/>
                <w:color w:val="000000"/>
                <w:sz w:val="16"/>
                <w:szCs w:val="16"/>
                <w:u w:val="single"/>
              </w:rPr>
            </w:pPr>
            <w:r w:rsidRPr="00B33184">
              <w:rPr>
                <w:rFonts w:eastAsia="Times New Roman" w:cs="Arial"/>
                <w:b/>
                <w:bCs/>
                <w:color w:val="04D9F6"/>
                <w:sz w:val="16"/>
                <w:szCs w:val="16"/>
                <w:u w:val="single"/>
              </w:rPr>
              <w:t xml:space="preserve">PROGRAMSKA AKTIVNOST:  </w:t>
            </w:r>
            <w:r w:rsidRPr="00B33184">
              <w:rPr>
                <w:rFonts w:eastAsia="Times New Roman" w:cs="Arial"/>
                <w:b/>
                <w:bCs/>
                <w:sz w:val="16"/>
                <w:szCs w:val="16"/>
              </w:rPr>
              <w:t>Delotvorno suzbijanje i zaštita od diskriminacije</w:t>
            </w:r>
          </w:p>
        </w:tc>
        <w:tc>
          <w:tcPr>
            <w:tcW w:w="770" w:type="pct"/>
            <w:tcBorders>
              <w:top w:val="nil"/>
              <w:left w:val="nil"/>
              <w:bottom w:val="single" w:sz="4" w:space="0" w:color="auto"/>
              <w:right w:val="single" w:sz="4" w:space="0" w:color="auto"/>
            </w:tcBorders>
            <w:shd w:val="clear" w:color="auto" w:fill="auto"/>
            <w:vAlign w:val="center"/>
            <w:hideMark/>
          </w:tcPr>
          <w:p w:rsidR="007F5A1D" w:rsidRDefault="00FD704A" w:rsidP="00170EDF">
            <w:pPr>
              <w:spacing w:before="0" w:after="0" w:line="276" w:lineRule="auto"/>
              <w:ind w:firstLineChars="100" w:firstLine="161"/>
              <w:jc w:val="right"/>
              <w:rPr>
                <w:rFonts w:eastAsia="Times New Roman" w:cs="Arial"/>
                <w:b/>
                <w:bCs/>
                <w:color w:val="000000"/>
                <w:sz w:val="16"/>
                <w:szCs w:val="16"/>
              </w:rPr>
            </w:pPr>
            <w:r>
              <w:rPr>
                <w:rFonts w:eastAsia="Times New Roman" w:cs="Arial"/>
                <w:b/>
                <w:bCs/>
                <w:color w:val="000000"/>
                <w:sz w:val="16"/>
                <w:szCs w:val="16"/>
              </w:rPr>
              <w:t>80</w:t>
            </w:r>
            <w:r w:rsidR="00F83D27" w:rsidRPr="00F83D27">
              <w:rPr>
                <w:rFonts w:eastAsia="Times New Roman" w:cs="Arial"/>
                <w:b/>
                <w:bCs/>
                <w:color w:val="000000"/>
                <w:sz w:val="16"/>
                <w:szCs w:val="16"/>
              </w:rPr>
              <w:t>.</w:t>
            </w:r>
            <w:r>
              <w:rPr>
                <w:rFonts w:eastAsia="Times New Roman" w:cs="Arial"/>
                <w:b/>
                <w:bCs/>
                <w:color w:val="000000"/>
                <w:sz w:val="16"/>
                <w:szCs w:val="16"/>
              </w:rPr>
              <w:t>019</w:t>
            </w:r>
            <w:r w:rsidR="00F83D27" w:rsidRPr="00F83D27">
              <w:rPr>
                <w:rFonts w:eastAsia="Times New Roman" w:cs="Arial"/>
                <w:b/>
                <w:bCs/>
                <w:color w:val="000000"/>
                <w:sz w:val="16"/>
                <w:szCs w:val="16"/>
              </w:rPr>
              <w:t>.000</w:t>
            </w:r>
          </w:p>
        </w:tc>
        <w:tc>
          <w:tcPr>
            <w:tcW w:w="633" w:type="pct"/>
            <w:tcBorders>
              <w:top w:val="nil"/>
              <w:left w:val="nil"/>
              <w:bottom w:val="single" w:sz="4" w:space="0" w:color="auto"/>
              <w:right w:val="single" w:sz="4" w:space="0" w:color="auto"/>
            </w:tcBorders>
            <w:shd w:val="clear" w:color="auto" w:fill="auto"/>
            <w:noWrap/>
            <w:vAlign w:val="center"/>
            <w:hideMark/>
          </w:tcPr>
          <w:p w:rsidR="007F5A1D" w:rsidRDefault="00FD704A" w:rsidP="00170EDF">
            <w:pPr>
              <w:spacing w:before="0" w:after="0" w:line="276" w:lineRule="auto"/>
              <w:ind w:firstLineChars="100" w:firstLine="161"/>
              <w:jc w:val="right"/>
              <w:rPr>
                <w:rFonts w:eastAsia="Times New Roman" w:cs="Arial"/>
                <w:b/>
                <w:bCs/>
                <w:color w:val="000000"/>
                <w:sz w:val="16"/>
                <w:szCs w:val="16"/>
              </w:rPr>
            </w:pPr>
            <w:r>
              <w:rPr>
                <w:rFonts w:eastAsia="Times New Roman" w:cs="Arial"/>
                <w:b/>
                <w:bCs/>
                <w:color w:val="000000"/>
                <w:sz w:val="16"/>
                <w:szCs w:val="16"/>
              </w:rPr>
              <w:t>80</w:t>
            </w:r>
            <w:r w:rsidR="00F83D27" w:rsidRPr="00F83D27">
              <w:rPr>
                <w:rFonts w:eastAsia="Times New Roman" w:cs="Arial"/>
                <w:b/>
                <w:bCs/>
                <w:color w:val="000000"/>
                <w:sz w:val="16"/>
                <w:szCs w:val="16"/>
              </w:rPr>
              <w:t>.</w:t>
            </w:r>
            <w:r>
              <w:rPr>
                <w:rFonts w:eastAsia="Times New Roman" w:cs="Arial"/>
                <w:b/>
                <w:bCs/>
                <w:color w:val="000000"/>
                <w:sz w:val="16"/>
                <w:szCs w:val="16"/>
              </w:rPr>
              <w:t>090</w:t>
            </w:r>
            <w:r w:rsidR="00F83D27" w:rsidRPr="00F83D27">
              <w:rPr>
                <w:rFonts w:eastAsia="Times New Roman" w:cs="Arial"/>
                <w:b/>
                <w:bCs/>
                <w:color w:val="000000"/>
                <w:sz w:val="16"/>
                <w:szCs w:val="16"/>
              </w:rPr>
              <w:t>.0</w:t>
            </w:r>
            <w:r>
              <w:rPr>
                <w:rFonts w:eastAsia="Times New Roman" w:cs="Arial"/>
                <w:b/>
                <w:bCs/>
                <w:color w:val="000000"/>
                <w:sz w:val="16"/>
                <w:szCs w:val="16"/>
              </w:rPr>
              <w:t>72</w:t>
            </w:r>
          </w:p>
        </w:tc>
        <w:tc>
          <w:tcPr>
            <w:tcW w:w="634"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58.</w:t>
            </w:r>
            <w:r w:rsidR="00FD704A">
              <w:rPr>
                <w:rFonts w:eastAsia="Times New Roman" w:cs="Arial"/>
                <w:b/>
                <w:bCs/>
                <w:color w:val="000000"/>
                <w:sz w:val="16"/>
                <w:szCs w:val="16"/>
              </w:rPr>
              <w:t>532</w:t>
            </w:r>
            <w:r w:rsidRPr="00F83D27">
              <w:rPr>
                <w:rFonts w:eastAsia="Times New Roman" w:cs="Arial"/>
                <w:b/>
                <w:bCs/>
                <w:color w:val="000000"/>
                <w:sz w:val="16"/>
                <w:szCs w:val="16"/>
              </w:rPr>
              <w:t>.3</w:t>
            </w:r>
            <w:r w:rsidR="00FD704A">
              <w:rPr>
                <w:rFonts w:eastAsia="Times New Roman" w:cs="Arial"/>
                <w:b/>
                <w:bCs/>
                <w:color w:val="000000"/>
                <w:sz w:val="16"/>
                <w:szCs w:val="16"/>
              </w:rPr>
              <w:t>87</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D704A" w:rsidRDefault="00F83D27" w:rsidP="00FD704A">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73,0</w:t>
            </w:r>
            <w:r w:rsidR="00FD704A">
              <w:rPr>
                <w:rFonts w:eastAsia="Times New Roman" w:cs="Arial"/>
                <w:b/>
                <w:bCs/>
                <w:color w:val="000000"/>
                <w:sz w:val="16"/>
                <w:szCs w:val="16"/>
              </w:rPr>
              <w:t>8</w:t>
            </w:r>
          </w:p>
        </w:tc>
      </w:tr>
      <w:tr w:rsidR="00FD704A" w:rsidRPr="00F83D27" w:rsidTr="009A2BDF">
        <w:trPr>
          <w:trHeight w:val="66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08,</w:t>
            </w:r>
            <w:r w:rsidR="006A7076">
              <w:rPr>
                <w:rFonts w:eastAsia="Times New Roman" w:cs="Arial"/>
                <w:b/>
                <w:bCs/>
                <w:color w:val="000000"/>
                <w:sz w:val="16"/>
                <w:szCs w:val="16"/>
              </w:rPr>
              <w:t xml:space="preserve"> </w:t>
            </w:r>
            <w:r w:rsidRPr="00F83D27">
              <w:rPr>
                <w:rFonts w:eastAsia="Times New Roman" w:cs="Arial"/>
                <w:b/>
                <w:bCs/>
                <w:color w:val="000000"/>
                <w:sz w:val="16"/>
                <w:szCs w:val="16"/>
              </w:rPr>
              <w:t>15</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 </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4003</w:t>
            </w:r>
          </w:p>
        </w:tc>
        <w:tc>
          <w:tcPr>
            <w:tcW w:w="918" w:type="pct"/>
            <w:tcBorders>
              <w:top w:val="nil"/>
              <w:left w:val="nil"/>
              <w:bottom w:val="single" w:sz="4" w:space="0" w:color="auto"/>
              <w:right w:val="single" w:sz="4" w:space="0" w:color="auto"/>
            </w:tcBorders>
            <w:shd w:val="clear" w:color="auto" w:fill="auto"/>
            <w:vAlign w:val="center"/>
            <w:hideMark/>
          </w:tcPr>
          <w:p w:rsidR="00FD704A" w:rsidRDefault="00FD704A" w:rsidP="00135D51">
            <w:pPr>
              <w:spacing w:before="0" w:after="0" w:line="276" w:lineRule="auto"/>
              <w:jc w:val="left"/>
              <w:rPr>
                <w:rFonts w:eastAsia="Times New Roman" w:cs="Arial"/>
                <w:b/>
                <w:bCs/>
                <w:color w:val="04D9F6"/>
                <w:sz w:val="16"/>
                <w:szCs w:val="16"/>
                <w:u w:val="single"/>
              </w:rPr>
            </w:pPr>
          </w:p>
          <w:p w:rsidR="00F83D27" w:rsidRPr="00F83D27" w:rsidRDefault="00B33184" w:rsidP="006A7076">
            <w:pPr>
              <w:spacing w:before="0" w:after="0" w:line="276" w:lineRule="auto"/>
              <w:jc w:val="left"/>
              <w:rPr>
                <w:rFonts w:eastAsia="Times New Roman" w:cs="Arial"/>
                <w:b/>
                <w:bCs/>
                <w:color w:val="000000"/>
                <w:sz w:val="16"/>
                <w:szCs w:val="16"/>
              </w:rPr>
            </w:pPr>
            <w:r w:rsidRPr="00B33184">
              <w:rPr>
                <w:rFonts w:eastAsia="Times New Roman" w:cs="Arial"/>
                <w:b/>
                <w:bCs/>
                <w:color w:val="04D9F6"/>
                <w:sz w:val="16"/>
                <w:szCs w:val="16"/>
                <w:u w:val="single"/>
              </w:rPr>
              <w:t xml:space="preserve">PROJEKAT: </w:t>
            </w:r>
            <w:r w:rsidRPr="00B33184">
              <w:rPr>
                <w:rFonts w:eastAsia="Times New Roman" w:cs="Arial"/>
                <w:b/>
                <w:bCs/>
                <w:sz w:val="16"/>
                <w:szCs w:val="16"/>
              </w:rPr>
              <w:t>MOOT  COURT – Simulacija  suđenja u oblasti zaštite od diskrimin.</w:t>
            </w:r>
          </w:p>
        </w:tc>
        <w:tc>
          <w:tcPr>
            <w:tcW w:w="770" w:type="pct"/>
            <w:tcBorders>
              <w:top w:val="nil"/>
              <w:left w:val="nil"/>
              <w:bottom w:val="single" w:sz="4" w:space="0" w:color="auto"/>
              <w:right w:val="single" w:sz="4" w:space="0" w:color="auto"/>
            </w:tcBorders>
            <w:shd w:val="clear" w:color="auto" w:fill="auto"/>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336.000</w:t>
            </w:r>
          </w:p>
        </w:tc>
        <w:tc>
          <w:tcPr>
            <w:tcW w:w="633"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2.730.640</w:t>
            </w:r>
          </w:p>
        </w:tc>
        <w:tc>
          <w:tcPr>
            <w:tcW w:w="634"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1.470.839</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53,86</w:t>
            </w:r>
          </w:p>
        </w:tc>
      </w:tr>
      <w:tr w:rsidR="00FD704A" w:rsidRPr="00F83D27" w:rsidTr="009A2BDF">
        <w:trPr>
          <w:trHeight w:val="66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01</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 </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4004</w:t>
            </w:r>
          </w:p>
        </w:tc>
        <w:tc>
          <w:tcPr>
            <w:tcW w:w="918" w:type="pct"/>
            <w:tcBorders>
              <w:top w:val="nil"/>
              <w:left w:val="nil"/>
              <w:bottom w:val="single" w:sz="4" w:space="0" w:color="auto"/>
              <w:right w:val="single" w:sz="4" w:space="0" w:color="auto"/>
            </w:tcBorders>
            <w:shd w:val="clear" w:color="auto" w:fill="auto"/>
            <w:vAlign w:val="center"/>
            <w:hideMark/>
          </w:tcPr>
          <w:p w:rsidR="00FD704A" w:rsidRDefault="00FD704A" w:rsidP="00135D51">
            <w:pPr>
              <w:spacing w:before="0" w:after="0" w:line="276" w:lineRule="auto"/>
              <w:jc w:val="left"/>
              <w:rPr>
                <w:rFonts w:eastAsia="Times New Roman" w:cs="Arial"/>
                <w:b/>
                <w:bCs/>
                <w:color w:val="04D9F6"/>
                <w:sz w:val="16"/>
                <w:szCs w:val="16"/>
                <w:u w:val="single"/>
              </w:rPr>
            </w:pPr>
          </w:p>
          <w:p w:rsidR="00F83D27" w:rsidRPr="00F83D27" w:rsidRDefault="00B33184" w:rsidP="006A7076">
            <w:pPr>
              <w:spacing w:before="0" w:after="0" w:line="276" w:lineRule="auto"/>
              <w:jc w:val="left"/>
              <w:rPr>
                <w:rFonts w:eastAsia="Times New Roman" w:cs="Arial"/>
                <w:b/>
                <w:bCs/>
                <w:color w:val="000000"/>
                <w:sz w:val="16"/>
                <w:szCs w:val="16"/>
              </w:rPr>
            </w:pPr>
            <w:r w:rsidRPr="00B33184">
              <w:rPr>
                <w:rFonts w:eastAsia="Times New Roman" w:cs="Arial"/>
                <w:b/>
                <w:bCs/>
                <w:color w:val="04D9F6"/>
                <w:sz w:val="16"/>
                <w:szCs w:val="16"/>
                <w:u w:val="single"/>
              </w:rPr>
              <w:t xml:space="preserve">PROJEKAT: </w:t>
            </w:r>
            <w:r w:rsidRPr="00B33184">
              <w:rPr>
                <w:rFonts w:eastAsia="Times New Roman" w:cs="Arial"/>
                <w:b/>
                <w:bCs/>
                <w:sz w:val="16"/>
                <w:szCs w:val="16"/>
              </w:rPr>
              <w:t>Ne ceni knjigu po koricama                                        ŽIVA BIBLIOTEKA</w:t>
            </w:r>
          </w:p>
        </w:tc>
        <w:tc>
          <w:tcPr>
            <w:tcW w:w="770" w:type="pct"/>
            <w:tcBorders>
              <w:top w:val="nil"/>
              <w:left w:val="nil"/>
              <w:bottom w:val="single" w:sz="4" w:space="0" w:color="auto"/>
              <w:right w:val="single" w:sz="4" w:space="0" w:color="auto"/>
            </w:tcBorders>
            <w:shd w:val="clear" w:color="auto" w:fill="auto"/>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517.000</w:t>
            </w:r>
          </w:p>
        </w:tc>
        <w:tc>
          <w:tcPr>
            <w:tcW w:w="633"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517.000</w:t>
            </w:r>
          </w:p>
        </w:tc>
        <w:tc>
          <w:tcPr>
            <w:tcW w:w="634"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330.812</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63,99</w:t>
            </w:r>
          </w:p>
        </w:tc>
      </w:tr>
      <w:tr w:rsidR="00FD704A" w:rsidRPr="00F83D27" w:rsidTr="009A2BDF">
        <w:trPr>
          <w:trHeight w:val="66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01</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 </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4005</w:t>
            </w:r>
          </w:p>
        </w:tc>
        <w:tc>
          <w:tcPr>
            <w:tcW w:w="918" w:type="pct"/>
            <w:tcBorders>
              <w:top w:val="nil"/>
              <w:left w:val="nil"/>
              <w:bottom w:val="single" w:sz="4" w:space="0" w:color="auto"/>
              <w:right w:val="single" w:sz="4" w:space="0" w:color="auto"/>
            </w:tcBorders>
            <w:shd w:val="clear" w:color="auto" w:fill="auto"/>
            <w:vAlign w:val="center"/>
            <w:hideMark/>
          </w:tcPr>
          <w:p w:rsidR="00FD704A" w:rsidRDefault="00FD704A" w:rsidP="00135D51">
            <w:pPr>
              <w:spacing w:before="0" w:after="0" w:line="276" w:lineRule="auto"/>
              <w:jc w:val="left"/>
              <w:rPr>
                <w:rFonts w:eastAsia="Times New Roman" w:cs="Arial"/>
                <w:b/>
                <w:bCs/>
                <w:color w:val="04D9F6"/>
                <w:sz w:val="16"/>
                <w:szCs w:val="16"/>
                <w:u w:val="single"/>
              </w:rPr>
            </w:pPr>
          </w:p>
          <w:p w:rsidR="00F83D27" w:rsidRPr="00F83D27" w:rsidRDefault="00B33184" w:rsidP="00135D51">
            <w:pPr>
              <w:spacing w:before="0" w:after="0" w:line="276" w:lineRule="auto"/>
              <w:jc w:val="left"/>
              <w:rPr>
                <w:rFonts w:eastAsia="Times New Roman" w:cs="Arial"/>
                <w:b/>
                <w:bCs/>
                <w:color w:val="000000"/>
                <w:sz w:val="16"/>
                <w:szCs w:val="16"/>
              </w:rPr>
            </w:pPr>
            <w:r w:rsidRPr="00B33184">
              <w:rPr>
                <w:rFonts w:eastAsia="Times New Roman" w:cs="Arial"/>
                <w:b/>
                <w:bCs/>
                <w:color w:val="04D9F6"/>
                <w:sz w:val="16"/>
                <w:szCs w:val="16"/>
                <w:u w:val="single"/>
              </w:rPr>
              <w:t xml:space="preserve">PROJEKAT: </w:t>
            </w:r>
            <w:r w:rsidRPr="00B33184">
              <w:rPr>
                <w:rFonts w:eastAsia="Times New Roman" w:cs="Arial"/>
                <w:b/>
                <w:bCs/>
                <w:sz w:val="16"/>
                <w:szCs w:val="16"/>
              </w:rPr>
              <w:t>RAVNOPRAVNO DO CILJA</w:t>
            </w:r>
          </w:p>
        </w:tc>
        <w:tc>
          <w:tcPr>
            <w:tcW w:w="770" w:type="pct"/>
            <w:tcBorders>
              <w:top w:val="nil"/>
              <w:left w:val="nil"/>
              <w:bottom w:val="single" w:sz="4" w:space="0" w:color="auto"/>
              <w:right w:val="single" w:sz="4" w:space="0" w:color="auto"/>
            </w:tcBorders>
            <w:shd w:val="clear" w:color="auto" w:fill="auto"/>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383.000</w:t>
            </w:r>
          </w:p>
        </w:tc>
        <w:tc>
          <w:tcPr>
            <w:tcW w:w="633"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383.000</w:t>
            </w:r>
          </w:p>
        </w:tc>
        <w:tc>
          <w:tcPr>
            <w:tcW w:w="634"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174.960</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45,68</w:t>
            </w:r>
          </w:p>
        </w:tc>
      </w:tr>
      <w:tr w:rsidR="00FD704A" w:rsidRPr="00F83D27" w:rsidTr="009A2BDF">
        <w:trPr>
          <w:trHeight w:val="660"/>
        </w:trPr>
        <w:tc>
          <w:tcPr>
            <w:tcW w:w="496" w:type="pct"/>
            <w:tcBorders>
              <w:top w:val="nil"/>
              <w:left w:val="single" w:sz="4" w:space="0" w:color="auto"/>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06</w:t>
            </w:r>
          </w:p>
        </w:tc>
        <w:tc>
          <w:tcPr>
            <w:tcW w:w="565"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 </w:t>
            </w:r>
          </w:p>
        </w:tc>
        <w:tc>
          <w:tcPr>
            <w:tcW w:w="561"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4007</w:t>
            </w:r>
          </w:p>
        </w:tc>
        <w:tc>
          <w:tcPr>
            <w:tcW w:w="918" w:type="pct"/>
            <w:tcBorders>
              <w:top w:val="nil"/>
              <w:left w:val="nil"/>
              <w:bottom w:val="single" w:sz="4" w:space="0" w:color="auto"/>
              <w:right w:val="single" w:sz="4" w:space="0" w:color="auto"/>
            </w:tcBorders>
            <w:shd w:val="clear" w:color="auto" w:fill="auto"/>
            <w:vAlign w:val="center"/>
            <w:hideMark/>
          </w:tcPr>
          <w:p w:rsidR="00FD704A" w:rsidRDefault="00FD704A" w:rsidP="00135D51">
            <w:pPr>
              <w:spacing w:before="0" w:after="0" w:line="276" w:lineRule="auto"/>
              <w:jc w:val="left"/>
              <w:rPr>
                <w:rFonts w:eastAsia="Times New Roman" w:cs="Arial"/>
                <w:b/>
                <w:bCs/>
                <w:color w:val="04D9F6"/>
                <w:sz w:val="16"/>
                <w:szCs w:val="16"/>
                <w:u w:val="single"/>
              </w:rPr>
            </w:pPr>
          </w:p>
          <w:p w:rsidR="00F83D27" w:rsidRPr="00F83D27" w:rsidRDefault="00B33184" w:rsidP="006A7076">
            <w:pPr>
              <w:spacing w:before="0" w:after="0" w:line="276" w:lineRule="auto"/>
              <w:jc w:val="left"/>
              <w:rPr>
                <w:rFonts w:eastAsia="Times New Roman" w:cs="Arial"/>
                <w:b/>
                <w:bCs/>
                <w:color w:val="000000"/>
                <w:sz w:val="16"/>
                <w:szCs w:val="16"/>
              </w:rPr>
            </w:pPr>
            <w:r w:rsidRPr="00B33184">
              <w:rPr>
                <w:rFonts w:eastAsia="Times New Roman" w:cs="Arial"/>
                <w:b/>
                <w:bCs/>
                <w:color w:val="04D9F6"/>
                <w:sz w:val="16"/>
                <w:szCs w:val="16"/>
                <w:u w:val="single"/>
              </w:rPr>
              <w:t xml:space="preserve">PROJEKAT: </w:t>
            </w:r>
            <w:r w:rsidRPr="00B33184">
              <w:rPr>
                <w:rFonts w:eastAsia="Times New Roman" w:cs="Arial"/>
                <w:b/>
                <w:bCs/>
                <w:sz w:val="16"/>
                <w:szCs w:val="16"/>
              </w:rPr>
              <w:t>UNICEF – Prevencija i zaštita dece od diskriminacije</w:t>
            </w:r>
          </w:p>
        </w:tc>
        <w:tc>
          <w:tcPr>
            <w:tcW w:w="770" w:type="pct"/>
            <w:tcBorders>
              <w:top w:val="nil"/>
              <w:left w:val="nil"/>
              <w:bottom w:val="single" w:sz="4" w:space="0" w:color="auto"/>
              <w:right w:val="single" w:sz="4" w:space="0" w:color="auto"/>
            </w:tcBorders>
            <w:shd w:val="clear" w:color="auto" w:fill="auto"/>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0</w:t>
            </w:r>
          </w:p>
        </w:tc>
        <w:tc>
          <w:tcPr>
            <w:tcW w:w="633"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479.700</w:t>
            </w:r>
          </w:p>
        </w:tc>
        <w:tc>
          <w:tcPr>
            <w:tcW w:w="634" w:type="pct"/>
            <w:tcBorders>
              <w:top w:val="nil"/>
              <w:left w:val="nil"/>
              <w:bottom w:val="single" w:sz="4" w:space="0" w:color="auto"/>
              <w:right w:val="single" w:sz="4" w:space="0" w:color="auto"/>
            </w:tcBorders>
            <w:shd w:val="clear" w:color="auto" w:fill="auto"/>
            <w:noWrap/>
            <w:vAlign w:val="center"/>
            <w:hideMark/>
          </w:tcPr>
          <w:p w:rsidR="007F5A1D" w:rsidRDefault="00F83D27" w:rsidP="00170EDF">
            <w:pPr>
              <w:spacing w:before="0" w:after="0" w:line="276" w:lineRule="auto"/>
              <w:ind w:firstLineChars="100" w:firstLine="161"/>
              <w:jc w:val="right"/>
              <w:rPr>
                <w:rFonts w:eastAsia="Times New Roman" w:cs="Arial"/>
                <w:b/>
                <w:bCs/>
                <w:color w:val="000000"/>
                <w:sz w:val="16"/>
                <w:szCs w:val="16"/>
              </w:rPr>
            </w:pPr>
            <w:r w:rsidRPr="00F83D27">
              <w:rPr>
                <w:rFonts w:eastAsia="Times New Roman" w:cs="Arial"/>
                <w:b/>
                <w:bCs/>
                <w:color w:val="000000"/>
                <w:sz w:val="16"/>
                <w:szCs w:val="16"/>
              </w:rPr>
              <w:t>0</w:t>
            </w:r>
          </w:p>
        </w:tc>
        <w:tc>
          <w:tcPr>
            <w:tcW w:w="424" w:type="pct"/>
            <w:tcBorders>
              <w:top w:val="nil"/>
              <w:left w:val="nil"/>
              <w:bottom w:val="single" w:sz="4" w:space="0" w:color="auto"/>
              <w:right w:val="single" w:sz="4" w:space="0" w:color="auto"/>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b/>
                <w:bCs/>
                <w:color w:val="000000"/>
                <w:sz w:val="16"/>
                <w:szCs w:val="16"/>
              </w:rPr>
            </w:pPr>
            <w:r w:rsidRPr="00F83D27">
              <w:rPr>
                <w:rFonts w:eastAsia="Times New Roman" w:cs="Arial"/>
                <w:b/>
                <w:bCs/>
                <w:color w:val="000000"/>
                <w:sz w:val="16"/>
                <w:szCs w:val="16"/>
              </w:rPr>
              <w:t>0,00</w:t>
            </w:r>
          </w:p>
        </w:tc>
      </w:tr>
      <w:tr w:rsidR="00FD704A" w:rsidRPr="00F83D27" w:rsidTr="009A2BDF">
        <w:trPr>
          <w:trHeight w:val="402"/>
        </w:trPr>
        <w:tc>
          <w:tcPr>
            <w:tcW w:w="496" w:type="pct"/>
            <w:tcBorders>
              <w:top w:val="nil"/>
              <w:left w:val="nil"/>
              <w:bottom w:val="nil"/>
              <w:right w:val="nil"/>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p>
        </w:tc>
        <w:tc>
          <w:tcPr>
            <w:tcW w:w="565" w:type="pct"/>
            <w:tcBorders>
              <w:top w:val="nil"/>
              <w:left w:val="nil"/>
              <w:bottom w:val="nil"/>
              <w:right w:val="nil"/>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p>
        </w:tc>
        <w:tc>
          <w:tcPr>
            <w:tcW w:w="561" w:type="pct"/>
            <w:tcBorders>
              <w:top w:val="nil"/>
              <w:left w:val="nil"/>
              <w:bottom w:val="nil"/>
              <w:right w:val="nil"/>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p>
        </w:tc>
        <w:tc>
          <w:tcPr>
            <w:tcW w:w="918" w:type="pct"/>
            <w:tcBorders>
              <w:top w:val="nil"/>
              <w:left w:val="nil"/>
              <w:bottom w:val="nil"/>
              <w:right w:val="nil"/>
            </w:tcBorders>
            <w:shd w:val="clear" w:color="auto" w:fill="auto"/>
            <w:vAlign w:val="center"/>
            <w:hideMark/>
          </w:tcPr>
          <w:p w:rsidR="00F83D27" w:rsidRPr="00F83D27" w:rsidRDefault="00F83D27" w:rsidP="00135D51">
            <w:pPr>
              <w:spacing w:before="0" w:after="0" w:line="276" w:lineRule="auto"/>
              <w:jc w:val="center"/>
              <w:rPr>
                <w:rFonts w:eastAsia="Times New Roman" w:cs="Arial"/>
                <w:color w:val="000000"/>
                <w:sz w:val="16"/>
                <w:szCs w:val="16"/>
              </w:rPr>
            </w:pPr>
          </w:p>
        </w:tc>
        <w:tc>
          <w:tcPr>
            <w:tcW w:w="770" w:type="pct"/>
            <w:tcBorders>
              <w:top w:val="nil"/>
              <w:left w:val="nil"/>
              <w:bottom w:val="nil"/>
              <w:right w:val="nil"/>
            </w:tcBorders>
            <w:shd w:val="clear" w:color="auto" w:fill="auto"/>
            <w:vAlign w:val="center"/>
            <w:hideMark/>
          </w:tcPr>
          <w:p w:rsidR="00F83D27" w:rsidRPr="00F83D27" w:rsidRDefault="00F83D27" w:rsidP="00F83D27">
            <w:pPr>
              <w:spacing w:before="0" w:after="0" w:line="276" w:lineRule="auto"/>
              <w:ind w:firstLineChars="100" w:firstLine="160"/>
              <w:jc w:val="right"/>
              <w:rPr>
                <w:rFonts w:eastAsia="Times New Roman" w:cs="Arial"/>
                <w:color w:val="000000"/>
                <w:sz w:val="16"/>
                <w:szCs w:val="16"/>
              </w:rPr>
            </w:pPr>
          </w:p>
        </w:tc>
        <w:tc>
          <w:tcPr>
            <w:tcW w:w="633" w:type="pct"/>
            <w:tcBorders>
              <w:top w:val="nil"/>
              <w:left w:val="nil"/>
              <w:bottom w:val="nil"/>
              <w:right w:val="nil"/>
            </w:tcBorders>
            <w:shd w:val="clear" w:color="auto" w:fill="auto"/>
            <w:noWrap/>
            <w:vAlign w:val="center"/>
            <w:hideMark/>
          </w:tcPr>
          <w:p w:rsidR="00F83D27" w:rsidRPr="00F83D27" w:rsidRDefault="00F83D27" w:rsidP="00F83D27">
            <w:pPr>
              <w:spacing w:before="0" w:after="0" w:line="276" w:lineRule="auto"/>
              <w:ind w:firstLineChars="100" w:firstLine="160"/>
              <w:jc w:val="right"/>
              <w:rPr>
                <w:rFonts w:eastAsia="Times New Roman" w:cs="Arial"/>
                <w:color w:val="000000"/>
                <w:sz w:val="16"/>
                <w:szCs w:val="16"/>
              </w:rPr>
            </w:pPr>
          </w:p>
        </w:tc>
        <w:tc>
          <w:tcPr>
            <w:tcW w:w="634" w:type="pct"/>
            <w:tcBorders>
              <w:top w:val="nil"/>
              <w:left w:val="nil"/>
              <w:bottom w:val="nil"/>
              <w:right w:val="nil"/>
            </w:tcBorders>
            <w:shd w:val="clear" w:color="auto" w:fill="auto"/>
            <w:noWrap/>
            <w:vAlign w:val="center"/>
            <w:hideMark/>
          </w:tcPr>
          <w:p w:rsidR="00F83D27" w:rsidRPr="00F83D27" w:rsidRDefault="00F83D27" w:rsidP="00F83D27">
            <w:pPr>
              <w:spacing w:before="0" w:after="0" w:line="276" w:lineRule="auto"/>
              <w:ind w:firstLineChars="100" w:firstLine="160"/>
              <w:jc w:val="right"/>
              <w:rPr>
                <w:rFonts w:eastAsia="Times New Roman" w:cs="Arial"/>
                <w:color w:val="000000"/>
                <w:sz w:val="16"/>
                <w:szCs w:val="16"/>
              </w:rPr>
            </w:pPr>
          </w:p>
        </w:tc>
        <w:tc>
          <w:tcPr>
            <w:tcW w:w="424" w:type="pct"/>
            <w:tcBorders>
              <w:top w:val="nil"/>
              <w:left w:val="nil"/>
              <w:bottom w:val="nil"/>
              <w:right w:val="nil"/>
            </w:tcBorders>
            <w:shd w:val="clear" w:color="auto" w:fill="auto"/>
            <w:noWrap/>
            <w:vAlign w:val="center"/>
            <w:hideMark/>
          </w:tcPr>
          <w:p w:rsidR="00F83D27" w:rsidRPr="00F83D27" w:rsidRDefault="00F83D27" w:rsidP="00135D51">
            <w:pPr>
              <w:spacing w:before="0" w:after="0" w:line="276" w:lineRule="auto"/>
              <w:jc w:val="center"/>
              <w:rPr>
                <w:rFonts w:eastAsia="Times New Roman" w:cs="Arial"/>
                <w:color w:val="000000"/>
                <w:sz w:val="16"/>
                <w:szCs w:val="16"/>
              </w:rPr>
            </w:pPr>
          </w:p>
        </w:tc>
      </w:tr>
    </w:tbl>
    <w:p w:rsidR="009A2BDF" w:rsidRPr="009A2BDF" w:rsidRDefault="009A2BDF" w:rsidP="009A2BDF">
      <w:pPr>
        <w:tabs>
          <w:tab w:val="center" w:pos="4986"/>
        </w:tabs>
        <w:spacing w:before="0" w:after="0" w:line="240" w:lineRule="auto"/>
        <w:rPr>
          <w:rFonts w:cs="Arial"/>
          <w:sz w:val="16"/>
          <w:szCs w:val="16"/>
        </w:rPr>
      </w:pPr>
      <w:r w:rsidRPr="009A2BDF">
        <w:rPr>
          <w:rFonts w:cs="Arial"/>
          <w:sz w:val="16"/>
          <w:szCs w:val="16"/>
        </w:rPr>
        <w:t>* Početna aproprijacija je odobrena Zakonom o budžetu Republike Srbije za 2016. godinu („Službeni glasnik RS“, broj 103/15).</w:t>
      </w:r>
    </w:p>
    <w:p w:rsidR="00EF24C5" w:rsidRPr="006A7076" w:rsidRDefault="009A2BDF" w:rsidP="009A2BDF">
      <w:pPr>
        <w:tabs>
          <w:tab w:val="center" w:pos="4986"/>
        </w:tabs>
        <w:spacing w:before="0" w:after="0" w:line="240" w:lineRule="auto"/>
        <w:rPr>
          <w:rFonts w:cs="Arial"/>
          <w:sz w:val="16"/>
          <w:szCs w:val="16"/>
          <w:lang w:val="sr-Latn-CS"/>
        </w:rPr>
      </w:pPr>
      <w:r w:rsidRPr="009A2BDF">
        <w:rPr>
          <w:rFonts w:cs="Arial"/>
          <w:sz w:val="16"/>
          <w:szCs w:val="16"/>
        </w:rPr>
        <w:t>** Tekuća aproprijacija predstavlja početnu aproprijaciju uvećanu za iznos novih donacija kao i iznos prenetih neutrošenih sredstava iz prethodne godine.</w:t>
      </w:r>
    </w:p>
    <w:p w:rsidR="00EF24C5" w:rsidRPr="006A7076" w:rsidRDefault="00EF24C5" w:rsidP="000B2BB0">
      <w:pPr>
        <w:tabs>
          <w:tab w:val="center" w:pos="4986"/>
        </w:tabs>
        <w:spacing w:before="0" w:after="0" w:line="240" w:lineRule="auto"/>
        <w:rPr>
          <w:rFonts w:cs="Arial"/>
          <w:sz w:val="16"/>
          <w:szCs w:val="16"/>
          <w:lang w:val="sr-Latn-CS"/>
        </w:rPr>
      </w:pPr>
    </w:p>
    <w:p w:rsidR="00EF24C5" w:rsidRPr="006A7076" w:rsidRDefault="00EF24C5" w:rsidP="000B2BB0">
      <w:pPr>
        <w:tabs>
          <w:tab w:val="center" w:pos="4986"/>
        </w:tabs>
        <w:spacing w:before="0" w:after="0" w:line="240" w:lineRule="auto"/>
        <w:rPr>
          <w:rFonts w:cs="Arial"/>
          <w:sz w:val="16"/>
          <w:szCs w:val="16"/>
          <w:lang w:val="sr-Latn-CS"/>
        </w:rPr>
      </w:pPr>
    </w:p>
    <w:p w:rsidR="00EF24C5" w:rsidRDefault="00EF24C5" w:rsidP="000B2BB0">
      <w:pPr>
        <w:tabs>
          <w:tab w:val="center" w:pos="4986"/>
        </w:tabs>
        <w:spacing w:before="0" w:after="0" w:line="240" w:lineRule="auto"/>
        <w:rPr>
          <w:rFonts w:cs="Arial"/>
          <w:b/>
          <w:sz w:val="16"/>
          <w:szCs w:val="16"/>
          <w:lang w:val="sr-Latn-CS"/>
        </w:rPr>
      </w:pPr>
    </w:p>
    <w:p w:rsidR="00EF24C5" w:rsidRDefault="00EF24C5" w:rsidP="000B2BB0">
      <w:pPr>
        <w:tabs>
          <w:tab w:val="center" w:pos="4986"/>
        </w:tabs>
        <w:spacing w:before="0" w:after="0" w:line="240" w:lineRule="auto"/>
        <w:rPr>
          <w:rFonts w:cs="Arial"/>
          <w:b/>
          <w:sz w:val="16"/>
          <w:szCs w:val="16"/>
          <w:lang w:val="sr-Latn-CS"/>
        </w:rPr>
      </w:pPr>
    </w:p>
    <w:p w:rsidR="00EF24C5" w:rsidRDefault="00EF24C5"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Default="00C268A7" w:rsidP="000B2BB0">
      <w:pPr>
        <w:tabs>
          <w:tab w:val="center" w:pos="4986"/>
        </w:tabs>
        <w:spacing w:before="0" w:after="0" w:line="240" w:lineRule="auto"/>
        <w:rPr>
          <w:rFonts w:cs="Arial"/>
          <w:b/>
          <w:sz w:val="16"/>
          <w:szCs w:val="16"/>
          <w:lang w:val="sr-Latn-CS"/>
        </w:rPr>
      </w:pPr>
    </w:p>
    <w:p w:rsidR="00C268A7" w:rsidRPr="00EF24C5" w:rsidRDefault="00C268A7" w:rsidP="000B2BB0">
      <w:pPr>
        <w:tabs>
          <w:tab w:val="center" w:pos="4986"/>
        </w:tabs>
        <w:spacing w:before="0" w:after="0" w:line="240" w:lineRule="auto"/>
        <w:rPr>
          <w:rFonts w:cs="Arial"/>
          <w:b/>
          <w:sz w:val="16"/>
          <w:szCs w:val="16"/>
          <w:lang w:val="sr-Latn-CS"/>
        </w:rPr>
      </w:pPr>
    </w:p>
    <w:p w:rsidR="009E7B69" w:rsidRPr="009E7B69" w:rsidRDefault="009E7B69" w:rsidP="000B2BB0">
      <w:pPr>
        <w:tabs>
          <w:tab w:val="center" w:pos="4986"/>
        </w:tabs>
        <w:spacing w:before="0" w:after="0" w:line="240" w:lineRule="auto"/>
        <w:rPr>
          <w:rFonts w:cs="Arial"/>
          <w:b/>
        </w:rPr>
      </w:pPr>
    </w:p>
    <w:p w:rsidR="00135D51" w:rsidRPr="00135D51" w:rsidRDefault="00410A7C" w:rsidP="003C103D">
      <w:pPr>
        <w:pStyle w:val="Heading1"/>
        <w:spacing w:after="100" w:afterAutospacing="1" w:line="276" w:lineRule="auto"/>
        <w:ind w:left="0" w:firstLine="0"/>
        <w:jc w:val="left"/>
        <w:rPr>
          <w:rFonts w:cs="Arial"/>
          <w:szCs w:val="22"/>
        </w:rPr>
      </w:pPr>
      <w:bookmarkStart w:id="223" w:name="_Toc477248687"/>
      <w:bookmarkStart w:id="224" w:name="_Toc477251812"/>
      <w:r>
        <w:rPr>
          <w:rFonts w:cs="Arial"/>
          <w:szCs w:val="22"/>
          <w:lang w:val="sr-Latn-RS"/>
        </w:rPr>
        <w:lastRenderedPageBreak/>
        <w:t>Preporuke za suzbijanje diskriminacije i unapređenje ravnopravnosti</w:t>
      </w:r>
      <w:bookmarkEnd w:id="223"/>
      <w:bookmarkEnd w:id="224"/>
      <w:r w:rsidR="00EF24C5">
        <w:rPr>
          <w:rFonts w:cs="Arial"/>
          <w:szCs w:val="22"/>
          <w:lang w:val="sr-Latn-CS"/>
        </w:rPr>
        <w:br/>
      </w:r>
    </w:p>
    <w:p w:rsidR="00410A7C" w:rsidRPr="00410A7C" w:rsidRDefault="00410A7C" w:rsidP="00410A7C">
      <w:pPr>
        <w:spacing w:after="100" w:afterAutospacing="1" w:line="276" w:lineRule="auto"/>
        <w:rPr>
          <w:rFonts w:cs="Arial"/>
        </w:rPr>
      </w:pPr>
      <w:r w:rsidRPr="00410A7C">
        <w:rPr>
          <w:rFonts w:cs="Arial"/>
        </w:rPr>
        <w:t xml:space="preserve">U Redovnom godišnjem izveštaju za 2015. godinu, na osnovu podataka prikupljenih u postupku po pritužbama i uvida u ključne probleme u ostvarivanju i zaštiti ravnopravnosti, dato je 19 preporuka čije bi sprovođenje doprinelo efikasnijem i delotvornijem sprečavanju i suzbijanju diskriminacije. </w:t>
      </w:r>
    </w:p>
    <w:p w:rsidR="00410A7C" w:rsidRPr="00410A7C" w:rsidRDefault="00410A7C" w:rsidP="00410A7C">
      <w:pPr>
        <w:spacing w:after="100" w:afterAutospacing="1" w:line="276" w:lineRule="auto"/>
        <w:rPr>
          <w:rFonts w:cs="Arial"/>
        </w:rPr>
      </w:pPr>
      <w:r w:rsidRPr="00410A7C">
        <w:rPr>
          <w:rFonts w:cs="Arial"/>
        </w:rPr>
        <w:t>Može se konstatovati da se i u prethodnoj godini, kao i u ranijim godinama, nastavio trend delimičnog sprovođenja preporuka opšteg karaktera koje Poverenik daje u svojim godišnjim izveštajima, za razliku od preporuka koje se odnose na konkretne slučajeve diskriminacije, koje se u visokom procentu sprovode.</w:t>
      </w:r>
    </w:p>
    <w:p w:rsidR="00410A7C" w:rsidRPr="00410A7C" w:rsidRDefault="00410A7C" w:rsidP="00410A7C">
      <w:pPr>
        <w:spacing w:after="100" w:afterAutospacing="1" w:line="276" w:lineRule="auto"/>
        <w:rPr>
          <w:rFonts w:cs="Arial"/>
        </w:rPr>
      </w:pPr>
      <w:r w:rsidRPr="00410A7C">
        <w:rPr>
          <w:rFonts w:cs="Arial"/>
        </w:rPr>
        <w:t xml:space="preserve">U 2016. godini sprovedene su u celosti pojedine preporuke koje je Poverenik dao u svom godišnjem izveštaju za 2015. godinu, a pojedine preporuke su sprovedene u samo određenom delu. </w:t>
      </w:r>
    </w:p>
    <w:p w:rsidR="00410A7C" w:rsidRPr="00410A7C" w:rsidRDefault="00410A7C" w:rsidP="00410A7C">
      <w:pPr>
        <w:spacing w:after="100" w:afterAutospacing="1" w:line="276" w:lineRule="auto"/>
        <w:rPr>
          <w:rFonts w:cs="Arial"/>
        </w:rPr>
      </w:pPr>
      <w:r w:rsidRPr="00410A7C">
        <w:rPr>
          <w:rFonts w:cs="Arial"/>
        </w:rPr>
        <w:t>U izveštajnom periodu doneti su: Zakon o sprečavanju nasilja u porodici</w:t>
      </w:r>
      <w:r>
        <w:rPr>
          <w:rStyle w:val="FootnoteReference"/>
          <w:rFonts w:cs="Arial"/>
        </w:rPr>
        <w:footnoteReference w:id="278"/>
      </w:r>
      <w:r w:rsidRPr="00410A7C">
        <w:rPr>
          <w:rFonts w:cs="Arial"/>
        </w:rPr>
        <w:t xml:space="preserve"> , Zakon o izmenama i dopunama Krivičnog zakonika</w:t>
      </w:r>
      <w:r>
        <w:rPr>
          <w:rStyle w:val="FootnoteReference"/>
          <w:rFonts w:cs="Arial"/>
        </w:rPr>
        <w:footnoteReference w:id="279"/>
      </w:r>
      <w:r w:rsidRPr="00410A7C">
        <w:rPr>
          <w:rFonts w:cs="Arial"/>
        </w:rPr>
        <w:t xml:space="preserve"> , Zakon o zaposlenima u autonomnim pokrajinama i jedinicama lokalne samouprave</w:t>
      </w:r>
      <w:r>
        <w:rPr>
          <w:rStyle w:val="FootnoteReference"/>
          <w:rFonts w:cs="Arial"/>
        </w:rPr>
        <w:footnoteReference w:id="280"/>
      </w:r>
      <w:r w:rsidRPr="00410A7C">
        <w:rPr>
          <w:rFonts w:cs="Arial"/>
        </w:rPr>
        <w:t xml:space="preserve"> , Nacionalna strategija za rodnu ravnopravnost za period od 2016. do 2020. godine</w:t>
      </w:r>
      <w:r>
        <w:rPr>
          <w:rStyle w:val="FootnoteReference"/>
          <w:rFonts w:cs="Arial"/>
        </w:rPr>
        <w:footnoteReference w:id="281"/>
      </w:r>
      <w:r w:rsidRPr="00410A7C">
        <w:rPr>
          <w:rFonts w:cs="Arial"/>
        </w:rPr>
        <w:t xml:space="preserve"> , Strategija za socijalno uključivanje Roma i Romkinja u Republici Srbiji za period od 2016. do 2025. godine</w:t>
      </w:r>
      <w:r>
        <w:rPr>
          <w:rStyle w:val="FootnoteReference"/>
          <w:rFonts w:cs="Arial"/>
        </w:rPr>
        <w:footnoteReference w:id="282"/>
      </w:r>
      <w:r w:rsidRPr="00410A7C">
        <w:rPr>
          <w:rFonts w:cs="Arial"/>
        </w:rPr>
        <w:t xml:space="preserve"> , Pravilnik o merilima i postupku za upis učenika – pripadnika romske nacionalne manjine u srednju školu pod povoljnijim uslovima radi postizanja pune ravnopravnosti</w:t>
      </w:r>
      <w:r>
        <w:rPr>
          <w:rStyle w:val="FootnoteReference"/>
          <w:rFonts w:cs="Arial"/>
        </w:rPr>
        <w:footnoteReference w:id="283"/>
      </w:r>
      <w:r w:rsidRPr="00410A7C">
        <w:rPr>
          <w:rFonts w:cs="Arial"/>
        </w:rPr>
        <w:t xml:space="preserve"> , Pravilnik o merilima i postupku za upis polaznika koji su završili program osnovnog obrazovanja odraslih u srednju školu pod povoljnijim uslovima radi postizanja pune ravnopravnosti</w:t>
      </w:r>
      <w:r>
        <w:rPr>
          <w:rStyle w:val="FootnoteReference"/>
          <w:rFonts w:cs="Arial"/>
        </w:rPr>
        <w:footnoteReference w:id="284"/>
      </w:r>
      <w:r w:rsidRPr="00410A7C">
        <w:rPr>
          <w:rFonts w:cs="Arial"/>
        </w:rPr>
        <w:t xml:space="preserve"> , Pravilnik o bližim kriterijumima za prepoznavanje oblika diskriminacije od strane zaposlenog, deteta, učenika ili trećeg lica u ustanovi obrazovanja i vaspitanja</w:t>
      </w:r>
      <w:r>
        <w:rPr>
          <w:rStyle w:val="FootnoteReference"/>
          <w:rFonts w:cs="Arial"/>
        </w:rPr>
        <w:footnoteReference w:id="285"/>
      </w:r>
      <w:r w:rsidRPr="00410A7C">
        <w:rPr>
          <w:rFonts w:cs="Arial"/>
        </w:rPr>
        <w:t xml:space="preserve"> , Pravilnik o načinu i postupku davanja stručne ocene i stručnog mišljenja o kvalitetu rukopisa udžbenika, priručnika i nastavnog materijala, donetih nastavnih sredstava, nastavnih pomagala, didaktičkih sredstava i didaktičkih igrovnih sredstava</w:t>
      </w:r>
      <w:r>
        <w:rPr>
          <w:rStyle w:val="FootnoteReference"/>
          <w:rFonts w:cs="Arial"/>
        </w:rPr>
        <w:footnoteReference w:id="286"/>
      </w:r>
      <w:r w:rsidRPr="00410A7C">
        <w:rPr>
          <w:rFonts w:cs="Arial"/>
        </w:rPr>
        <w:t xml:space="preserve"> . Poverenik je sproveo edukaciju nosilaca pravosudnih funkcija, policijskih službenika, zaposlenih u državnoj upravi, kao i zaposlenih u jednom broju radnih službi u oblasti obrazovanja i socijalne zaštite.</w:t>
      </w:r>
    </w:p>
    <w:p w:rsidR="00410A7C" w:rsidRPr="00410A7C" w:rsidRDefault="00410A7C" w:rsidP="00410A7C">
      <w:pPr>
        <w:spacing w:after="100" w:afterAutospacing="1" w:line="276" w:lineRule="auto"/>
        <w:rPr>
          <w:rFonts w:cs="Arial"/>
        </w:rPr>
      </w:pPr>
      <w:r w:rsidRPr="00410A7C">
        <w:rPr>
          <w:rFonts w:cs="Arial"/>
        </w:rPr>
        <w:lastRenderedPageBreak/>
        <w:t xml:space="preserve">Na osnovu uvida stečenih u postupku po pritužbama tokom 2016. godine, kao i na osnovu drugih relevantnih dostupnih podataka o problemima u ostvarivanju ravnopravnosti, Poverenik za zaštitu ravnopravnosti daje sledeće preporuke: </w:t>
      </w:r>
    </w:p>
    <w:p w:rsidR="00410A7C" w:rsidRPr="00410A7C" w:rsidRDefault="00410A7C" w:rsidP="00410A7C">
      <w:pPr>
        <w:spacing w:after="100" w:afterAutospacing="1" w:line="276" w:lineRule="auto"/>
        <w:rPr>
          <w:rFonts w:cs="Arial"/>
        </w:rPr>
      </w:pPr>
      <w:r w:rsidRPr="00410A7C">
        <w:rPr>
          <w:rFonts w:cs="Arial"/>
        </w:rPr>
        <w:t>1. Uspostaviti i operacionalizovati jedinstven, centralizovan i standardizovan sistem za prikupljanje i analizu relevantnih podataka koji služe za praćenje pojave diskriminacije i efikasnosti sistema zaštite od diskriminacije.</w:t>
      </w:r>
    </w:p>
    <w:p w:rsidR="00410A7C" w:rsidRPr="00410A7C" w:rsidRDefault="00410A7C" w:rsidP="00410A7C">
      <w:pPr>
        <w:spacing w:after="100" w:afterAutospacing="1" w:line="276" w:lineRule="auto"/>
        <w:rPr>
          <w:rFonts w:cs="Arial"/>
        </w:rPr>
      </w:pPr>
      <w:r w:rsidRPr="00410A7C">
        <w:rPr>
          <w:rFonts w:cs="Arial"/>
        </w:rPr>
        <w:t xml:space="preserve">2. Pristupiti izradi strateških dokumenata čije je važenje isteklo u 2016. ili ističe u 2017. godini. To se prvenstveno odnosi na donošenje strategije unapređenja položaja osoba sa invaliditetom, osoba koje žive sa HIV-om, strategije o starenju, strategije razvoja obrazovanja odraslih, kao i donošenje strategije koja će unaprediti zaštitu mentalnog zdravlja. Novi strateški dokumenti bi trebalo da budu bazirani na evaluaciji prethodno važećih strategija i uz uvažavanje trenutnog stanja i potreba društvenih grupa na koje se odnose. Prilikom pripreme svih strateških dokumenata obezbediti rodnu perspektivu, realno definisati ciljeve i aktivnosti, obezbediti izvore finansiranja i sprovesti širok konsultativni proces sa svim zainteresovanim akterima. </w:t>
      </w:r>
    </w:p>
    <w:p w:rsidR="00410A7C" w:rsidRPr="00410A7C" w:rsidRDefault="00410A7C" w:rsidP="00410A7C">
      <w:pPr>
        <w:spacing w:after="100" w:afterAutospacing="1" w:line="276" w:lineRule="auto"/>
        <w:rPr>
          <w:rFonts w:cs="Arial"/>
        </w:rPr>
      </w:pPr>
      <w:r w:rsidRPr="00410A7C">
        <w:rPr>
          <w:rFonts w:cs="Arial"/>
        </w:rPr>
        <w:t xml:space="preserve">3. Neophodno je doneti zakon o rodnoj ravnopravnosti. Potrebno je propisati obavezu „urodnjavanja“ javnih politika, tj. integrisanje rodne perspektive u javne politike, kako bi se obezbedilo uklanjanje uzroka rodne neravnopravnosti i propisati obavezu svih organa javne vlasti i privatnih poslodavaca da razviju interne mehanizme za suzbijanje i zaštitu od diskriminacije i vođenje rodno balansirane kadrovske politike.  </w:t>
      </w:r>
    </w:p>
    <w:p w:rsidR="00410A7C" w:rsidRPr="00410A7C" w:rsidRDefault="00410A7C" w:rsidP="00410A7C">
      <w:pPr>
        <w:spacing w:after="100" w:afterAutospacing="1" w:line="276" w:lineRule="auto"/>
        <w:rPr>
          <w:rFonts w:cs="Arial"/>
        </w:rPr>
      </w:pPr>
      <w:r w:rsidRPr="00410A7C">
        <w:rPr>
          <w:rFonts w:cs="Arial"/>
        </w:rPr>
        <w:t>4. U cilju ekonomskog osnaživanja žena potrebno je kontinuirano preduzimati mere za podsticanje zapošljavanja i ženskog preduzetništva, za zaštitu žena od diskriminacije na tržištu rada, kao i propisivanje posebnih mera i za unapređenje položaja žena koje se bave poljoprivredom, posebno kod upisa u registar poljoprivrednih gazdinstava.</w:t>
      </w:r>
    </w:p>
    <w:p w:rsidR="00410A7C" w:rsidRPr="00410A7C" w:rsidRDefault="00410A7C" w:rsidP="00410A7C">
      <w:pPr>
        <w:spacing w:after="100" w:afterAutospacing="1" w:line="276" w:lineRule="auto"/>
        <w:rPr>
          <w:rFonts w:cs="Arial"/>
        </w:rPr>
      </w:pPr>
      <w:r w:rsidRPr="00410A7C">
        <w:rPr>
          <w:rFonts w:cs="Arial"/>
        </w:rPr>
        <w:t xml:space="preserve">5. Potrebno je da nadležni organi preduzmu mere i obezbede koordinisano i efikasno delovanje institucija sistema u pružanju zaštite od nasilja u porodici i drugih oblika rodno zasnovanog nasilja, u cilju pune primene zakona. </w:t>
      </w:r>
    </w:p>
    <w:p w:rsidR="00410A7C" w:rsidRPr="00410A7C" w:rsidRDefault="00410A7C" w:rsidP="00410A7C">
      <w:pPr>
        <w:spacing w:after="100" w:afterAutospacing="1" w:line="276" w:lineRule="auto"/>
        <w:rPr>
          <w:rFonts w:cs="Arial"/>
        </w:rPr>
      </w:pPr>
      <w:r w:rsidRPr="00410A7C">
        <w:rPr>
          <w:rFonts w:cs="Arial"/>
        </w:rPr>
        <w:t>6. Usvojiti zakon o besplatnoj pravnoj pomoći, kojim će se obezbediti delotvoran pristup pravdi, bez diskriminacije po bilo kom osnovu, uključujući i pristup pravdi za žrtve diskriminacije.</w:t>
      </w:r>
    </w:p>
    <w:p w:rsidR="00410A7C" w:rsidRPr="00410A7C" w:rsidRDefault="00410A7C" w:rsidP="00410A7C">
      <w:pPr>
        <w:spacing w:after="100" w:afterAutospacing="1" w:line="276" w:lineRule="auto"/>
        <w:rPr>
          <w:rFonts w:cs="Arial"/>
        </w:rPr>
      </w:pPr>
      <w:r w:rsidRPr="00410A7C">
        <w:rPr>
          <w:rFonts w:cs="Arial"/>
        </w:rPr>
        <w:t xml:space="preserve">7. Intenzivirati rad na uklanjanju svih vrsta barijera koje osobama sa invaliditetom otežavaju pristup javnim objektima i površinama, prevozu, komunikacijama, uslugama. Obezbediti da informacije o radu svih organa javne vlasti budu dostupne u odgovarajućim formatima, uključujući i sadržaje internet prezentacija. Potrebno je obezbediti osobama sa invaliditetom uslove za puno ostvarivanje svih zagarantovanih prava (izbornog prava, prava na obrazovanje i sl.). </w:t>
      </w:r>
    </w:p>
    <w:p w:rsidR="00410A7C" w:rsidRPr="00410A7C" w:rsidRDefault="00410A7C" w:rsidP="00410A7C">
      <w:pPr>
        <w:spacing w:after="100" w:afterAutospacing="1" w:line="276" w:lineRule="auto"/>
        <w:rPr>
          <w:rFonts w:cs="Arial"/>
        </w:rPr>
      </w:pPr>
      <w:r w:rsidRPr="00410A7C">
        <w:rPr>
          <w:rFonts w:cs="Arial"/>
        </w:rPr>
        <w:t>8. Intenzivirati proces deinstitucionalizacije i obezbediti adekvatnu podršku osobama sa invaliditetom za samostalan život u najmanje restriktivnom okruženju, uz kontinuirano razvijanje raznovrsnih usluga u lokalnoj zajednici namenjenih deci i odraslima sa invaliditetom.</w:t>
      </w:r>
    </w:p>
    <w:p w:rsidR="00410A7C" w:rsidRPr="00410A7C" w:rsidRDefault="00410A7C" w:rsidP="00410A7C">
      <w:pPr>
        <w:spacing w:after="100" w:afterAutospacing="1" w:line="276" w:lineRule="auto"/>
        <w:rPr>
          <w:rFonts w:cs="Arial"/>
        </w:rPr>
      </w:pPr>
      <w:r w:rsidRPr="00410A7C">
        <w:rPr>
          <w:rFonts w:cs="Arial"/>
        </w:rPr>
        <w:lastRenderedPageBreak/>
        <w:t>9. Preduzeti mere za unapređenje/usklađivanje pravnog okvira kako bi se omogućilo osobama sa invaliditetom da efikasno i bez diskriminacije koriste pečat koji sadrži podatke o ličnom identitetu ili pečat sa ugraviranim potpisom prilikom ostvarivanja prava i korišćenja usluga.</w:t>
      </w:r>
    </w:p>
    <w:p w:rsidR="00410A7C" w:rsidRPr="00410A7C" w:rsidRDefault="00410A7C" w:rsidP="00410A7C">
      <w:pPr>
        <w:spacing w:after="100" w:afterAutospacing="1" w:line="276" w:lineRule="auto"/>
        <w:rPr>
          <w:rFonts w:cs="Arial"/>
        </w:rPr>
      </w:pPr>
      <w:r w:rsidRPr="00410A7C">
        <w:rPr>
          <w:rFonts w:cs="Arial"/>
        </w:rPr>
        <w:t>10. Preduzeti mere na stvaranju uslova za osposobljavanje za kretanje sa psom vodičem, u skladu sa Zakonom o kretanju uz pomoć psa vodiča.</w:t>
      </w:r>
    </w:p>
    <w:p w:rsidR="00410A7C" w:rsidRPr="00410A7C" w:rsidRDefault="00410A7C" w:rsidP="00410A7C">
      <w:pPr>
        <w:spacing w:after="100" w:afterAutospacing="1" w:line="276" w:lineRule="auto"/>
        <w:rPr>
          <w:rFonts w:cs="Arial"/>
        </w:rPr>
      </w:pPr>
      <w:r w:rsidRPr="00410A7C">
        <w:rPr>
          <w:rFonts w:cs="Arial"/>
        </w:rPr>
        <w:t>11. Potrebno je izmeniti zakonske propise koji uređuju pitanje lišenja poslovne sposobnosti i starateljstva nad punoletnim osobama u skladu sa savremenim međunarodnima standardima i preporukama, što podrazumeva  promenu u  pristupu osobama sa invaliditetom od preovlađujućeg medicinskog modela prema socijalnom.</w:t>
      </w:r>
    </w:p>
    <w:p w:rsidR="00410A7C" w:rsidRPr="00410A7C" w:rsidRDefault="00410A7C" w:rsidP="00410A7C">
      <w:pPr>
        <w:spacing w:after="100" w:afterAutospacing="1" w:line="276" w:lineRule="auto"/>
        <w:rPr>
          <w:rFonts w:cs="Arial"/>
        </w:rPr>
      </w:pPr>
      <w:r w:rsidRPr="00410A7C">
        <w:rPr>
          <w:rFonts w:cs="Arial"/>
        </w:rPr>
        <w:t>12. Potrebno je da nadležni državni organi preduzmu sve neophodne radnje i mere iz svoje nadležnosti kojima će obezbediti angažovanje pedagoškog asistenta za decu i učenike kojima je potrebna dodatna podrška u obrazovanju i vaspitanju i nastaviti rad na razvoju inkluzivnog obrazovanja, u skladu s principima jednakosti i dostupnosti u obrazovanju na svim nivoima.</w:t>
      </w:r>
    </w:p>
    <w:p w:rsidR="00410A7C" w:rsidRPr="00410A7C" w:rsidRDefault="00410A7C" w:rsidP="00410A7C">
      <w:pPr>
        <w:spacing w:after="100" w:afterAutospacing="1" w:line="276" w:lineRule="auto"/>
        <w:rPr>
          <w:rFonts w:cs="Arial"/>
        </w:rPr>
      </w:pPr>
      <w:r w:rsidRPr="00410A7C">
        <w:rPr>
          <w:rFonts w:cs="Arial"/>
        </w:rPr>
        <w:t xml:space="preserve">13. Unaprediti normativni okvir za zaštitu prava deteta u smislu usaglašavanja s Konvencijom o pravima deteta, a posebno u pogledu definisanja pojmova, zabrane fizičkog kažnjavanja, zabrane diskriminacije i zaštite od ekonomske eksploatacije. </w:t>
      </w:r>
    </w:p>
    <w:p w:rsidR="00410A7C" w:rsidRPr="00410A7C" w:rsidRDefault="00410A7C" w:rsidP="00410A7C">
      <w:pPr>
        <w:spacing w:after="100" w:afterAutospacing="1" w:line="276" w:lineRule="auto"/>
        <w:rPr>
          <w:rFonts w:cs="Arial"/>
        </w:rPr>
      </w:pPr>
      <w:r w:rsidRPr="00410A7C">
        <w:rPr>
          <w:rFonts w:cs="Arial"/>
        </w:rPr>
        <w:t xml:space="preserve">14. Kontinuirano raditi na obezbeđivanju jednakih mogućnosti u pristupu visokom obrazovanju mladima iz marginalizovanih društvenih grupa, uvođenjem posebnih mera i dopunom standarda za akreditaciju visokoškolskih ustanova, a naročito u pogledu pristupačnosti prostora, obezbeđivanja asistivnih tehnologija i odgovarajućih servisa za podršku studentima. </w:t>
      </w:r>
    </w:p>
    <w:p w:rsidR="00410A7C" w:rsidRPr="00410A7C" w:rsidRDefault="00410A7C" w:rsidP="00410A7C">
      <w:pPr>
        <w:spacing w:after="100" w:afterAutospacing="1" w:line="276" w:lineRule="auto"/>
        <w:rPr>
          <w:rFonts w:cs="Arial"/>
        </w:rPr>
      </w:pPr>
      <w:r w:rsidRPr="00410A7C">
        <w:rPr>
          <w:rFonts w:cs="Arial"/>
        </w:rPr>
        <w:t>15. Preduzeti mere kako bi se u nastavne programe i nastavne materijale integrisale teme koje razvijaju kulturu mira, tolerancije, razumevanja i uvažavanja različitosti, rodne ravnopravnosti i nediskriminacije. Iz nastavnih materijala ukloniti diskriminatorne sadržaje i sadržaje koji podržavaju stereotipe i predrasude. U školske programe treba uvesti zdravstveno i vaspitanje o reproduktivnom i seksualnom zdravlju.</w:t>
      </w:r>
    </w:p>
    <w:p w:rsidR="00410A7C" w:rsidRPr="00410A7C" w:rsidRDefault="00410A7C" w:rsidP="00410A7C">
      <w:pPr>
        <w:spacing w:after="100" w:afterAutospacing="1" w:line="276" w:lineRule="auto"/>
        <w:rPr>
          <w:rFonts w:cs="Arial"/>
        </w:rPr>
      </w:pPr>
      <w:r w:rsidRPr="00410A7C">
        <w:rPr>
          <w:rFonts w:cs="Arial"/>
        </w:rPr>
        <w:t xml:space="preserve">16. Izmeniti Zakon o finansijskoj podršci porodici sa decom posebno u pogledu propisivanja prava očeva na roditeljski dodatak ukoliko majka nema državljanstvo Republike Srbije, boljeg obuhvata lica koja mogu ostvariti pravo na naknadu za vreme porodiljskog odsustva i odsustva sa rada radi nege deteta, kao i unapređenja drugih odredaba ovog zakona s ciljem postizanja pune ravnopravnosti. </w:t>
      </w:r>
    </w:p>
    <w:p w:rsidR="00410A7C" w:rsidRPr="00410A7C" w:rsidRDefault="00410A7C" w:rsidP="00410A7C">
      <w:pPr>
        <w:spacing w:after="100" w:afterAutospacing="1" w:line="276" w:lineRule="auto"/>
        <w:rPr>
          <w:rFonts w:cs="Arial"/>
        </w:rPr>
      </w:pPr>
      <w:r w:rsidRPr="00410A7C">
        <w:rPr>
          <w:rFonts w:cs="Arial"/>
        </w:rPr>
        <w:t>17. Intenzivirati rad na poboljšanju položaja starijih, naročito u ruralnim i nepristupačnim područjima, posebno u pogledu pružanja usluga socijalne i zdravstvene zaštite (mobilni timovi, mobilne apoteke i prodavnice i sl.). To podrazumeva i rano prepoznavanje socijalne isključenosti i blagovremeno aktiviranje svih oblika podrške i pomoći.</w:t>
      </w:r>
    </w:p>
    <w:p w:rsidR="00410A7C" w:rsidRPr="00410A7C" w:rsidRDefault="00410A7C" w:rsidP="00410A7C">
      <w:pPr>
        <w:spacing w:after="100" w:afterAutospacing="1" w:line="276" w:lineRule="auto"/>
        <w:rPr>
          <w:rFonts w:cs="Arial"/>
        </w:rPr>
      </w:pPr>
      <w:r w:rsidRPr="00410A7C">
        <w:rPr>
          <w:rFonts w:cs="Arial"/>
        </w:rPr>
        <w:t xml:space="preserve">18. Preduzimati mere za unapređivanje položaja osuđenih lica i njihovu punu socijalnu uključenost, bez stigmatizacije, posebno u postupku zapošljavanja. To podrazumeva i </w:t>
      </w:r>
      <w:r w:rsidRPr="00410A7C">
        <w:rPr>
          <w:rFonts w:cs="Arial"/>
        </w:rPr>
        <w:lastRenderedPageBreak/>
        <w:t>odgovarajuće normativne izmene kako bi se u potpunosti obezbedilo poštovanje odredbe člana 102. Krivičnog zakonika kojom je propisano da niko nema pravo da traži od građana da podnose dokaz o svojoj osuđivanosti ili neosuđivanosti.</w:t>
      </w:r>
    </w:p>
    <w:p w:rsidR="00410A7C" w:rsidRPr="00410A7C" w:rsidRDefault="00410A7C" w:rsidP="00410A7C">
      <w:pPr>
        <w:spacing w:after="100" w:afterAutospacing="1" w:line="276" w:lineRule="auto"/>
        <w:rPr>
          <w:rFonts w:cs="Arial"/>
        </w:rPr>
      </w:pPr>
      <w:r w:rsidRPr="00410A7C">
        <w:rPr>
          <w:rFonts w:cs="Arial"/>
        </w:rPr>
        <w:t xml:space="preserve">19. Unaprediti pravni položaj transpolnih osoba, donošenjem posebnog zakona ili izmenama i dopunama postojećih propisa, kako bi se transpolnim osobama omogućilo da novi identitet u potpunosti integrišu u svoj privatni i profesionalni život, uz puno poštovanje prava na privatnost.  </w:t>
      </w:r>
    </w:p>
    <w:p w:rsidR="00410A7C" w:rsidRPr="00410A7C" w:rsidRDefault="00410A7C" w:rsidP="00410A7C">
      <w:pPr>
        <w:spacing w:after="100" w:afterAutospacing="1" w:line="276" w:lineRule="auto"/>
        <w:rPr>
          <w:rFonts w:cs="Arial"/>
        </w:rPr>
      </w:pPr>
      <w:r w:rsidRPr="00410A7C">
        <w:rPr>
          <w:rFonts w:cs="Arial"/>
        </w:rPr>
        <w:t>20. Doneti propise kojima se omogućava registracija istopolnih parova i regulišu dejstva, pravne posledice i način prestanka registrovanih partnerstva, u skladu sa preporukama Saveta Evrope.</w:t>
      </w:r>
    </w:p>
    <w:p w:rsidR="00410A7C" w:rsidRPr="00410A7C" w:rsidRDefault="00410A7C" w:rsidP="00410A7C">
      <w:pPr>
        <w:spacing w:after="100" w:afterAutospacing="1" w:line="276" w:lineRule="auto"/>
        <w:rPr>
          <w:rFonts w:cs="Arial"/>
        </w:rPr>
      </w:pPr>
      <w:r w:rsidRPr="00410A7C">
        <w:rPr>
          <w:rFonts w:cs="Arial"/>
        </w:rPr>
        <w:t>21. Preduzeti sve potrebne mere kako bi sastav državnih organa, organa lokalne samouprave i drugih organa javne vlasti odgovarao nacionalnom sastavu stanovništva na njihovom području, i preduzeti  mere u cilju upravljanja nacionalnom, etničkom, verskom, jezičkom i drugom raznovrsnošću.</w:t>
      </w:r>
    </w:p>
    <w:p w:rsidR="00410A7C" w:rsidRPr="00410A7C" w:rsidRDefault="00410A7C" w:rsidP="00410A7C">
      <w:pPr>
        <w:spacing w:after="100" w:afterAutospacing="1" w:line="276" w:lineRule="auto"/>
        <w:rPr>
          <w:rFonts w:cs="Arial"/>
        </w:rPr>
      </w:pPr>
      <w:r w:rsidRPr="00410A7C">
        <w:rPr>
          <w:rFonts w:cs="Arial"/>
        </w:rPr>
        <w:t>22. Kontinuirano raditi na edukaciji nosilaca pravosudnih funkcija, policijskih službenika, zaposlenih u državnoj upravi, zaposlenih u sistemu obrazovanja, zdravstvene i socijalne zaštite i zaposlenih u inspekcijskim službama iz oblasti antidiskriminacionog prava, kako bi se obezbedilo pravilno i ujednačeno tumačenje i primena antidiskriminacionih propisa, u skladu sa međunarodnim standardima i praksom međunarodnih institucija.</w:t>
      </w:r>
    </w:p>
    <w:p w:rsidR="00410A7C" w:rsidRPr="00410A7C" w:rsidRDefault="00410A7C" w:rsidP="00410A7C">
      <w:pPr>
        <w:spacing w:after="100" w:afterAutospacing="1" w:line="276" w:lineRule="auto"/>
        <w:rPr>
          <w:rFonts w:cs="Arial"/>
        </w:rPr>
      </w:pPr>
      <w:r w:rsidRPr="00410A7C">
        <w:rPr>
          <w:rFonts w:cs="Arial"/>
        </w:rPr>
        <w:t xml:space="preserve">23. Preduzimati mere i aktivnosti na edukaciji novinara o zabrani govora mržnje i drugih oblika diskriminacije, kao i o važnosti principa ravnopravnosti i tolerancije. </w:t>
      </w:r>
    </w:p>
    <w:p w:rsidR="00135D51" w:rsidRDefault="00410A7C" w:rsidP="00410A7C">
      <w:pPr>
        <w:spacing w:after="100" w:afterAutospacing="1" w:line="276" w:lineRule="auto"/>
        <w:rPr>
          <w:rFonts w:cs="Arial"/>
        </w:rPr>
      </w:pPr>
      <w:r w:rsidRPr="00410A7C">
        <w:rPr>
          <w:rFonts w:cs="Arial"/>
        </w:rPr>
        <w:t xml:space="preserve">24. Izmeniti i dopuniti Zakon o zabrani diskriminacije, u saradnji s Poverenikom za zaštitu ravnopravnosti, u cilju postizanja pune usklađenosti s pravnim tekovinama Evropske unije. Takođe, izmenama i dopunama propisati adekvatna rešenja za prevazilaženje problema i teškoća koji su uočeni u primeni zakona.  </w:t>
      </w:r>
    </w:p>
    <w:p w:rsidR="00086B2C" w:rsidRDefault="00086B2C" w:rsidP="00135D51">
      <w:pPr>
        <w:spacing w:after="100" w:afterAutospacing="1" w:line="276" w:lineRule="auto"/>
        <w:rPr>
          <w:rFonts w:cs="Arial"/>
        </w:rPr>
      </w:pPr>
    </w:p>
    <w:p w:rsidR="00135D51" w:rsidRDefault="00135D51" w:rsidP="00135D51">
      <w:pPr>
        <w:spacing w:after="100" w:afterAutospacing="1" w:line="276" w:lineRule="auto"/>
        <w:rPr>
          <w:rFonts w:cs="Arial"/>
          <w:lang w:val="sr-Latn-RS"/>
        </w:rPr>
      </w:pPr>
    </w:p>
    <w:p w:rsidR="00C268A7" w:rsidRDefault="00C268A7" w:rsidP="00135D51">
      <w:pPr>
        <w:spacing w:after="100" w:afterAutospacing="1" w:line="276" w:lineRule="auto"/>
        <w:rPr>
          <w:rFonts w:cs="Arial"/>
          <w:lang w:val="sr-Latn-RS"/>
        </w:rPr>
      </w:pPr>
    </w:p>
    <w:p w:rsidR="00C268A7" w:rsidRDefault="00C268A7" w:rsidP="00135D51">
      <w:pPr>
        <w:spacing w:after="100" w:afterAutospacing="1" w:line="276" w:lineRule="auto"/>
        <w:rPr>
          <w:rFonts w:cs="Arial"/>
          <w:lang w:val="sr-Latn-RS"/>
        </w:rPr>
      </w:pPr>
    </w:p>
    <w:p w:rsidR="00C268A7" w:rsidRDefault="00C268A7" w:rsidP="00135D51">
      <w:pPr>
        <w:spacing w:after="100" w:afterAutospacing="1" w:line="276" w:lineRule="auto"/>
        <w:rPr>
          <w:rFonts w:cs="Arial"/>
          <w:lang w:val="sr-Latn-RS"/>
        </w:rPr>
      </w:pPr>
    </w:p>
    <w:p w:rsidR="00C268A7" w:rsidRDefault="00C268A7" w:rsidP="00135D51">
      <w:pPr>
        <w:spacing w:after="100" w:afterAutospacing="1" w:line="276" w:lineRule="auto"/>
        <w:rPr>
          <w:rFonts w:cs="Arial"/>
          <w:lang w:val="sr-Latn-RS"/>
        </w:rPr>
      </w:pPr>
    </w:p>
    <w:p w:rsidR="00C268A7" w:rsidRDefault="00C268A7" w:rsidP="00135D51">
      <w:pPr>
        <w:spacing w:after="100" w:afterAutospacing="1" w:line="276" w:lineRule="auto"/>
        <w:rPr>
          <w:rFonts w:cs="Arial"/>
          <w:lang w:val="sr-Latn-RS"/>
        </w:rPr>
      </w:pPr>
    </w:p>
    <w:p w:rsidR="00C268A7" w:rsidRPr="00C268A7" w:rsidRDefault="00C268A7" w:rsidP="00135D51">
      <w:pPr>
        <w:spacing w:after="100" w:afterAutospacing="1" w:line="276" w:lineRule="auto"/>
        <w:rPr>
          <w:rFonts w:cs="Arial"/>
          <w:lang w:val="sr-Latn-RS"/>
        </w:rPr>
      </w:pPr>
    </w:p>
    <w:p w:rsidR="00135D51" w:rsidRDefault="00A56872" w:rsidP="00135D51">
      <w:pPr>
        <w:spacing w:before="0" w:after="200" w:line="276" w:lineRule="auto"/>
        <w:jc w:val="center"/>
        <w:rPr>
          <w:rFonts w:eastAsia="Times New Roman" w:cs="Arial"/>
          <w:b/>
          <w:u w:val="single"/>
        </w:rPr>
      </w:pPr>
      <w:r w:rsidRPr="00A56872">
        <w:rPr>
          <w:rFonts w:eastAsia="Times New Roman" w:cs="Arial"/>
          <w:b/>
          <w:bCs/>
          <w:caps/>
          <w:sz w:val="24"/>
        </w:rPr>
        <w:lastRenderedPageBreak/>
        <w:t>PRILOG: STATISTIČKI PRIKAZ RADA POVERENIKA U 2016. GODINI</w:t>
      </w:r>
    </w:p>
    <w:p w:rsidR="003C103D" w:rsidRPr="003C103D" w:rsidRDefault="003C103D" w:rsidP="00135D51">
      <w:pPr>
        <w:spacing w:before="0" w:after="200" w:line="276" w:lineRule="auto"/>
        <w:jc w:val="center"/>
        <w:rPr>
          <w:rFonts w:eastAsia="Times New Roman" w:cs="Arial"/>
          <w:b/>
          <w:u w:val="single"/>
        </w:rPr>
      </w:pPr>
    </w:p>
    <w:p w:rsidR="00135D51" w:rsidRPr="00135D51" w:rsidRDefault="00A56872" w:rsidP="00135D51">
      <w:pPr>
        <w:spacing w:before="0" w:after="200" w:line="276" w:lineRule="auto"/>
        <w:jc w:val="left"/>
        <w:outlineLvl w:val="0"/>
        <w:rPr>
          <w:rFonts w:eastAsia="Times New Roman" w:cs="Arial"/>
          <w:b/>
          <w:u w:val="single"/>
        </w:rPr>
      </w:pPr>
      <w:r w:rsidRPr="00A56872">
        <w:rPr>
          <w:rFonts w:eastAsia="Times New Roman" w:cs="Arial"/>
          <w:b/>
          <w:u w:val="single"/>
        </w:rPr>
        <w:t>Broj predmeta u 2016. godini</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8290"/>
        <w:gridCol w:w="999"/>
      </w:tblGrid>
      <w:tr w:rsidR="00135D51" w:rsidRPr="00135D51" w:rsidTr="00135D51">
        <w:tc>
          <w:tcPr>
            <w:tcW w:w="8568" w:type="dxa"/>
            <w:shd w:val="clear" w:color="auto" w:fill="12D9EE"/>
          </w:tcPr>
          <w:p w:rsidR="00135D51" w:rsidRPr="00A56872" w:rsidRDefault="00A56872" w:rsidP="00135D51">
            <w:pPr>
              <w:spacing w:before="0" w:after="0" w:line="276" w:lineRule="auto"/>
              <w:jc w:val="left"/>
              <w:rPr>
                <w:rFonts w:eastAsia="Times New Roman" w:cs="Arial"/>
                <w:b/>
                <w:lang w:val="sr-Latn-RS"/>
              </w:rPr>
            </w:pPr>
            <w:r>
              <w:rPr>
                <w:rFonts w:eastAsia="Times New Roman" w:cs="Arial"/>
                <w:b/>
                <w:lang w:val="sr-Latn-RS"/>
              </w:rPr>
              <w:t>PREDMETI</w:t>
            </w:r>
          </w:p>
        </w:tc>
        <w:tc>
          <w:tcPr>
            <w:tcW w:w="1008"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2016.</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u w:val="single"/>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Pritužbe</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626</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Preporuke mera</w:t>
            </w:r>
            <w:r w:rsidR="00135D51" w:rsidRPr="00135D51">
              <w:rPr>
                <w:rFonts w:eastAsia="Times New Roman" w:cs="Arial"/>
                <w:b/>
              </w:rPr>
              <w:t xml:space="preserve">                                        </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665</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Mišljenja na nacrte akata</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40</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Predlog Ustavnom sudu</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1</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Krivične prijave</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3</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Prekršajne prijave</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1</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rPr>
            </w:pPr>
            <w:r>
              <w:rPr>
                <w:rFonts w:eastAsia="Times New Roman" w:cs="Arial"/>
                <w:b/>
                <w:lang w:val="sr-Latn-RS"/>
              </w:rPr>
              <w:t>Inicijative za izmenu zakona</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1</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A56872" w:rsidRDefault="00A56872" w:rsidP="00135D51">
            <w:pPr>
              <w:spacing w:before="0" w:after="0" w:line="276" w:lineRule="auto"/>
              <w:jc w:val="left"/>
              <w:rPr>
                <w:rFonts w:eastAsia="Times New Roman" w:cs="Arial"/>
                <w:b/>
                <w:lang w:val="sr-Latn-RS"/>
              </w:rPr>
            </w:pPr>
            <w:r>
              <w:rPr>
                <w:rFonts w:eastAsia="Times New Roman" w:cs="Arial"/>
                <w:b/>
                <w:lang w:val="sr-Latn-RS"/>
              </w:rPr>
              <w:t>Upozorenja</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9</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135D51">
            <w:pPr>
              <w:spacing w:before="0" w:after="0" w:line="276" w:lineRule="auto"/>
              <w:jc w:val="left"/>
              <w:rPr>
                <w:rFonts w:eastAsia="Times New Roman" w:cs="Arial"/>
                <w:b/>
                <w:vertAlign w:val="superscript"/>
              </w:rPr>
            </w:pPr>
            <w:r>
              <w:rPr>
                <w:rFonts w:eastAsia="Times New Roman" w:cs="Arial"/>
                <w:b/>
                <w:lang w:val="sr-Latn-RS"/>
              </w:rPr>
              <w:t>Saopštenja</w:t>
            </w:r>
            <w:r w:rsidR="00135D51" w:rsidRPr="00135D51">
              <w:rPr>
                <w:rFonts w:eastAsia="Times New Roman" w:cs="Arial"/>
                <w:b/>
                <w:vertAlign w:val="superscript"/>
              </w:rPr>
              <w:t>*</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25</w:t>
            </w:r>
          </w:p>
        </w:tc>
      </w:tr>
      <w:tr w:rsidR="00135D51" w:rsidRPr="00135D51" w:rsidTr="00135D51">
        <w:tc>
          <w:tcPr>
            <w:tcW w:w="8568" w:type="dxa"/>
          </w:tcPr>
          <w:p w:rsidR="00135D51" w:rsidRPr="00135D51" w:rsidRDefault="00135D51" w:rsidP="00135D51">
            <w:pPr>
              <w:spacing w:before="0" w:after="0" w:line="276" w:lineRule="auto"/>
              <w:jc w:val="left"/>
              <w:rPr>
                <w:rFonts w:eastAsia="Times New Roman" w:cs="Arial"/>
                <w:b/>
              </w:rPr>
            </w:pPr>
          </w:p>
          <w:p w:rsidR="00135D51" w:rsidRPr="00135D51" w:rsidRDefault="00A56872" w:rsidP="00A56872">
            <w:pPr>
              <w:spacing w:before="0" w:after="0" w:line="276" w:lineRule="auto"/>
              <w:jc w:val="left"/>
              <w:rPr>
                <w:rFonts w:eastAsia="Times New Roman" w:cs="Arial"/>
                <w:b/>
                <w:vertAlign w:val="superscript"/>
              </w:rPr>
            </w:pPr>
            <w:r>
              <w:rPr>
                <w:rFonts w:eastAsia="Times New Roman" w:cs="Arial"/>
                <w:b/>
                <w:lang w:val="sr-Latn-RS"/>
              </w:rPr>
              <w:t>UKUPAN broj predmeta</w:t>
            </w:r>
            <w:r w:rsidR="00135D51" w:rsidRPr="00135D51">
              <w:rPr>
                <w:rFonts w:eastAsia="Times New Roman" w:cs="Arial"/>
                <w:b/>
                <w:vertAlign w:val="superscript"/>
              </w:rPr>
              <w:t>*</w:t>
            </w:r>
          </w:p>
        </w:tc>
        <w:tc>
          <w:tcPr>
            <w:tcW w:w="1008" w:type="dxa"/>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left"/>
              <w:rPr>
                <w:rFonts w:eastAsia="Times New Roman" w:cs="Arial"/>
                <w:b/>
              </w:rPr>
            </w:pPr>
            <w:r w:rsidRPr="00135D51">
              <w:rPr>
                <w:rFonts w:eastAsia="Times New Roman" w:cs="Arial"/>
                <w:b/>
              </w:rPr>
              <w:t xml:space="preserve">   1</w:t>
            </w:r>
            <w:r w:rsidR="00942D3A">
              <w:rPr>
                <w:rFonts w:eastAsia="Times New Roman" w:cs="Arial"/>
                <w:b/>
              </w:rPr>
              <w:t>.</w:t>
            </w:r>
            <w:r w:rsidRPr="00135D51">
              <w:rPr>
                <w:rFonts w:eastAsia="Times New Roman" w:cs="Arial"/>
                <w:b/>
              </w:rPr>
              <w:t>346</w:t>
            </w:r>
          </w:p>
          <w:p w:rsidR="00135D51" w:rsidRPr="00135D51" w:rsidRDefault="00135D51" w:rsidP="00135D51">
            <w:pPr>
              <w:spacing w:before="0" w:after="0" w:line="276" w:lineRule="auto"/>
              <w:jc w:val="right"/>
              <w:rPr>
                <w:rFonts w:eastAsia="Times New Roman" w:cs="Arial"/>
                <w:b/>
              </w:rPr>
            </w:pPr>
          </w:p>
        </w:tc>
      </w:tr>
    </w:tbl>
    <w:p w:rsidR="00135D51" w:rsidRPr="00135D51" w:rsidRDefault="00135D51" w:rsidP="00135D51">
      <w:pPr>
        <w:spacing w:before="0" w:after="0" w:line="276" w:lineRule="auto"/>
        <w:jc w:val="left"/>
        <w:rPr>
          <w:rFonts w:eastAsia="Times New Roman" w:cs="Arial"/>
          <w:b/>
          <w:u w:val="single"/>
        </w:rPr>
      </w:pPr>
    </w:p>
    <w:p w:rsidR="00135D51" w:rsidRPr="00135D51" w:rsidRDefault="00135D51" w:rsidP="00135D51">
      <w:pPr>
        <w:spacing w:before="0" w:after="0" w:line="276" w:lineRule="auto"/>
        <w:jc w:val="left"/>
        <w:rPr>
          <w:rFonts w:eastAsia="Times New Roman" w:cs="Arial"/>
          <w:b/>
        </w:rPr>
      </w:pPr>
      <w:r w:rsidRPr="00135D51">
        <w:rPr>
          <w:rFonts w:eastAsia="Times New Roman" w:cs="Arial"/>
          <w:b/>
        </w:rPr>
        <w:t xml:space="preserve">* </w:t>
      </w:r>
      <w:r w:rsidR="00A56872" w:rsidRPr="00A56872">
        <w:rPr>
          <w:rFonts w:eastAsia="Times New Roman" w:cs="Arial"/>
          <w:b/>
        </w:rPr>
        <w:t>Saopštenja ne ulaze u ukupan broj predmeta.</w:t>
      </w:r>
      <w:r w:rsidRPr="00135D51">
        <w:rPr>
          <w:rFonts w:eastAsia="Times New Roman" w:cs="Arial"/>
          <w:b/>
        </w:rPr>
        <w:tab/>
      </w:r>
      <w:r w:rsidRPr="00135D51">
        <w:rPr>
          <w:rFonts w:eastAsia="Times New Roman" w:cs="Arial"/>
          <w:b/>
        </w:rPr>
        <w:tab/>
      </w:r>
      <w:r w:rsidRPr="00135D51">
        <w:rPr>
          <w:rFonts w:eastAsia="Times New Roman" w:cs="Arial"/>
          <w:b/>
        </w:rPr>
        <w:tab/>
      </w:r>
      <w:r w:rsidRPr="00135D51">
        <w:rPr>
          <w:rFonts w:eastAsia="Times New Roman" w:cs="Arial"/>
          <w:b/>
        </w:rPr>
        <w:tab/>
      </w:r>
      <w:r w:rsidRPr="00135D51">
        <w:rPr>
          <w:rFonts w:eastAsia="Times New Roman" w:cs="Arial"/>
          <w:b/>
        </w:rPr>
        <w:tab/>
      </w:r>
    </w:p>
    <w:p w:rsidR="00135D51" w:rsidRPr="00135D51" w:rsidRDefault="00135D51" w:rsidP="00135D51">
      <w:pPr>
        <w:spacing w:before="0" w:after="0" w:line="276" w:lineRule="auto"/>
        <w:jc w:val="left"/>
        <w:rPr>
          <w:rFonts w:eastAsia="Times New Roman" w:cs="Arial"/>
          <w:b/>
        </w:rPr>
      </w:pPr>
    </w:p>
    <w:p w:rsidR="003C103D" w:rsidRDefault="003C103D" w:rsidP="00135D51">
      <w:pPr>
        <w:spacing w:before="0" w:after="200" w:line="276" w:lineRule="auto"/>
        <w:jc w:val="left"/>
        <w:rPr>
          <w:rFonts w:eastAsia="Times New Roman" w:cs="Arial"/>
          <w:b/>
        </w:rPr>
      </w:pPr>
    </w:p>
    <w:p w:rsidR="003C103D" w:rsidRPr="003C103D" w:rsidRDefault="003C103D" w:rsidP="00135D51">
      <w:pPr>
        <w:spacing w:before="0" w:after="200" w:line="276" w:lineRule="auto"/>
        <w:jc w:val="left"/>
        <w:rPr>
          <w:rFonts w:eastAsia="Times New Roman" w:cs="Arial"/>
          <w:b/>
        </w:rPr>
      </w:pPr>
    </w:p>
    <w:p w:rsidR="00135D51" w:rsidRPr="00135D51" w:rsidRDefault="00A56872" w:rsidP="00135D51">
      <w:pPr>
        <w:spacing w:before="0" w:after="200" w:line="276" w:lineRule="auto"/>
        <w:jc w:val="left"/>
        <w:outlineLvl w:val="0"/>
        <w:rPr>
          <w:rFonts w:eastAsia="Times New Roman" w:cs="Arial"/>
          <w:b/>
          <w:u w:val="single"/>
        </w:rPr>
      </w:pPr>
      <w:r w:rsidRPr="00A56872">
        <w:rPr>
          <w:rFonts w:eastAsia="Times New Roman" w:cs="Arial"/>
          <w:b/>
          <w:u w:val="single"/>
        </w:rPr>
        <w:t>Podnosioci pritužbi</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6753"/>
        <w:gridCol w:w="1228"/>
        <w:gridCol w:w="1308"/>
      </w:tblGrid>
      <w:tr w:rsidR="00135D51" w:rsidRPr="00135D51" w:rsidTr="00135D51">
        <w:tc>
          <w:tcPr>
            <w:tcW w:w="6990" w:type="dxa"/>
            <w:shd w:val="clear" w:color="auto" w:fill="12D9EE"/>
          </w:tcPr>
          <w:p w:rsidR="00135D51" w:rsidRPr="00135D51" w:rsidRDefault="00A56872" w:rsidP="00135D51">
            <w:pPr>
              <w:spacing w:before="0" w:after="0" w:line="276" w:lineRule="auto"/>
              <w:jc w:val="center"/>
              <w:rPr>
                <w:rFonts w:eastAsia="Times New Roman" w:cs="Arial"/>
                <w:b/>
              </w:rPr>
            </w:pPr>
            <w:r w:rsidRPr="00A56872">
              <w:rPr>
                <w:rFonts w:eastAsia="Times New Roman" w:cs="Arial"/>
                <w:b/>
              </w:rPr>
              <w:t>Fizička lica podnosioci pritužbi</w:t>
            </w:r>
          </w:p>
        </w:tc>
        <w:tc>
          <w:tcPr>
            <w:tcW w:w="1254" w:type="dxa"/>
            <w:shd w:val="clear" w:color="auto" w:fill="12D9EE"/>
          </w:tcPr>
          <w:p w:rsidR="00135D51" w:rsidRPr="00A56872" w:rsidRDefault="00A56872" w:rsidP="00135D51">
            <w:pPr>
              <w:spacing w:before="0" w:after="0" w:line="276" w:lineRule="auto"/>
              <w:jc w:val="center"/>
              <w:rPr>
                <w:rFonts w:eastAsia="Times New Roman" w:cs="Arial"/>
                <w:b/>
                <w:lang w:val="sr-Latn-RS"/>
              </w:rPr>
            </w:pPr>
            <w:r>
              <w:rPr>
                <w:rFonts w:eastAsia="Times New Roman" w:cs="Arial"/>
                <w:b/>
                <w:lang w:val="sr-Latn-RS"/>
              </w:rPr>
              <w:t>broj</w:t>
            </w:r>
          </w:p>
        </w:tc>
        <w:tc>
          <w:tcPr>
            <w:tcW w:w="1332"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135D51" w:rsidRPr="00135D51" w:rsidTr="00135D51">
        <w:tc>
          <w:tcPr>
            <w:tcW w:w="6990" w:type="dxa"/>
          </w:tcPr>
          <w:p w:rsidR="00135D51" w:rsidRPr="00135D51" w:rsidRDefault="00135D51" w:rsidP="00135D51">
            <w:pPr>
              <w:spacing w:before="0" w:after="0" w:line="276" w:lineRule="auto"/>
              <w:jc w:val="left"/>
              <w:rPr>
                <w:rFonts w:eastAsia="Times New Roman" w:cs="Arial"/>
                <w:b/>
              </w:rPr>
            </w:pPr>
            <w:r w:rsidRPr="00135D51">
              <w:rPr>
                <w:rFonts w:eastAsia="Times New Roman" w:cs="Arial"/>
                <w:b/>
              </w:rPr>
              <w:t xml:space="preserve">   </w:t>
            </w:r>
            <w:r w:rsidR="00A56872">
              <w:rPr>
                <w:rFonts w:eastAsia="Times New Roman" w:cs="Arial"/>
                <w:b/>
                <w:lang w:val="sr-Latn-RS"/>
              </w:rPr>
              <w:t>Muškarci</w:t>
            </w:r>
          </w:p>
          <w:p w:rsidR="00135D51" w:rsidRPr="00135D51" w:rsidRDefault="00135D51" w:rsidP="00135D51">
            <w:pPr>
              <w:spacing w:before="0" w:after="0" w:line="276" w:lineRule="auto"/>
              <w:jc w:val="left"/>
              <w:rPr>
                <w:rFonts w:eastAsia="Times New Roman" w:cs="Arial"/>
                <w:b/>
              </w:rPr>
            </w:pPr>
          </w:p>
        </w:tc>
        <w:tc>
          <w:tcPr>
            <w:tcW w:w="1254" w:type="dxa"/>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287</w:t>
            </w:r>
          </w:p>
        </w:tc>
        <w:tc>
          <w:tcPr>
            <w:tcW w:w="1332" w:type="dxa"/>
          </w:tcPr>
          <w:p w:rsidR="00135D51" w:rsidRPr="00135D51" w:rsidRDefault="00135D51" w:rsidP="00AC0428">
            <w:pPr>
              <w:spacing w:before="0" w:after="0" w:line="276" w:lineRule="auto"/>
              <w:jc w:val="right"/>
              <w:rPr>
                <w:rFonts w:eastAsia="Times New Roman" w:cs="Arial"/>
                <w:b/>
              </w:rPr>
            </w:pPr>
            <w:r w:rsidRPr="00135D51">
              <w:rPr>
                <w:rFonts w:eastAsia="Times New Roman" w:cs="Arial"/>
                <w:b/>
              </w:rPr>
              <w:t>58</w:t>
            </w:r>
            <w:r w:rsidR="00942D3A">
              <w:rPr>
                <w:rFonts w:eastAsia="Times New Roman" w:cs="Arial"/>
                <w:b/>
              </w:rPr>
              <w:t>,</w:t>
            </w:r>
            <w:r w:rsidRPr="00135D51">
              <w:rPr>
                <w:rFonts w:eastAsia="Times New Roman" w:cs="Arial"/>
                <w:b/>
              </w:rPr>
              <w:t>0</w:t>
            </w:r>
          </w:p>
        </w:tc>
      </w:tr>
      <w:tr w:rsidR="00135D51" w:rsidRPr="00135D51" w:rsidTr="00135D51">
        <w:tc>
          <w:tcPr>
            <w:tcW w:w="6990" w:type="dxa"/>
          </w:tcPr>
          <w:p w:rsidR="00135D51" w:rsidRPr="00A56872" w:rsidRDefault="00A56872" w:rsidP="00135D51">
            <w:pPr>
              <w:spacing w:before="0" w:after="0" w:line="276" w:lineRule="auto"/>
              <w:jc w:val="left"/>
              <w:rPr>
                <w:rFonts w:eastAsia="Times New Roman" w:cs="Arial"/>
                <w:b/>
                <w:lang w:val="sr-Latn-RS"/>
              </w:rPr>
            </w:pPr>
            <w:r>
              <w:rPr>
                <w:rFonts w:eastAsia="Times New Roman" w:cs="Arial"/>
                <w:b/>
              </w:rPr>
              <w:t xml:space="preserve">   </w:t>
            </w:r>
            <w:r>
              <w:rPr>
                <w:rFonts w:eastAsia="Times New Roman" w:cs="Arial"/>
                <w:b/>
                <w:lang w:val="sr-Latn-RS"/>
              </w:rPr>
              <w:t>Žene</w:t>
            </w:r>
          </w:p>
          <w:p w:rsidR="00135D51" w:rsidRPr="00135D51" w:rsidRDefault="00135D51" w:rsidP="00135D51">
            <w:pPr>
              <w:spacing w:before="0" w:after="0" w:line="276" w:lineRule="auto"/>
              <w:jc w:val="left"/>
              <w:rPr>
                <w:rFonts w:eastAsia="Times New Roman" w:cs="Arial"/>
                <w:b/>
              </w:rPr>
            </w:pPr>
          </w:p>
        </w:tc>
        <w:tc>
          <w:tcPr>
            <w:tcW w:w="1254" w:type="dxa"/>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209</w:t>
            </w:r>
          </w:p>
        </w:tc>
        <w:tc>
          <w:tcPr>
            <w:tcW w:w="1332" w:type="dxa"/>
          </w:tcPr>
          <w:p w:rsidR="00135D51" w:rsidRPr="00135D51" w:rsidRDefault="00135D51" w:rsidP="00AC0428">
            <w:pPr>
              <w:spacing w:before="0" w:after="0" w:line="276" w:lineRule="auto"/>
              <w:jc w:val="right"/>
              <w:rPr>
                <w:rFonts w:eastAsia="Times New Roman" w:cs="Arial"/>
                <w:b/>
              </w:rPr>
            </w:pPr>
            <w:r w:rsidRPr="00135D51">
              <w:rPr>
                <w:rFonts w:eastAsia="Times New Roman" w:cs="Arial"/>
                <w:b/>
              </w:rPr>
              <w:t>42</w:t>
            </w:r>
            <w:r w:rsidR="00942D3A">
              <w:rPr>
                <w:rFonts w:eastAsia="Times New Roman" w:cs="Arial"/>
                <w:b/>
              </w:rPr>
              <w:t>,</w:t>
            </w:r>
            <w:r w:rsidRPr="00135D51">
              <w:rPr>
                <w:rFonts w:eastAsia="Times New Roman" w:cs="Arial"/>
                <w:b/>
              </w:rPr>
              <w:t>0</w:t>
            </w:r>
          </w:p>
        </w:tc>
      </w:tr>
      <w:tr w:rsidR="00135D51" w:rsidRPr="00135D51" w:rsidTr="00135D51">
        <w:tc>
          <w:tcPr>
            <w:tcW w:w="6990" w:type="dxa"/>
            <w:shd w:val="clear" w:color="auto" w:fill="12D9EE"/>
          </w:tcPr>
          <w:p w:rsidR="00135D51" w:rsidRPr="00A56872" w:rsidRDefault="00A56872" w:rsidP="00135D51">
            <w:pPr>
              <w:spacing w:before="0" w:after="0" w:line="276" w:lineRule="auto"/>
              <w:jc w:val="left"/>
              <w:rPr>
                <w:rFonts w:eastAsia="Times New Roman" w:cs="Arial"/>
                <w:b/>
                <w:lang w:val="sr-Latn-RS"/>
              </w:rPr>
            </w:pPr>
            <w:r>
              <w:rPr>
                <w:rFonts w:eastAsia="Times New Roman" w:cs="Arial"/>
                <w:b/>
                <w:lang w:val="sr-Latn-RS"/>
              </w:rPr>
              <w:t>Ukupan broj</w:t>
            </w:r>
          </w:p>
        </w:tc>
        <w:tc>
          <w:tcPr>
            <w:tcW w:w="1254" w:type="dxa"/>
            <w:shd w:val="clear" w:color="auto" w:fill="12D9EE"/>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496</w:t>
            </w:r>
          </w:p>
        </w:tc>
        <w:tc>
          <w:tcPr>
            <w:tcW w:w="1332" w:type="dxa"/>
            <w:shd w:val="clear" w:color="auto" w:fill="12D9EE"/>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100,0</w:t>
            </w:r>
          </w:p>
        </w:tc>
      </w:tr>
    </w:tbl>
    <w:p w:rsidR="003C103D" w:rsidRPr="003C103D" w:rsidRDefault="003C103D" w:rsidP="00135D51">
      <w:pPr>
        <w:spacing w:before="0" w:after="200" w:line="276" w:lineRule="auto"/>
        <w:jc w:val="left"/>
        <w:rPr>
          <w:rFonts w:eastAsia="Times New Roman" w:cs="Arial"/>
          <w:b/>
        </w:rPr>
      </w:pP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6760"/>
        <w:gridCol w:w="1193"/>
        <w:gridCol w:w="1336"/>
      </w:tblGrid>
      <w:tr w:rsidR="00135D51" w:rsidRPr="00135D51" w:rsidTr="00A56872">
        <w:tc>
          <w:tcPr>
            <w:tcW w:w="6760" w:type="dxa"/>
            <w:shd w:val="clear" w:color="auto" w:fill="12D9EE"/>
          </w:tcPr>
          <w:p w:rsidR="00135D51" w:rsidRDefault="00A56872" w:rsidP="00135D51">
            <w:pPr>
              <w:spacing w:before="0" w:after="0" w:line="276" w:lineRule="auto"/>
              <w:jc w:val="left"/>
              <w:rPr>
                <w:rFonts w:eastAsia="Times New Roman" w:cs="Arial"/>
                <w:b/>
                <w:lang w:val="sr-Latn-RS"/>
              </w:rPr>
            </w:pPr>
            <w:r w:rsidRPr="00A56872">
              <w:rPr>
                <w:rFonts w:eastAsia="Times New Roman" w:cs="Arial"/>
                <w:b/>
              </w:rPr>
              <w:t>Ostali podnosioci pritužbi</w:t>
            </w:r>
          </w:p>
          <w:p w:rsidR="009412A6" w:rsidRPr="009412A6" w:rsidRDefault="009412A6" w:rsidP="00135D51">
            <w:pPr>
              <w:spacing w:before="0" w:after="0" w:line="276" w:lineRule="auto"/>
              <w:jc w:val="left"/>
              <w:rPr>
                <w:rFonts w:eastAsia="Times New Roman" w:cs="Arial"/>
                <w:b/>
                <w:lang w:val="sr-Latn-RS"/>
              </w:rPr>
            </w:pPr>
          </w:p>
        </w:tc>
        <w:tc>
          <w:tcPr>
            <w:tcW w:w="1193" w:type="dxa"/>
            <w:shd w:val="clear" w:color="auto" w:fill="12D9EE"/>
          </w:tcPr>
          <w:p w:rsidR="00135D51" w:rsidRPr="00A56872" w:rsidRDefault="00A56872" w:rsidP="00135D51">
            <w:pPr>
              <w:spacing w:before="0" w:after="0" w:line="276" w:lineRule="auto"/>
              <w:jc w:val="center"/>
              <w:rPr>
                <w:rFonts w:eastAsia="Times New Roman" w:cs="Arial"/>
                <w:b/>
                <w:lang w:val="sr-Latn-RS"/>
              </w:rPr>
            </w:pPr>
            <w:r>
              <w:rPr>
                <w:rFonts w:eastAsia="Times New Roman" w:cs="Arial"/>
                <w:b/>
                <w:lang w:val="sr-Latn-RS"/>
              </w:rPr>
              <w:t>broj</w:t>
            </w:r>
          </w:p>
        </w:tc>
        <w:tc>
          <w:tcPr>
            <w:tcW w:w="1336"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A56872" w:rsidRPr="00135D51" w:rsidTr="00A56872">
        <w:tc>
          <w:tcPr>
            <w:tcW w:w="6760" w:type="dxa"/>
          </w:tcPr>
          <w:p w:rsidR="00A56872" w:rsidRPr="00A56872" w:rsidRDefault="00A56872" w:rsidP="009412A6">
            <w:pPr>
              <w:rPr>
                <w:b/>
              </w:rPr>
            </w:pPr>
            <w:r w:rsidRPr="00A56872">
              <w:rPr>
                <w:b/>
              </w:rPr>
              <w:t>Fizička lica</w:t>
            </w:r>
          </w:p>
        </w:tc>
        <w:tc>
          <w:tcPr>
            <w:tcW w:w="1193" w:type="dxa"/>
          </w:tcPr>
          <w:p w:rsidR="00A56872" w:rsidRPr="00135D51" w:rsidRDefault="00A56872" w:rsidP="00135D51">
            <w:pPr>
              <w:spacing w:before="0" w:after="0" w:line="276" w:lineRule="auto"/>
              <w:jc w:val="right"/>
              <w:rPr>
                <w:rFonts w:eastAsia="Times New Roman" w:cs="Arial"/>
                <w:b/>
              </w:rPr>
            </w:pPr>
            <w:r w:rsidRPr="00135D51">
              <w:rPr>
                <w:rFonts w:eastAsia="Times New Roman" w:cs="Arial"/>
                <w:b/>
              </w:rPr>
              <w:t>496</w:t>
            </w:r>
          </w:p>
        </w:tc>
        <w:tc>
          <w:tcPr>
            <w:tcW w:w="1336" w:type="dxa"/>
          </w:tcPr>
          <w:p w:rsidR="00A56872" w:rsidRPr="00135D51" w:rsidRDefault="00A56872" w:rsidP="00AC0428">
            <w:pPr>
              <w:spacing w:before="0" w:after="0" w:line="276" w:lineRule="auto"/>
              <w:jc w:val="right"/>
              <w:rPr>
                <w:rFonts w:eastAsia="Times New Roman" w:cs="Arial"/>
                <w:b/>
                <w:color w:val="000000"/>
              </w:rPr>
            </w:pPr>
            <w:r w:rsidRPr="00135D51">
              <w:rPr>
                <w:rFonts w:eastAsia="Times New Roman" w:cs="Arial"/>
                <w:b/>
                <w:color w:val="000000"/>
              </w:rPr>
              <w:t>79</w:t>
            </w:r>
            <w:r>
              <w:rPr>
                <w:rFonts w:eastAsia="Times New Roman" w:cs="Arial"/>
                <w:b/>
                <w:color w:val="000000"/>
              </w:rPr>
              <w:t>,</w:t>
            </w:r>
            <w:r w:rsidRPr="00135D51">
              <w:rPr>
                <w:rFonts w:eastAsia="Times New Roman" w:cs="Arial"/>
                <w:b/>
                <w:color w:val="000000"/>
              </w:rPr>
              <w:t>2</w:t>
            </w:r>
          </w:p>
        </w:tc>
      </w:tr>
      <w:tr w:rsidR="00A56872" w:rsidRPr="00135D51" w:rsidTr="00A56872">
        <w:tc>
          <w:tcPr>
            <w:tcW w:w="6760" w:type="dxa"/>
          </w:tcPr>
          <w:p w:rsidR="00A56872" w:rsidRPr="00A56872" w:rsidRDefault="00A56872" w:rsidP="009412A6">
            <w:pPr>
              <w:rPr>
                <w:b/>
              </w:rPr>
            </w:pPr>
            <w:r w:rsidRPr="00A56872">
              <w:rPr>
                <w:b/>
              </w:rPr>
              <w:lastRenderedPageBreak/>
              <w:t>Organizacije</w:t>
            </w:r>
          </w:p>
        </w:tc>
        <w:tc>
          <w:tcPr>
            <w:tcW w:w="1193" w:type="dxa"/>
          </w:tcPr>
          <w:p w:rsidR="00A56872" w:rsidRPr="00135D51" w:rsidRDefault="00A56872" w:rsidP="00135D51">
            <w:pPr>
              <w:spacing w:before="0" w:after="0" w:line="276" w:lineRule="auto"/>
              <w:jc w:val="right"/>
              <w:rPr>
                <w:rFonts w:eastAsia="Times New Roman" w:cs="Arial"/>
                <w:b/>
              </w:rPr>
            </w:pPr>
            <w:r w:rsidRPr="00135D51">
              <w:rPr>
                <w:rFonts w:eastAsia="Times New Roman" w:cs="Arial"/>
                <w:b/>
              </w:rPr>
              <w:t>83</w:t>
            </w:r>
          </w:p>
        </w:tc>
        <w:tc>
          <w:tcPr>
            <w:tcW w:w="1336" w:type="dxa"/>
          </w:tcPr>
          <w:p w:rsidR="00A56872" w:rsidRPr="00135D51" w:rsidRDefault="00A56872" w:rsidP="00AC0428">
            <w:pPr>
              <w:spacing w:before="0" w:after="0" w:line="276" w:lineRule="auto"/>
              <w:jc w:val="right"/>
              <w:rPr>
                <w:rFonts w:eastAsia="Times New Roman" w:cs="Arial"/>
                <w:b/>
                <w:color w:val="000000"/>
              </w:rPr>
            </w:pPr>
            <w:r w:rsidRPr="00135D51">
              <w:rPr>
                <w:rFonts w:eastAsia="Times New Roman" w:cs="Arial"/>
                <w:b/>
                <w:color w:val="000000"/>
              </w:rPr>
              <w:t>13</w:t>
            </w:r>
            <w:r>
              <w:rPr>
                <w:rFonts w:eastAsia="Times New Roman" w:cs="Arial"/>
                <w:b/>
                <w:color w:val="000000"/>
              </w:rPr>
              <w:t>,</w:t>
            </w:r>
            <w:r w:rsidRPr="00135D51">
              <w:rPr>
                <w:rFonts w:eastAsia="Times New Roman" w:cs="Arial"/>
                <w:b/>
                <w:color w:val="000000"/>
              </w:rPr>
              <w:t>3</w:t>
            </w:r>
          </w:p>
        </w:tc>
      </w:tr>
      <w:tr w:rsidR="00A56872" w:rsidRPr="00135D51" w:rsidTr="00A56872">
        <w:tc>
          <w:tcPr>
            <w:tcW w:w="6760" w:type="dxa"/>
          </w:tcPr>
          <w:p w:rsidR="00A56872" w:rsidRPr="00A56872" w:rsidRDefault="00A56872" w:rsidP="009412A6">
            <w:pPr>
              <w:rPr>
                <w:b/>
              </w:rPr>
            </w:pPr>
            <w:r w:rsidRPr="00A56872">
              <w:rPr>
                <w:b/>
              </w:rPr>
              <w:t>Pravna lica</w:t>
            </w:r>
          </w:p>
        </w:tc>
        <w:tc>
          <w:tcPr>
            <w:tcW w:w="1193" w:type="dxa"/>
          </w:tcPr>
          <w:p w:rsidR="00A56872" w:rsidRPr="00135D51" w:rsidRDefault="00A56872" w:rsidP="00135D51">
            <w:pPr>
              <w:spacing w:before="0" w:after="0" w:line="276" w:lineRule="auto"/>
              <w:jc w:val="right"/>
              <w:rPr>
                <w:rFonts w:eastAsia="Times New Roman" w:cs="Arial"/>
                <w:b/>
              </w:rPr>
            </w:pPr>
            <w:r w:rsidRPr="00135D51">
              <w:rPr>
                <w:rFonts w:eastAsia="Times New Roman" w:cs="Arial"/>
                <w:b/>
              </w:rPr>
              <w:t>34</w:t>
            </w:r>
          </w:p>
        </w:tc>
        <w:tc>
          <w:tcPr>
            <w:tcW w:w="1336" w:type="dxa"/>
          </w:tcPr>
          <w:p w:rsidR="00A56872" w:rsidRPr="00135D51" w:rsidRDefault="00A56872" w:rsidP="00AC0428">
            <w:pPr>
              <w:spacing w:before="0" w:after="0" w:line="276" w:lineRule="auto"/>
              <w:jc w:val="right"/>
              <w:rPr>
                <w:rFonts w:eastAsia="Times New Roman" w:cs="Arial"/>
                <w:b/>
                <w:color w:val="000000"/>
              </w:rPr>
            </w:pPr>
            <w:r w:rsidRPr="00135D51">
              <w:rPr>
                <w:rFonts w:eastAsia="Times New Roman" w:cs="Arial"/>
                <w:b/>
                <w:color w:val="000000"/>
              </w:rPr>
              <w:t>5</w:t>
            </w:r>
            <w:r>
              <w:rPr>
                <w:rFonts w:eastAsia="Times New Roman" w:cs="Arial"/>
                <w:b/>
                <w:color w:val="000000"/>
              </w:rPr>
              <w:t>,</w:t>
            </w:r>
            <w:r w:rsidRPr="00135D51">
              <w:rPr>
                <w:rFonts w:eastAsia="Times New Roman" w:cs="Arial"/>
                <w:b/>
                <w:color w:val="000000"/>
              </w:rPr>
              <w:t>4</w:t>
            </w:r>
          </w:p>
        </w:tc>
      </w:tr>
      <w:tr w:rsidR="00A56872" w:rsidRPr="00135D51" w:rsidTr="00A56872">
        <w:tc>
          <w:tcPr>
            <w:tcW w:w="6760" w:type="dxa"/>
          </w:tcPr>
          <w:p w:rsidR="00A56872" w:rsidRPr="00A56872" w:rsidRDefault="00A56872" w:rsidP="009412A6">
            <w:pPr>
              <w:rPr>
                <w:b/>
              </w:rPr>
            </w:pPr>
            <w:r w:rsidRPr="00A56872">
              <w:rPr>
                <w:b/>
              </w:rPr>
              <w:t>Državni organi</w:t>
            </w:r>
          </w:p>
        </w:tc>
        <w:tc>
          <w:tcPr>
            <w:tcW w:w="1193" w:type="dxa"/>
          </w:tcPr>
          <w:p w:rsidR="00A56872" w:rsidRPr="00135D51" w:rsidRDefault="00A56872" w:rsidP="00135D51">
            <w:pPr>
              <w:spacing w:before="0" w:after="0" w:line="276" w:lineRule="auto"/>
              <w:jc w:val="right"/>
              <w:rPr>
                <w:rFonts w:eastAsia="Times New Roman" w:cs="Arial"/>
                <w:b/>
              </w:rPr>
            </w:pPr>
            <w:r w:rsidRPr="00135D51">
              <w:rPr>
                <w:rFonts w:eastAsia="Times New Roman" w:cs="Arial"/>
                <w:b/>
              </w:rPr>
              <w:t>7</w:t>
            </w:r>
          </w:p>
        </w:tc>
        <w:tc>
          <w:tcPr>
            <w:tcW w:w="1336" w:type="dxa"/>
          </w:tcPr>
          <w:p w:rsidR="00A56872" w:rsidRPr="00135D51" w:rsidRDefault="00A56872" w:rsidP="00AC0428">
            <w:pPr>
              <w:spacing w:before="0" w:after="0" w:line="276" w:lineRule="auto"/>
              <w:jc w:val="right"/>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1</w:t>
            </w:r>
          </w:p>
        </w:tc>
      </w:tr>
      <w:tr w:rsidR="00A56872" w:rsidRPr="00135D51" w:rsidTr="00A56872">
        <w:tc>
          <w:tcPr>
            <w:tcW w:w="6760" w:type="dxa"/>
          </w:tcPr>
          <w:p w:rsidR="00A56872" w:rsidRPr="00A56872" w:rsidRDefault="00A56872" w:rsidP="009412A6">
            <w:pPr>
              <w:rPr>
                <w:b/>
              </w:rPr>
            </w:pPr>
            <w:r w:rsidRPr="00A56872">
              <w:rPr>
                <w:b/>
              </w:rPr>
              <w:t>Grupa lica</w:t>
            </w:r>
          </w:p>
        </w:tc>
        <w:tc>
          <w:tcPr>
            <w:tcW w:w="1193" w:type="dxa"/>
          </w:tcPr>
          <w:p w:rsidR="00A56872" w:rsidRPr="00135D51" w:rsidRDefault="00A56872" w:rsidP="00135D51">
            <w:pPr>
              <w:spacing w:before="0" w:after="0" w:line="276" w:lineRule="auto"/>
              <w:jc w:val="right"/>
              <w:rPr>
                <w:rFonts w:eastAsia="Times New Roman" w:cs="Arial"/>
                <w:b/>
              </w:rPr>
            </w:pPr>
            <w:r w:rsidRPr="00135D51">
              <w:rPr>
                <w:rFonts w:eastAsia="Times New Roman" w:cs="Arial"/>
                <w:b/>
              </w:rPr>
              <w:t>6</w:t>
            </w:r>
          </w:p>
        </w:tc>
        <w:tc>
          <w:tcPr>
            <w:tcW w:w="1336" w:type="dxa"/>
          </w:tcPr>
          <w:p w:rsidR="00A56872" w:rsidRPr="00135D51" w:rsidRDefault="00A56872" w:rsidP="00AC0428">
            <w:pPr>
              <w:spacing w:before="0" w:after="0" w:line="276" w:lineRule="auto"/>
              <w:jc w:val="right"/>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0</w:t>
            </w:r>
          </w:p>
        </w:tc>
      </w:tr>
    </w:tbl>
    <w:p w:rsidR="00135D51" w:rsidRPr="00135D51" w:rsidRDefault="00A56872" w:rsidP="003C103D">
      <w:pPr>
        <w:shd w:val="clear" w:color="auto" w:fill="12D9EE"/>
        <w:spacing w:before="0" w:after="200" w:line="276" w:lineRule="auto"/>
        <w:jc w:val="left"/>
        <w:rPr>
          <w:rFonts w:eastAsia="Times New Roman" w:cs="Arial"/>
          <w:b/>
        </w:rPr>
      </w:pPr>
      <w:r w:rsidRPr="00A56872">
        <w:rPr>
          <w:rFonts w:eastAsia="Times New Roman" w:cs="Arial"/>
          <w:b/>
          <w:shd w:val="clear" w:color="auto" w:fill="12D9EE"/>
        </w:rPr>
        <w:t>Ukupan broj podnosilaca pritužbi</w:t>
      </w:r>
      <w:r w:rsidR="00135D51" w:rsidRPr="00135D51">
        <w:rPr>
          <w:rFonts w:eastAsia="Times New Roman" w:cs="Arial"/>
          <w:b/>
          <w:shd w:val="clear" w:color="auto" w:fill="12D9EE"/>
        </w:rPr>
        <w:tab/>
      </w:r>
      <w:r w:rsidR="00135D51" w:rsidRPr="00135D51">
        <w:rPr>
          <w:rFonts w:eastAsia="Times New Roman" w:cs="Arial"/>
          <w:b/>
          <w:shd w:val="clear" w:color="auto" w:fill="12D9EE"/>
        </w:rPr>
        <w:tab/>
      </w:r>
      <w:r w:rsidR="00135D51" w:rsidRPr="00135D51">
        <w:rPr>
          <w:rFonts w:eastAsia="Times New Roman" w:cs="Arial"/>
          <w:b/>
          <w:shd w:val="clear" w:color="auto" w:fill="12D9EE"/>
        </w:rPr>
        <w:tab/>
        <w:t xml:space="preserve">             </w:t>
      </w:r>
      <w:r>
        <w:rPr>
          <w:rFonts w:eastAsia="Times New Roman" w:cs="Arial"/>
          <w:b/>
          <w:shd w:val="clear" w:color="auto" w:fill="12D9EE"/>
          <w:lang w:val="sr-Latn-RS"/>
        </w:rPr>
        <w:t xml:space="preserve">                       </w:t>
      </w:r>
      <w:r w:rsidR="00135D51" w:rsidRPr="00135D51">
        <w:rPr>
          <w:rFonts w:eastAsia="Times New Roman" w:cs="Arial"/>
          <w:b/>
          <w:shd w:val="clear" w:color="auto" w:fill="12D9EE"/>
        </w:rPr>
        <w:t xml:space="preserve"> </w:t>
      </w:r>
      <w:r>
        <w:rPr>
          <w:rFonts w:eastAsia="Times New Roman" w:cs="Arial"/>
          <w:b/>
          <w:shd w:val="clear" w:color="auto" w:fill="12D9EE"/>
          <w:lang w:val="sr-Latn-RS"/>
        </w:rPr>
        <w:t xml:space="preserve"> </w:t>
      </w:r>
      <w:r w:rsidR="00135D51" w:rsidRPr="00135D51">
        <w:rPr>
          <w:rFonts w:eastAsia="Times New Roman" w:cs="Arial"/>
          <w:b/>
          <w:shd w:val="clear" w:color="auto" w:fill="12D9EE"/>
        </w:rPr>
        <w:t>626</w:t>
      </w:r>
      <w:r w:rsidR="00135D51" w:rsidRPr="00135D51">
        <w:rPr>
          <w:rFonts w:eastAsia="Times New Roman" w:cs="Arial"/>
          <w:b/>
          <w:shd w:val="clear" w:color="auto" w:fill="12D9EE"/>
        </w:rPr>
        <w:tab/>
      </w:r>
      <w:r w:rsidR="003C103D" w:rsidRPr="003C103D">
        <w:rPr>
          <w:rFonts w:eastAsia="Times New Roman" w:cs="Arial"/>
          <w:b/>
          <w:shd w:val="clear" w:color="auto" w:fill="12D9EE"/>
        </w:rPr>
        <w:t xml:space="preserve">    </w:t>
      </w:r>
      <w:r>
        <w:rPr>
          <w:rFonts w:eastAsia="Times New Roman" w:cs="Arial"/>
          <w:b/>
          <w:shd w:val="clear" w:color="auto" w:fill="12D9EE"/>
          <w:lang w:val="sr-Latn-RS"/>
        </w:rPr>
        <w:t xml:space="preserve">     10</w:t>
      </w:r>
      <w:r w:rsidR="00135D51" w:rsidRPr="00135D51">
        <w:rPr>
          <w:rFonts w:eastAsia="Times New Roman" w:cs="Arial"/>
          <w:b/>
          <w:shd w:val="clear" w:color="auto" w:fill="12D9EE"/>
        </w:rPr>
        <w:t>0,0</w:t>
      </w:r>
    </w:p>
    <w:p w:rsidR="003C103D" w:rsidRDefault="003C103D" w:rsidP="00135D51">
      <w:pPr>
        <w:spacing w:before="0" w:after="200" w:line="276" w:lineRule="auto"/>
        <w:jc w:val="left"/>
        <w:rPr>
          <w:rFonts w:eastAsia="Times New Roman" w:cs="Arial"/>
          <w:b/>
        </w:rPr>
      </w:pPr>
    </w:p>
    <w:p w:rsidR="003C103D" w:rsidRDefault="003C103D" w:rsidP="00135D51">
      <w:pPr>
        <w:spacing w:before="0" w:after="200" w:line="276" w:lineRule="auto"/>
        <w:jc w:val="left"/>
        <w:rPr>
          <w:rFonts w:eastAsia="Times New Roman" w:cs="Arial"/>
          <w:b/>
        </w:rPr>
      </w:pPr>
    </w:p>
    <w:p w:rsidR="003C103D" w:rsidRPr="003C103D" w:rsidRDefault="003C103D" w:rsidP="00135D51">
      <w:pPr>
        <w:spacing w:before="0" w:after="200" w:line="276" w:lineRule="auto"/>
        <w:jc w:val="left"/>
        <w:rPr>
          <w:rFonts w:eastAsia="Times New Roman" w:cs="Arial"/>
          <w:b/>
          <w:sz w:val="6"/>
        </w:rPr>
      </w:pPr>
    </w:p>
    <w:p w:rsidR="00135D51" w:rsidRPr="00135D51" w:rsidRDefault="009412A6" w:rsidP="00135D51">
      <w:pPr>
        <w:spacing w:before="0" w:after="200" w:line="276" w:lineRule="auto"/>
        <w:jc w:val="left"/>
        <w:outlineLvl w:val="0"/>
        <w:rPr>
          <w:rFonts w:eastAsia="Times New Roman" w:cs="Arial"/>
          <w:b/>
        </w:rPr>
      </w:pPr>
      <w:r w:rsidRPr="009412A6">
        <w:rPr>
          <w:rFonts w:eastAsia="Times New Roman" w:cs="Arial"/>
          <w:b/>
        </w:rPr>
        <w:t>Osnov diskriminacije (lično svojstvo)</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761"/>
        <w:gridCol w:w="1217"/>
        <w:gridCol w:w="1311"/>
      </w:tblGrid>
      <w:tr w:rsidR="00135D51" w:rsidRPr="00135D51" w:rsidTr="009412A6">
        <w:tc>
          <w:tcPr>
            <w:tcW w:w="6761" w:type="dxa"/>
            <w:shd w:val="clear" w:color="auto" w:fill="12D9EE"/>
          </w:tcPr>
          <w:p w:rsidR="00135D51" w:rsidRDefault="009412A6" w:rsidP="00135D51">
            <w:pPr>
              <w:spacing w:before="0" w:after="0" w:line="276" w:lineRule="auto"/>
              <w:jc w:val="left"/>
              <w:rPr>
                <w:rFonts w:eastAsia="Times New Roman" w:cs="Arial"/>
                <w:b/>
                <w:lang w:val="sr-Latn-RS"/>
              </w:rPr>
            </w:pPr>
            <w:r w:rsidRPr="009412A6">
              <w:rPr>
                <w:rFonts w:eastAsia="Times New Roman" w:cs="Arial"/>
                <w:b/>
              </w:rPr>
              <w:t>Pritužbe po osnovu diskriminacije</w:t>
            </w:r>
          </w:p>
          <w:p w:rsidR="009412A6" w:rsidRPr="009412A6" w:rsidRDefault="009412A6" w:rsidP="00135D51">
            <w:pPr>
              <w:spacing w:before="0" w:after="0" w:line="276" w:lineRule="auto"/>
              <w:jc w:val="left"/>
              <w:rPr>
                <w:rFonts w:eastAsia="Times New Roman" w:cs="Arial"/>
                <w:b/>
                <w:lang w:val="sr-Latn-RS"/>
              </w:rPr>
            </w:pPr>
          </w:p>
        </w:tc>
        <w:tc>
          <w:tcPr>
            <w:tcW w:w="1217" w:type="dxa"/>
            <w:shd w:val="clear" w:color="auto" w:fill="12D9EE"/>
          </w:tcPr>
          <w:p w:rsidR="00135D51" w:rsidRPr="009412A6" w:rsidRDefault="009412A6" w:rsidP="00135D51">
            <w:pPr>
              <w:spacing w:before="0" w:after="0" w:line="276" w:lineRule="auto"/>
              <w:jc w:val="center"/>
              <w:rPr>
                <w:rFonts w:eastAsia="Times New Roman" w:cs="Arial"/>
                <w:b/>
                <w:lang w:val="sr-Latn-RS"/>
              </w:rPr>
            </w:pPr>
            <w:r>
              <w:rPr>
                <w:rFonts w:eastAsia="Times New Roman" w:cs="Arial"/>
                <w:b/>
                <w:lang w:val="sr-Latn-RS"/>
              </w:rPr>
              <w:t>broj</w:t>
            </w:r>
          </w:p>
        </w:tc>
        <w:tc>
          <w:tcPr>
            <w:tcW w:w="1311"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9412A6" w:rsidRPr="00135D51" w:rsidTr="009412A6">
        <w:tc>
          <w:tcPr>
            <w:tcW w:w="6761" w:type="dxa"/>
          </w:tcPr>
          <w:p w:rsidR="009412A6" w:rsidRPr="009412A6" w:rsidRDefault="009412A6" w:rsidP="009412A6">
            <w:pPr>
              <w:rPr>
                <w:b/>
              </w:rPr>
            </w:pPr>
            <w:r w:rsidRPr="009412A6">
              <w:rPr>
                <w:b/>
              </w:rPr>
              <w:t>Pritužbe u kojima je navedeno lično svojstvo</w:t>
            </w:r>
          </w:p>
        </w:tc>
        <w:tc>
          <w:tcPr>
            <w:tcW w:w="1217" w:type="dxa"/>
          </w:tcPr>
          <w:p w:rsidR="009412A6" w:rsidRPr="00135D51" w:rsidRDefault="009412A6" w:rsidP="00135D51">
            <w:pPr>
              <w:spacing w:before="0" w:after="0" w:line="276" w:lineRule="auto"/>
              <w:jc w:val="right"/>
              <w:rPr>
                <w:rFonts w:eastAsia="Times New Roman" w:cs="Arial"/>
                <w:b/>
              </w:rPr>
            </w:pPr>
            <w:r w:rsidRPr="00135D51">
              <w:rPr>
                <w:rFonts w:eastAsia="Times New Roman" w:cs="Arial"/>
                <w:b/>
              </w:rPr>
              <w:t>505</w:t>
            </w:r>
          </w:p>
        </w:tc>
        <w:tc>
          <w:tcPr>
            <w:tcW w:w="1311" w:type="dxa"/>
          </w:tcPr>
          <w:p w:rsidR="009412A6" w:rsidRPr="00135D51" w:rsidRDefault="009412A6" w:rsidP="00AC0428">
            <w:pPr>
              <w:spacing w:before="0" w:after="0" w:line="276" w:lineRule="auto"/>
              <w:jc w:val="right"/>
              <w:rPr>
                <w:rFonts w:eastAsia="Times New Roman" w:cs="Arial"/>
                <w:b/>
              </w:rPr>
            </w:pPr>
            <w:r w:rsidRPr="00135D51">
              <w:rPr>
                <w:rFonts w:eastAsia="Times New Roman" w:cs="Arial"/>
                <w:b/>
              </w:rPr>
              <w:t>81</w:t>
            </w:r>
            <w:r>
              <w:rPr>
                <w:rFonts w:eastAsia="Times New Roman" w:cs="Arial"/>
                <w:b/>
              </w:rPr>
              <w:t>,</w:t>
            </w:r>
            <w:r w:rsidRPr="00135D51">
              <w:rPr>
                <w:rFonts w:eastAsia="Times New Roman" w:cs="Arial"/>
                <w:b/>
              </w:rPr>
              <w:t>9</w:t>
            </w:r>
          </w:p>
        </w:tc>
      </w:tr>
      <w:tr w:rsidR="009412A6" w:rsidRPr="00135D51" w:rsidTr="009412A6">
        <w:tc>
          <w:tcPr>
            <w:tcW w:w="6761" w:type="dxa"/>
          </w:tcPr>
          <w:p w:rsidR="009412A6" w:rsidRPr="009412A6" w:rsidRDefault="009412A6" w:rsidP="009412A6">
            <w:pPr>
              <w:rPr>
                <w:b/>
              </w:rPr>
            </w:pPr>
            <w:r w:rsidRPr="009412A6">
              <w:rPr>
                <w:b/>
              </w:rPr>
              <w:t>Pritužbe u kojima nije navedeno lično svojstvo</w:t>
            </w:r>
          </w:p>
        </w:tc>
        <w:tc>
          <w:tcPr>
            <w:tcW w:w="1217" w:type="dxa"/>
          </w:tcPr>
          <w:p w:rsidR="009412A6" w:rsidRPr="00135D51" w:rsidRDefault="009412A6" w:rsidP="00135D51">
            <w:pPr>
              <w:spacing w:before="0" w:after="0" w:line="276" w:lineRule="auto"/>
              <w:jc w:val="right"/>
              <w:rPr>
                <w:rFonts w:eastAsia="Times New Roman" w:cs="Arial"/>
                <w:b/>
              </w:rPr>
            </w:pPr>
            <w:r w:rsidRPr="00135D51">
              <w:rPr>
                <w:rFonts w:eastAsia="Times New Roman" w:cs="Arial"/>
                <w:b/>
              </w:rPr>
              <w:t>121</w:t>
            </w:r>
          </w:p>
        </w:tc>
        <w:tc>
          <w:tcPr>
            <w:tcW w:w="1311" w:type="dxa"/>
          </w:tcPr>
          <w:p w:rsidR="009412A6" w:rsidRPr="00135D51" w:rsidRDefault="009412A6" w:rsidP="00AC0428">
            <w:pPr>
              <w:spacing w:before="0" w:after="0" w:line="276" w:lineRule="auto"/>
              <w:jc w:val="right"/>
              <w:rPr>
                <w:rFonts w:eastAsia="Times New Roman" w:cs="Arial"/>
                <w:b/>
              </w:rPr>
            </w:pPr>
            <w:r w:rsidRPr="00135D51">
              <w:rPr>
                <w:rFonts w:eastAsia="Times New Roman" w:cs="Arial"/>
                <w:b/>
              </w:rPr>
              <w:t>18</w:t>
            </w:r>
            <w:r>
              <w:rPr>
                <w:rFonts w:eastAsia="Times New Roman" w:cs="Arial"/>
                <w:b/>
              </w:rPr>
              <w:t>,</w:t>
            </w:r>
            <w:r w:rsidRPr="00135D51">
              <w:rPr>
                <w:rFonts w:eastAsia="Times New Roman" w:cs="Arial"/>
                <w:b/>
              </w:rPr>
              <w:t>1</w:t>
            </w:r>
          </w:p>
        </w:tc>
      </w:tr>
      <w:tr w:rsidR="009412A6" w:rsidRPr="00135D51" w:rsidTr="009412A6">
        <w:tc>
          <w:tcPr>
            <w:tcW w:w="6761" w:type="dxa"/>
            <w:shd w:val="clear" w:color="auto" w:fill="12D9EE"/>
          </w:tcPr>
          <w:p w:rsidR="009412A6" w:rsidRPr="009412A6" w:rsidRDefault="009412A6" w:rsidP="009412A6">
            <w:pPr>
              <w:rPr>
                <w:b/>
              </w:rPr>
            </w:pPr>
            <w:r w:rsidRPr="009412A6">
              <w:rPr>
                <w:b/>
              </w:rPr>
              <w:t xml:space="preserve">Ukupan broj pritužbi </w:t>
            </w:r>
          </w:p>
        </w:tc>
        <w:tc>
          <w:tcPr>
            <w:tcW w:w="1217" w:type="dxa"/>
            <w:shd w:val="clear" w:color="auto" w:fill="12D9EE"/>
          </w:tcPr>
          <w:p w:rsidR="009412A6" w:rsidRPr="00135D51" w:rsidRDefault="009412A6" w:rsidP="00135D51">
            <w:pPr>
              <w:spacing w:before="0" w:after="0" w:line="276" w:lineRule="auto"/>
              <w:jc w:val="right"/>
              <w:rPr>
                <w:rFonts w:eastAsia="Times New Roman" w:cs="Arial"/>
                <w:b/>
              </w:rPr>
            </w:pPr>
            <w:r w:rsidRPr="00135D51">
              <w:rPr>
                <w:rFonts w:eastAsia="Times New Roman" w:cs="Arial"/>
                <w:b/>
              </w:rPr>
              <w:t>626</w:t>
            </w:r>
          </w:p>
        </w:tc>
        <w:tc>
          <w:tcPr>
            <w:tcW w:w="1311" w:type="dxa"/>
            <w:shd w:val="clear" w:color="auto" w:fill="12D9EE"/>
          </w:tcPr>
          <w:p w:rsidR="009412A6" w:rsidRPr="00135D51" w:rsidRDefault="009412A6" w:rsidP="00AC0428">
            <w:pPr>
              <w:spacing w:before="0" w:after="0" w:line="276" w:lineRule="auto"/>
              <w:jc w:val="right"/>
              <w:rPr>
                <w:rFonts w:eastAsia="Times New Roman" w:cs="Arial"/>
                <w:b/>
              </w:rPr>
            </w:pPr>
            <w:r w:rsidRPr="00135D51">
              <w:rPr>
                <w:rFonts w:eastAsia="Times New Roman" w:cs="Arial"/>
                <w:b/>
              </w:rPr>
              <w:t>100</w:t>
            </w:r>
            <w:r>
              <w:rPr>
                <w:rFonts w:eastAsia="Times New Roman" w:cs="Arial"/>
                <w:b/>
              </w:rPr>
              <w:t>,</w:t>
            </w:r>
            <w:r w:rsidRPr="00135D51">
              <w:rPr>
                <w:rFonts w:eastAsia="Times New Roman" w:cs="Arial"/>
                <w:b/>
              </w:rPr>
              <w:t>0</w:t>
            </w:r>
          </w:p>
        </w:tc>
      </w:tr>
    </w:tbl>
    <w:p w:rsidR="00135D51" w:rsidRPr="00135D51" w:rsidRDefault="00135D51" w:rsidP="00135D51">
      <w:pPr>
        <w:spacing w:before="0" w:after="200" w:line="276" w:lineRule="auto"/>
        <w:jc w:val="left"/>
        <w:rPr>
          <w:rFonts w:eastAsia="Times New Roman" w:cs="Arial"/>
          <w:b/>
        </w:rPr>
      </w:pPr>
    </w:p>
    <w:p w:rsidR="00135D51" w:rsidRDefault="00135D51" w:rsidP="00135D51">
      <w:pPr>
        <w:spacing w:before="0" w:after="200" w:line="276" w:lineRule="auto"/>
        <w:jc w:val="left"/>
        <w:rPr>
          <w:rFonts w:eastAsia="Times New Roman" w:cs="Arial"/>
          <w:b/>
          <w:lang w:val="sr-Latn-RS"/>
        </w:rPr>
      </w:pPr>
    </w:p>
    <w:p w:rsidR="009E22CC" w:rsidRDefault="009E22CC" w:rsidP="00135D51">
      <w:pPr>
        <w:spacing w:before="0" w:after="200" w:line="276" w:lineRule="auto"/>
        <w:jc w:val="left"/>
        <w:rPr>
          <w:rFonts w:eastAsia="Times New Roman" w:cs="Arial"/>
          <w:b/>
          <w:lang w:val="sr-Latn-RS"/>
        </w:rPr>
      </w:pPr>
    </w:p>
    <w:p w:rsidR="009E22CC" w:rsidRPr="009E22CC" w:rsidRDefault="009E22CC" w:rsidP="00135D51">
      <w:pPr>
        <w:spacing w:before="0" w:after="200" w:line="276" w:lineRule="auto"/>
        <w:jc w:val="left"/>
        <w:rPr>
          <w:rFonts w:eastAsia="Times New Roman" w:cs="Arial"/>
          <w:b/>
          <w:lang w:val="sr-Latn-RS"/>
        </w:rPr>
      </w:pPr>
    </w:p>
    <w:p w:rsidR="009412A6" w:rsidRPr="00135D51" w:rsidRDefault="009412A6" w:rsidP="009412A6">
      <w:pPr>
        <w:spacing w:before="0" w:after="200" w:line="276" w:lineRule="auto"/>
        <w:jc w:val="left"/>
        <w:outlineLvl w:val="0"/>
        <w:rPr>
          <w:rFonts w:eastAsia="Times New Roman" w:cs="Arial"/>
          <w:b/>
        </w:rPr>
      </w:pPr>
      <w:r w:rsidRPr="009412A6">
        <w:rPr>
          <w:rFonts w:eastAsia="Times New Roman" w:cs="Arial"/>
          <w:b/>
        </w:rPr>
        <w:t>Osnov diskriminacije (lično svojstvo)</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967"/>
        <w:gridCol w:w="1322"/>
      </w:tblGrid>
      <w:tr w:rsidR="009412A6" w:rsidRPr="00135D51" w:rsidTr="009412A6">
        <w:tc>
          <w:tcPr>
            <w:tcW w:w="7967" w:type="dxa"/>
            <w:shd w:val="clear" w:color="auto" w:fill="12D9EE"/>
          </w:tcPr>
          <w:p w:rsidR="009412A6" w:rsidRPr="009412A6" w:rsidRDefault="009412A6" w:rsidP="009412A6">
            <w:pPr>
              <w:rPr>
                <w:b/>
              </w:rPr>
            </w:pPr>
            <w:r w:rsidRPr="009412A6">
              <w:rPr>
                <w:b/>
              </w:rPr>
              <w:t>Pritužbe po osnovu diskriminacije</w:t>
            </w:r>
          </w:p>
        </w:tc>
        <w:tc>
          <w:tcPr>
            <w:tcW w:w="1322" w:type="dxa"/>
            <w:shd w:val="clear" w:color="auto" w:fill="12D9EE"/>
          </w:tcPr>
          <w:p w:rsidR="009412A6" w:rsidRPr="00135D51" w:rsidRDefault="009412A6" w:rsidP="00135D51">
            <w:pPr>
              <w:spacing w:before="0" w:after="0" w:line="276" w:lineRule="auto"/>
              <w:jc w:val="center"/>
              <w:rPr>
                <w:rFonts w:eastAsia="Times New Roman" w:cs="Arial"/>
                <w:b/>
              </w:rPr>
            </w:pPr>
            <w:r>
              <w:rPr>
                <w:rFonts w:eastAsia="Times New Roman" w:cs="Arial"/>
                <w:b/>
                <w:lang w:val="sr-Latn-RS"/>
              </w:rPr>
              <w:t>broj</w:t>
            </w:r>
          </w:p>
        </w:tc>
      </w:tr>
      <w:tr w:rsidR="009412A6" w:rsidRPr="00135D51" w:rsidTr="009412A6">
        <w:tc>
          <w:tcPr>
            <w:tcW w:w="7967" w:type="dxa"/>
          </w:tcPr>
          <w:p w:rsidR="009412A6" w:rsidRPr="009412A6" w:rsidRDefault="009412A6" w:rsidP="009412A6">
            <w:pPr>
              <w:rPr>
                <w:b/>
              </w:rPr>
            </w:pPr>
            <w:r w:rsidRPr="009412A6">
              <w:rPr>
                <w:b/>
              </w:rPr>
              <w:t>Pritužbe u kojima je navedeno jedno lično svojstvo</w:t>
            </w:r>
          </w:p>
        </w:tc>
        <w:tc>
          <w:tcPr>
            <w:tcW w:w="1322" w:type="dxa"/>
          </w:tcPr>
          <w:p w:rsidR="009412A6" w:rsidRPr="00135D51" w:rsidRDefault="009412A6" w:rsidP="00135D51">
            <w:pPr>
              <w:spacing w:before="0" w:after="0" w:line="276" w:lineRule="auto"/>
              <w:jc w:val="right"/>
              <w:rPr>
                <w:rFonts w:eastAsia="Times New Roman" w:cs="Arial"/>
                <w:b/>
                <w:color w:val="000000"/>
              </w:rPr>
            </w:pPr>
            <w:r w:rsidRPr="00135D51">
              <w:rPr>
                <w:rFonts w:eastAsia="Times New Roman" w:cs="Arial"/>
                <w:b/>
                <w:color w:val="000000"/>
              </w:rPr>
              <w:t>403</w:t>
            </w:r>
          </w:p>
        </w:tc>
      </w:tr>
      <w:tr w:rsidR="009412A6" w:rsidRPr="00135D51" w:rsidTr="009412A6">
        <w:tc>
          <w:tcPr>
            <w:tcW w:w="7967" w:type="dxa"/>
          </w:tcPr>
          <w:p w:rsidR="009412A6" w:rsidRPr="009412A6" w:rsidRDefault="009412A6" w:rsidP="009412A6">
            <w:pPr>
              <w:rPr>
                <w:b/>
              </w:rPr>
            </w:pPr>
            <w:r w:rsidRPr="009412A6">
              <w:rPr>
                <w:b/>
              </w:rPr>
              <w:t>Pritužbe u kojima je navedeno više ličnih svojstava</w:t>
            </w:r>
          </w:p>
        </w:tc>
        <w:tc>
          <w:tcPr>
            <w:tcW w:w="1322" w:type="dxa"/>
          </w:tcPr>
          <w:p w:rsidR="009412A6" w:rsidRPr="00135D51" w:rsidRDefault="009412A6" w:rsidP="00135D51">
            <w:pPr>
              <w:spacing w:before="0" w:after="0" w:line="276" w:lineRule="auto"/>
              <w:jc w:val="right"/>
              <w:rPr>
                <w:rFonts w:eastAsia="Times New Roman" w:cs="Arial"/>
                <w:b/>
              </w:rPr>
            </w:pPr>
            <w:r w:rsidRPr="00135D51">
              <w:rPr>
                <w:rFonts w:eastAsia="Times New Roman" w:cs="Arial"/>
                <w:b/>
              </w:rPr>
              <w:t>102</w:t>
            </w:r>
          </w:p>
        </w:tc>
      </w:tr>
      <w:tr w:rsidR="009412A6" w:rsidRPr="00135D51" w:rsidTr="009412A6">
        <w:tc>
          <w:tcPr>
            <w:tcW w:w="7967" w:type="dxa"/>
            <w:shd w:val="clear" w:color="auto" w:fill="12D9EE"/>
          </w:tcPr>
          <w:p w:rsidR="009412A6" w:rsidRPr="009412A6" w:rsidRDefault="009412A6" w:rsidP="009412A6">
            <w:pPr>
              <w:rPr>
                <w:b/>
              </w:rPr>
            </w:pPr>
            <w:r w:rsidRPr="009412A6">
              <w:rPr>
                <w:b/>
              </w:rPr>
              <w:t>Ukupan broj pritužbi u kojima je navedeno lično svojstvo</w:t>
            </w:r>
          </w:p>
        </w:tc>
        <w:tc>
          <w:tcPr>
            <w:tcW w:w="1322" w:type="dxa"/>
            <w:shd w:val="clear" w:color="auto" w:fill="12D9EE"/>
          </w:tcPr>
          <w:p w:rsidR="009412A6" w:rsidRPr="00135D51" w:rsidRDefault="009412A6" w:rsidP="00135D51">
            <w:pPr>
              <w:spacing w:before="0" w:after="0" w:line="276" w:lineRule="auto"/>
              <w:jc w:val="right"/>
              <w:rPr>
                <w:rFonts w:eastAsia="Times New Roman" w:cs="Arial"/>
                <w:b/>
              </w:rPr>
            </w:pPr>
            <w:r w:rsidRPr="00135D51">
              <w:rPr>
                <w:rFonts w:eastAsia="Times New Roman" w:cs="Arial"/>
                <w:b/>
              </w:rPr>
              <w:t xml:space="preserve">   505</w:t>
            </w:r>
          </w:p>
        </w:tc>
      </w:tr>
    </w:tbl>
    <w:p w:rsidR="00135D51" w:rsidRDefault="00135D51" w:rsidP="00135D51">
      <w:pPr>
        <w:spacing w:before="0" w:after="200" w:line="276" w:lineRule="auto"/>
        <w:jc w:val="left"/>
        <w:rPr>
          <w:rFonts w:eastAsia="Times New Roman" w:cs="Arial"/>
          <w:b/>
          <w:lang w:val="sr-Latn-RS"/>
        </w:rPr>
      </w:pPr>
    </w:p>
    <w:p w:rsidR="003C103D" w:rsidRDefault="003C103D" w:rsidP="00135D51">
      <w:pPr>
        <w:spacing w:before="0" w:after="200" w:line="276" w:lineRule="auto"/>
        <w:jc w:val="left"/>
        <w:rPr>
          <w:rFonts w:eastAsia="Times New Roman" w:cs="Arial"/>
          <w:b/>
        </w:rPr>
      </w:pPr>
    </w:p>
    <w:p w:rsidR="005F7F91" w:rsidRPr="003C103D" w:rsidRDefault="005F7F91" w:rsidP="00135D51">
      <w:pPr>
        <w:spacing w:before="0" w:after="200" w:line="276" w:lineRule="auto"/>
        <w:jc w:val="left"/>
        <w:rPr>
          <w:rFonts w:eastAsia="Times New Roman" w:cs="Arial"/>
          <w:b/>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804"/>
        <w:gridCol w:w="1145"/>
        <w:gridCol w:w="1340"/>
      </w:tblGrid>
      <w:tr w:rsidR="00135D51" w:rsidRPr="00135D51" w:rsidTr="009412A6">
        <w:tc>
          <w:tcPr>
            <w:tcW w:w="6804" w:type="dxa"/>
            <w:shd w:val="clear" w:color="auto" w:fill="12D9EE"/>
          </w:tcPr>
          <w:p w:rsidR="00135D51" w:rsidRDefault="009412A6" w:rsidP="00135D51">
            <w:pPr>
              <w:spacing w:before="0" w:after="0" w:line="276" w:lineRule="auto"/>
              <w:jc w:val="left"/>
              <w:rPr>
                <w:rFonts w:eastAsia="Times New Roman" w:cs="Arial"/>
                <w:b/>
                <w:lang w:val="sr-Latn-RS"/>
              </w:rPr>
            </w:pPr>
            <w:r w:rsidRPr="009412A6">
              <w:rPr>
                <w:rFonts w:eastAsia="Times New Roman" w:cs="Arial"/>
                <w:b/>
              </w:rPr>
              <w:lastRenderedPageBreak/>
              <w:t>Pritužbe u kojima je navedeno lično svojstvo</w:t>
            </w:r>
          </w:p>
          <w:p w:rsidR="009412A6" w:rsidRPr="009412A6" w:rsidRDefault="009412A6" w:rsidP="00135D51">
            <w:pPr>
              <w:spacing w:before="0" w:after="0" w:line="276" w:lineRule="auto"/>
              <w:jc w:val="left"/>
              <w:rPr>
                <w:rFonts w:eastAsia="Times New Roman" w:cs="Arial"/>
                <w:b/>
                <w:lang w:val="sr-Latn-RS"/>
              </w:rPr>
            </w:pPr>
          </w:p>
        </w:tc>
        <w:tc>
          <w:tcPr>
            <w:tcW w:w="1145" w:type="dxa"/>
            <w:shd w:val="clear" w:color="auto" w:fill="12D9EE"/>
          </w:tcPr>
          <w:p w:rsidR="00135D51" w:rsidRPr="009412A6" w:rsidRDefault="009412A6" w:rsidP="00135D51">
            <w:pPr>
              <w:spacing w:before="0" w:after="0" w:line="276" w:lineRule="auto"/>
              <w:jc w:val="center"/>
              <w:rPr>
                <w:rFonts w:eastAsia="Times New Roman" w:cs="Arial"/>
                <w:b/>
                <w:lang w:val="sr-Latn-RS"/>
              </w:rPr>
            </w:pPr>
            <w:r>
              <w:rPr>
                <w:rFonts w:eastAsia="Times New Roman" w:cs="Arial"/>
                <w:b/>
                <w:lang w:val="sr-Latn-RS"/>
              </w:rPr>
              <w:t>broj</w:t>
            </w:r>
          </w:p>
        </w:tc>
        <w:tc>
          <w:tcPr>
            <w:tcW w:w="1340"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9412A6" w:rsidRPr="00135D51" w:rsidTr="009E22CC">
        <w:trPr>
          <w:trHeight w:hRule="exact" w:val="397"/>
        </w:trPr>
        <w:tc>
          <w:tcPr>
            <w:tcW w:w="6804" w:type="dxa"/>
          </w:tcPr>
          <w:p w:rsidR="009412A6" w:rsidRPr="009412A6" w:rsidRDefault="009412A6" w:rsidP="009412A6">
            <w:pPr>
              <w:rPr>
                <w:b/>
              </w:rPr>
            </w:pPr>
            <w:r w:rsidRPr="009412A6">
              <w:rPr>
                <w:b/>
              </w:rPr>
              <w:t>Invaliditet</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82</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12</w:t>
            </w:r>
            <w:r>
              <w:rPr>
                <w:rFonts w:eastAsia="Times New Roman" w:cs="Arial"/>
                <w:b/>
                <w:color w:val="000000"/>
              </w:rPr>
              <w:t>,</w:t>
            </w:r>
            <w:r w:rsidRPr="00135D51">
              <w:rPr>
                <w:rFonts w:eastAsia="Times New Roman" w:cs="Arial"/>
                <w:b/>
                <w:color w:val="000000"/>
              </w:rPr>
              <w:t>9</w:t>
            </w:r>
          </w:p>
        </w:tc>
      </w:tr>
      <w:tr w:rsidR="009412A6" w:rsidRPr="00135D51" w:rsidTr="009E22CC">
        <w:trPr>
          <w:trHeight w:hRule="exact" w:val="397"/>
        </w:trPr>
        <w:tc>
          <w:tcPr>
            <w:tcW w:w="6804" w:type="dxa"/>
          </w:tcPr>
          <w:p w:rsidR="009412A6" w:rsidRPr="009412A6" w:rsidRDefault="009412A6" w:rsidP="009412A6">
            <w:pPr>
              <w:rPr>
                <w:b/>
              </w:rPr>
            </w:pPr>
            <w:r w:rsidRPr="009412A6">
              <w:rPr>
                <w:b/>
              </w:rPr>
              <w:t>Pol</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82</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12</w:t>
            </w:r>
            <w:r>
              <w:rPr>
                <w:rFonts w:eastAsia="Times New Roman" w:cs="Arial"/>
                <w:b/>
                <w:color w:val="000000"/>
              </w:rPr>
              <w:t>,</w:t>
            </w:r>
            <w:r w:rsidRPr="00135D51">
              <w:rPr>
                <w:rFonts w:eastAsia="Times New Roman" w:cs="Arial"/>
                <w:b/>
                <w:color w:val="000000"/>
              </w:rPr>
              <w:t>9</w:t>
            </w:r>
          </w:p>
        </w:tc>
      </w:tr>
      <w:tr w:rsidR="009412A6" w:rsidRPr="00135D51" w:rsidTr="009E22CC">
        <w:trPr>
          <w:trHeight w:hRule="exact" w:val="397"/>
        </w:trPr>
        <w:tc>
          <w:tcPr>
            <w:tcW w:w="6804" w:type="dxa"/>
          </w:tcPr>
          <w:p w:rsidR="009412A6" w:rsidRPr="009412A6" w:rsidRDefault="009412A6" w:rsidP="009412A6">
            <w:pPr>
              <w:rPr>
                <w:b/>
              </w:rPr>
            </w:pPr>
            <w:r w:rsidRPr="009412A6">
              <w:rPr>
                <w:b/>
              </w:rPr>
              <w:t>Starosno doba</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75</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11</w:t>
            </w:r>
            <w:r>
              <w:rPr>
                <w:rFonts w:eastAsia="Times New Roman" w:cs="Arial"/>
                <w:b/>
                <w:color w:val="000000"/>
              </w:rPr>
              <w:t>,</w:t>
            </w:r>
            <w:r w:rsidRPr="00135D51">
              <w:rPr>
                <w:rFonts w:eastAsia="Times New Roman" w:cs="Arial"/>
                <w:b/>
                <w:color w:val="000000"/>
              </w:rPr>
              <w:t>8</w:t>
            </w:r>
          </w:p>
        </w:tc>
      </w:tr>
      <w:tr w:rsidR="009412A6" w:rsidRPr="00135D51" w:rsidTr="009E22CC">
        <w:trPr>
          <w:trHeight w:hRule="exact" w:val="397"/>
        </w:trPr>
        <w:tc>
          <w:tcPr>
            <w:tcW w:w="6804" w:type="dxa"/>
          </w:tcPr>
          <w:p w:rsidR="009412A6" w:rsidRPr="009412A6" w:rsidRDefault="009412A6" w:rsidP="009412A6">
            <w:pPr>
              <w:rPr>
                <w:b/>
              </w:rPr>
            </w:pPr>
            <w:r w:rsidRPr="009412A6">
              <w:rPr>
                <w:b/>
              </w:rPr>
              <w:t>Nacionalna pripadnost ili etničko poreklo</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60</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9</w:t>
            </w:r>
            <w:r>
              <w:rPr>
                <w:rFonts w:eastAsia="Times New Roman" w:cs="Arial"/>
                <w:b/>
                <w:color w:val="000000"/>
              </w:rPr>
              <w:t>,</w:t>
            </w:r>
            <w:r w:rsidRPr="00135D51">
              <w:rPr>
                <w:rFonts w:eastAsia="Times New Roman" w:cs="Arial"/>
                <w:b/>
                <w:color w:val="000000"/>
              </w:rPr>
              <w:t>4</w:t>
            </w:r>
          </w:p>
        </w:tc>
      </w:tr>
      <w:tr w:rsidR="009412A6" w:rsidRPr="00135D51" w:rsidTr="009E22CC">
        <w:trPr>
          <w:trHeight w:hRule="exact" w:val="397"/>
        </w:trPr>
        <w:tc>
          <w:tcPr>
            <w:tcW w:w="6804" w:type="dxa"/>
          </w:tcPr>
          <w:p w:rsidR="009412A6" w:rsidRPr="009412A6" w:rsidRDefault="009412A6" w:rsidP="009412A6">
            <w:pPr>
              <w:rPr>
                <w:b/>
              </w:rPr>
            </w:pPr>
            <w:r w:rsidRPr="009412A6">
              <w:rPr>
                <w:b/>
              </w:rPr>
              <w:t>Zdravstveno stanje</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55</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8</w:t>
            </w:r>
            <w:r>
              <w:rPr>
                <w:rFonts w:eastAsia="Times New Roman" w:cs="Arial"/>
                <w:b/>
                <w:color w:val="000000"/>
              </w:rPr>
              <w:t>,</w:t>
            </w:r>
            <w:r w:rsidRPr="00135D51">
              <w:rPr>
                <w:rFonts w:eastAsia="Times New Roman" w:cs="Arial"/>
                <w:b/>
                <w:color w:val="000000"/>
              </w:rPr>
              <w:t>6</w:t>
            </w:r>
          </w:p>
        </w:tc>
      </w:tr>
      <w:tr w:rsidR="009412A6" w:rsidRPr="00135D51" w:rsidTr="009E22CC">
        <w:trPr>
          <w:trHeight w:hRule="exact" w:val="397"/>
        </w:trPr>
        <w:tc>
          <w:tcPr>
            <w:tcW w:w="6804" w:type="dxa"/>
          </w:tcPr>
          <w:p w:rsidR="009412A6" w:rsidRPr="009412A6" w:rsidRDefault="009412A6" w:rsidP="009412A6">
            <w:pPr>
              <w:rPr>
                <w:b/>
              </w:rPr>
            </w:pPr>
            <w:r w:rsidRPr="009412A6">
              <w:rPr>
                <w:b/>
              </w:rPr>
              <w:t>Bračni i porodični status</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52</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8</w:t>
            </w:r>
            <w:r>
              <w:rPr>
                <w:rFonts w:eastAsia="Times New Roman" w:cs="Arial"/>
                <w:b/>
                <w:color w:val="000000"/>
              </w:rPr>
              <w:t>,</w:t>
            </w:r>
            <w:r w:rsidRPr="00135D51">
              <w:rPr>
                <w:rFonts w:eastAsia="Times New Roman" w:cs="Arial"/>
                <w:b/>
                <w:color w:val="000000"/>
              </w:rPr>
              <w:t>2</w:t>
            </w:r>
          </w:p>
        </w:tc>
      </w:tr>
      <w:tr w:rsidR="009412A6" w:rsidRPr="00135D51" w:rsidTr="009E22CC">
        <w:trPr>
          <w:trHeight w:hRule="exact" w:val="397"/>
        </w:trPr>
        <w:tc>
          <w:tcPr>
            <w:tcW w:w="6804" w:type="dxa"/>
          </w:tcPr>
          <w:p w:rsidR="009412A6" w:rsidRPr="009412A6" w:rsidRDefault="009412A6" w:rsidP="009412A6">
            <w:pPr>
              <w:rPr>
                <w:b/>
              </w:rPr>
            </w:pPr>
            <w:r w:rsidRPr="009412A6">
              <w:rPr>
                <w:b/>
              </w:rPr>
              <w:t>Članstvo u političkim, sindikalnim i drugim organizacijama</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49</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7</w:t>
            </w:r>
            <w:r>
              <w:rPr>
                <w:rFonts w:eastAsia="Times New Roman" w:cs="Arial"/>
                <w:b/>
                <w:color w:val="000000"/>
              </w:rPr>
              <w:t>,</w:t>
            </w:r>
            <w:r w:rsidRPr="00135D51">
              <w:rPr>
                <w:rFonts w:eastAsia="Times New Roman" w:cs="Arial"/>
                <w:b/>
                <w:color w:val="000000"/>
              </w:rPr>
              <w:t>7</w:t>
            </w:r>
          </w:p>
        </w:tc>
      </w:tr>
      <w:tr w:rsidR="009412A6" w:rsidRPr="00135D51" w:rsidTr="009E22CC">
        <w:trPr>
          <w:trHeight w:hRule="exact" w:val="397"/>
        </w:trPr>
        <w:tc>
          <w:tcPr>
            <w:tcW w:w="6804" w:type="dxa"/>
          </w:tcPr>
          <w:p w:rsidR="009412A6" w:rsidRPr="009412A6" w:rsidRDefault="009412A6" w:rsidP="009412A6">
            <w:pPr>
              <w:rPr>
                <w:b/>
              </w:rPr>
            </w:pPr>
            <w:r w:rsidRPr="009412A6">
              <w:rPr>
                <w:b/>
              </w:rPr>
              <w:t>Imovno stanje</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36</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5</w:t>
            </w:r>
            <w:r>
              <w:rPr>
                <w:rFonts w:eastAsia="Times New Roman" w:cs="Arial"/>
                <w:b/>
                <w:color w:val="000000"/>
              </w:rPr>
              <w:t>,</w:t>
            </w:r>
            <w:r w:rsidRPr="00135D51">
              <w:rPr>
                <w:rFonts w:eastAsia="Times New Roman" w:cs="Arial"/>
                <w:b/>
                <w:color w:val="000000"/>
              </w:rPr>
              <w:t>7</w:t>
            </w:r>
          </w:p>
        </w:tc>
      </w:tr>
      <w:tr w:rsidR="009412A6" w:rsidRPr="00135D51" w:rsidTr="009E22CC">
        <w:trPr>
          <w:trHeight w:hRule="exact" w:val="397"/>
        </w:trPr>
        <w:tc>
          <w:tcPr>
            <w:tcW w:w="6804" w:type="dxa"/>
          </w:tcPr>
          <w:p w:rsidR="009412A6" w:rsidRPr="009412A6" w:rsidRDefault="009412A6" w:rsidP="009412A6">
            <w:pPr>
              <w:rPr>
                <w:b/>
              </w:rPr>
            </w:pPr>
            <w:r w:rsidRPr="009412A6">
              <w:rPr>
                <w:b/>
              </w:rPr>
              <w:t>Neko drugo lično svojstvo</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31</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4</w:t>
            </w:r>
            <w:r>
              <w:rPr>
                <w:rFonts w:eastAsia="Times New Roman" w:cs="Arial"/>
                <w:b/>
                <w:color w:val="000000"/>
              </w:rPr>
              <w:t>,</w:t>
            </w:r>
            <w:r w:rsidRPr="00135D51">
              <w:rPr>
                <w:rFonts w:eastAsia="Times New Roman" w:cs="Arial"/>
                <w:b/>
                <w:color w:val="000000"/>
              </w:rPr>
              <w:t>9</w:t>
            </w:r>
          </w:p>
        </w:tc>
      </w:tr>
      <w:tr w:rsidR="009412A6" w:rsidRPr="00135D51" w:rsidTr="009E22CC">
        <w:trPr>
          <w:trHeight w:hRule="exact" w:val="397"/>
        </w:trPr>
        <w:tc>
          <w:tcPr>
            <w:tcW w:w="6804" w:type="dxa"/>
          </w:tcPr>
          <w:p w:rsidR="009412A6" w:rsidRPr="009412A6" w:rsidRDefault="009412A6" w:rsidP="009412A6">
            <w:pPr>
              <w:rPr>
                <w:b/>
              </w:rPr>
            </w:pPr>
            <w:r w:rsidRPr="009412A6">
              <w:rPr>
                <w:b/>
              </w:rPr>
              <w:t>Verska ili politička ubeđenja</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29</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4</w:t>
            </w:r>
            <w:r>
              <w:rPr>
                <w:rFonts w:eastAsia="Times New Roman" w:cs="Arial"/>
                <w:b/>
                <w:color w:val="000000"/>
              </w:rPr>
              <w:t>,</w:t>
            </w:r>
            <w:r w:rsidRPr="00135D51">
              <w:rPr>
                <w:rFonts w:eastAsia="Times New Roman" w:cs="Arial"/>
                <w:b/>
                <w:color w:val="000000"/>
              </w:rPr>
              <w:t>6</w:t>
            </w:r>
          </w:p>
        </w:tc>
      </w:tr>
      <w:tr w:rsidR="009412A6" w:rsidRPr="00135D51" w:rsidTr="009E22CC">
        <w:trPr>
          <w:trHeight w:hRule="exact" w:val="397"/>
        </w:trPr>
        <w:tc>
          <w:tcPr>
            <w:tcW w:w="6804" w:type="dxa"/>
          </w:tcPr>
          <w:p w:rsidR="009412A6" w:rsidRPr="009412A6" w:rsidRDefault="009412A6" w:rsidP="009412A6">
            <w:pPr>
              <w:rPr>
                <w:b/>
              </w:rPr>
            </w:pPr>
            <w:r w:rsidRPr="009412A6">
              <w:rPr>
                <w:b/>
              </w:rPr>
              <w:t>Seksualna orijentacija</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26</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4</w:t>
            </w:r>
            <w:r>
              <w:rPr>
                <w:rFonts w:eastAsia="Times New Roman" w:cs="Arial"/>
                <w:b/>
                <w:color w:val="000000"/>
              </w:rPr>
              <w:t>,</w:t>
            </w:r>
            <w:r w:rsidRPr="00135D51">
              <w:rPr>
                <w:rFonts w:eastAsia="Times New Roman" w:cs="Arial"/>
                <w:b/>
                <w:color w:val="000000"/>
              </w:rPr>
              <w:t>1</w:t>
            </w:r>
          </w:p>
        </w:tc>
      </w:tr>
      <w:tr w:rsidR="009412A6" w:rsidRPr="00135D51" w:rsidTr="009E22CC">
        <w:trPr>
          <w:trHeight w:hRule="exact" w:val="397"/>
        </w:trPr>
        <w:tc>
          <w:tcPr>
            <w:tcW w:w="6804" w:type="dxa"/>
          </w:tcPr>
          <w:p w:rsidR="009412A6" w:rsidRPr="009412A6" w:rsidRDefault="009412A6" w:rsidP="009412A6">
            <w:pPr>
              <w:rPr>
                <w:b/>
              </w:rPr>
            </w:pPr>
            <w:r w:rsidRPr="009412A6">
              <w:rPr>
                <w:b/>
              </w:rPr>
              <w:t>Osuđivanost</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18</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2</w:t>
            </w:r>
            <w:r>
              <w:rPr>
                <w:rFonts w:eastAsia="Times New Roman" w:cs="Arial"/>
                <w:b/>
                <w:color w:val="000000"/>
              </w:rPr>
              <w:t>,</w:t>
            </w:r>
            <w:r w:rsidRPr="00135D51">
              <w:rPr>
                <w:rFonts w:eastAsia="Times New Roman" w:cs="Arial"/>
                <w:b/>
                <w:color w:val="000000"/>
              </w:rPr>
              <w:t>8</w:t>
            </w:r>
          </w:p>
        </w:tc>
      </w:tr>
      <w:tr w:rsidR="009412A6" w:rsidRPr="00135D51" w:rsidTr="009E22CC">
        <w:trPr>
          <w:trHeight w:hRule="exact" w:val="397"/>
        </w:trPr>
        <w:tc>
          <w:tcPr>
            <w:tcW w:w="6804" w:type="dxa"/>
          </w:tcPr>
          <w:p w:rsidR="009412A6" w:rsidRPr="009412A6" w:rsidRDefault="009412A6" w:rsidP="009412A6">
            <w:pPr>
              <w:rPr>
                <w:b/>
              </w:rPr>
            </w:pPr>
            <w:r w:rsidRPr="009412A6">
              <w:rPr>
                <w:b/>
              </w:rPr>
              <w:t>Državljanstvo</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6</w:t>
            </w:r>
          </w:p>
        </w:tc>
      </w:tr>
      <w:tr w:rsidR="009412A6" w:rsidRPr="00135D51" w:rsidTr="009E22CC">
        <w:trPr>
          <w:trHeight w:hRule="exact" w:val="397"/>
        </w:trPr>
        <w:tc>
          <w:tcPr>
            <w:tcW w:w="6804" w:type="dxa"/>
          </w:tcPr>
          <w:p w:rsidR="009412A6" w:rsidRPr="009412A6" w:rsidRDefault="009412A6" w:rsidP="009412A6">
            <w:pPr>
              <w:rPr>
                <w:b/>
              </w:rPr>
            </w:pPr>
            <w:r w:rsidRPr="009412A6">
              <w:rPr>
                <w:b/>
              </w:rPr>
              <w:t>Preci</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4</w:t>
            </w:r>
          </w:p>
        </w:tc>
      </w:tr>
      <w:tr w:rsidR="009412A6" w:rsidRPr="00135D51" w:rsidTr="009E22CC">
        <w:trPr>
          <w:trHeight w:hRule="exact" w:val="397"/>
        </w:trPr>
        <w:tc>
          <w:tcPr>
            <w:tcW w:w="6804" w:type="dxa"/>
          </w:tcPr>
          <w:p w:rsidR="009412A6" w:rsidRPr="009412A6" w:rsidRDefault="009412A6" w:rsidP="009412A6">
            <w:pPr>
              <w:rPr>
                <w:b/>
              </w:rPr>
            </w:pPr>
            <w:r w:rsidRPr="009412A6">
              <w:rPr>
                <w:b/>
              </w:rPr>
              <w:t>Rodni identitet</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9</w:t>
            </w:r>
          </w:p>
        </w:tc>
      </w:tr>
      <w:tr w:rsidR="009412A6" w:rsidRPr="00135D51" w:rsidTr="009E22CC">
        <w:trPr>
          <w:trHeight w:hRule="exact" w:val="397"/>
        </w:trPr>
        <w:tc>
          <w:tcPr>
            <w:tcW w:w="6804" w:type="dxa"/>
          </w:tcPr>
          <w:p w:rsidR="009412A6" w:rsidRPr="009412A6" w:rsidRDefault="009412A6" w:rsidP="009412A6">
            <w:pPr>
              <w:rPr>
                <w:b/>
              </w:rPr>
            </w:pPr>
            <w:r w:rsidRPr="009412A6">
              <w:rPr>
                <w:b/>
              </w:rPr>
              <w:t>Izgled</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8</w:t>
            </w:r>
          </w:p>
        </w:tc>
      </w:tr>
      <w:tr w:rsidR="009412A6" w:rsidRPr="00135D51" w:rsidTr="009E22CC">
        <w:trPr>
          <w:trHeight w:hRule="exact" w:val="397"/>
        </w:trPr>
        <w:tc>
          <w:tcPr>
            <w:tcW w:w="6804" w:type="dxa"/>
          </w:tcPr>
          <w:p w:rsidR="009412A6" w:rsidRPr="009412A6" w:rsidRDefault="009412A6" w:rsidP="009412A6">
            <w:pPr>
              <w:rPr>
                <w:b/>
              </w:rPr>
            </w:pPr>
            <w:r w:rsidRPr="009412A6">
              <w:rPr>
                <w:b/>
              </w:rPr>
              <w:t>Jezik</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6</w:t>
            </w:r>
          </w:p>
        </w:tc>
      </w:tr>
      <w:tr w:rsidR="009412A6" w:rsidRPr="00135D51" w:rsidTr="009E22CC">
        <w:trPr>
          <w:trHeight w:hRule="exact" w:val="397"/>
        </w:trPr>
        <w:tc>
          <w:tcPr>
            <w:tcW w:w="6804" w:type="dxa"/>
          </w:tcPr>
          <w:p w:rsidR="009412A6" w:rsidRPr="009412A6" w:rsidRDefault="009412A6" w:rsidP="009412A6">
            <w:pPr>
              <w:rPr>
                <w:b/>
              </w:rPr>
            </w:pPr>
            <w:r w:rsidRPr="009412A6">
              <w:rPr>
                <w:b/>
              </w:rPr>
              <w:t>Genetske osobenosti</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5</w:t>
            </w:r>
          </w:p>
        </w:tc>
      </w:tr>
      <w:tr w:rsidR="009412A6" w:rsidRPr="00135D51" w:rsidTr="009E22CC">
        <w:trPr>
          <w:trHeight w:hRule="exact" w:val="397"/>
        </w:trPr>
        <w:tc>
          <w:tcPr>
            <w:tcW w:w="6804" w:type="dxa"/>
          </w:tcPr>
          <w:p w:rsidR="009412A6" w:rsidRPr="009412A6" w:rsidRDefault="009412A6" w:rsidP="009412A6">
            <w:pPr>
              <w:rPr>
                <w:b/>
              </w:rPr>
            </w:pPr>
            <w:r w:rsidRPr="009412A6">
              <w:rPr>
                <w:b/>
              </w:rPr>
              <w:t>Rasa</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3</w:t>
            </w:r>
          </w:p>
        </w:tc>
      </w:tr>
      <w:tr w:rsidR="009412A6" w:rsidRPr="00135D51" w:rsidTr="009E22CC">
        <w:trPr>
          <w:trHeight w:hRule="exact" w:val="397"/>
        </w:trPr>
        <w:tc>
          <w:tcPr>
            <w:tcW w:w="6804" w:type="dxa"/>
          </w:tcPr>
          <w:p w:rsidR="009412A6" w:rsidRPr="009412A6" w:rsidRDefault="009412A6" w:rsidP="009412A6">
            <w:pPr>
              <w:rPr>
                <w:b/>
              </w:rPr>
            </w:pPr>
            <w:r w:rsidRPr="009412A6">
              <w:rPr>
                <w:b/>
              </w:rPr>
              <w:t>Rođenje</w:t>
            </w:r>
          </w:p>
        </w:tc>
        <w:tc>
          <w:tcPr>
            <w:tcW w:w="1145" w:type="dxa"/>
            <w:vAlign w:val="bottom"/>
          </w:tcPr>
          <w:p w:rsidR="009412A6" w:rsidRPr="00135D51" w:rsidRDefault="009412A6"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340" w:type="dxa"/>
            <w:vAlign w:val="bottom"/>
          </w:tcPr>
          <w:p w:rsidR="009412A6" w:rsidRPr="00135D51" w:rsidRDefault="009412A6" w:rsidP="00AC0428">
            <w:pPr>
              <w:spacing w:before="0" w:after="0" w:line="276" w:lineRule="auto"/>
              <w:jc w:val="right"/>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3</w:t>
            </w:r>
          </w:p>
        </w:tc>
      </w:tr>
      <w:tr w:rsidR="009412A6" w:rsidRPr="00135D51" w:rsidTr="009E22CC">
        <w:trPr>
          <w:trHeight w:hRule="exact" w:val="397"/>
        </w:trPr>
        <w:tc>
          <w:tcPr>
            <w:tcW w:w="6804" w:type="dxa"/>
            <w:shd w:val="clear" w:color="auto" w:fill="12D9EE"/>
          </w:tcPr>
          <w:p w:rsidR="009412A6" w:rsidRPr="009412A6" w:rsidRDefault="009412A6" w:rsidP="009412A6">
            <w:pPr>
              <w:rPr>
                <w:b/>
              </w:rPr>
            </w:pPr>
            <w:r w:rsidRPr="009412A6">
              <w:rPr>
                <w:b/>
              </w:rPr>
              <w:t>Ukupno</w:t>
            </w:r>
          </w:p>
        </w:tc>
        <w:tc>
          <w:tcPr>
            <w:tcW w:w="1145" w:type="dxa"/>
            <w:shd w:val="clear" w:color="auto" w:fill="12D9EE"/>
            <w:vAlign w:val="bottom"/>
          </w:tcPr>
          <w:p w:rsidR="009412A6" w:rsidRPr="00135D51" w:rsidRDefault="009412A6" w:rsidP="0024468B">
            <w:pPr>
              <w:spacing w:before="40" w:after="0" w:line="276" w:lineRule="auto"/>
              <w:jc w:val="right"/>
              <w:rPr>
                <w:rFonts w:eastAsia="Times New Roman" w:cs="Arial"/>
                <w:b/>
              </w:rPr>
            </w:pPr>
          </w:p>
          <w:p w:rsidR="009412A6" w:rsidRPr="003C103D" w:rsidRDefault="009412A6" w:rsidP="0024468B">
            <w:pPr>
              <w:spacing w:before="40" w:after="0" w:line="276" w:lineRule="auto"/>
              <w:jc w:val="right"/>
              <w:rPr>
                <w:rFonts w:eastAsia="Times New Roman" w:cs="Arial"/>
                <w:b/>
              </w:rPr>
            </w:pPr>
            <w:r w:rsidRPr="00135D51">
              <w:rPr>
                <w:rFonts w:eastAsia="Times New Roman" w:cs="Arial"/>
                <w:b/>
              </w:rPr>
              <w:t>636</w:t>
            </w:r>
          </w:p>
        </w:tc>
        <w:tc>
          <w:tcPr>
            <w:tcW w:w="1340" w:type="dxa"/>
            <w:shd w:val="clear" w:color="auto" w:fill="12D9EE"/>
          </w:tcPr>
          <w:p w:rsidR="009412A6" w:rsidRPr="00135D51" w:rsidRDefault="009412A6" w:rsidP="0024468B">
            <w:pPr>
              <w:spacing w:before="40" w:after="0" w:line="276" w:lineRule="auto"/>
              <w:jc w:val="right"/>
              <w:rPr>
                <w:rFonts w:eastAsia="Times New Roman" w:cs="Arial"/>
                <w:b/>
              </w:rPr>
            </w:pPr>
          </w:p>
          <w:p w:rsidR="009412A6" w:rsidRPr="00135D51" w:rsidRDefault="009412A6" w:rsidP="00AC0428">
            <w:pPr>
              <w:spacing w:before="40" w:after="0" w:line="276" w:lineRule="auto"/>
              <w:jc w:val="right"/>
              <w:rPr>
                <w:rFonts w:eastAsia="Times New Roman" w:cs="Arial"/>
                <w:b/>
              </w:rPr>
            </w:pPr>
            <w:r w:rsidRPr="00135D51">
              <w:rPr>
                <w:rFonts w:eastAsia="Times New Roman" w:cs="Arial"/>
                <w:b/>
              </w:rPr>
              <w:t>100</w:t>
            </w:r>
            <w:r>
              <w:rPr>
                <w:rFonts w:eastAsia="Times New Roman" w:cs="Arial"/>
                <w:b/>
              </w:rPr>
              <w:t>,</w:t>
            </w:r>
            <w:r w:rsidRPr="00135D51">
              <w:rPr>
                <w:rFonts w:eastAsia="Times New Roman" w:cs="Arial"/>
                <w:b/>
              </w:rPr>
              <w:t>0</w:t>
            </w:r>
          </w:p>
        </w:tc>
      </w:tr>
    </w:tbl>
    <w:p w:rsidR="00135D51" w:rsidRDefault="009412A6" w:rsidP="0024468B">
      <w:pPr>
        <w:autoSpaceDE w:val="0"/>
        <w:autoSpaceDN w:val="0"/>
        <w:adjustRightInd w:val="0"/>
        <w:spacing w:before="40" w:after="0" w:line="240" w:lineRule="auto"/>
        <w:jc w:val="left"/>
        <w:rPr>
          <w:rFonts w:eastAsia="Times New Roman" w:cs="Arial"/>
          <w:b/>
          <w:lang w:val="sr-Latn-RS"/>
        </w:rPr>
      </w:pPr>
      <w:r w:rsidRPr="009412A6">
        <w:rPr>
          <w:rFonts w:eastAsia="Times New Roman" w:cs="Arial"/>
          <w:b/>
        </w:rPr>
        <w:t>*  U 102 pritužbe kao osnov diskriminacije navedeno je više ličnih svojstava.</w:t>
      </w:r>
    </w:p>
    <w:p w:rsidR="009412A6" w:rsidRDefault="009412A6" w:rsidP="0024468B">
      <w:pPr>
        <w:autoSpaceDE w:val="0"/>
        <w:autoSpaceDN w:val="0"/>
        <w:adjustRightInd w:val="0"/>
        <w:spacing w:before="40" w:after="0" w:line="240" w:lineRule="auto"/>
        <w:jc w:val="left"/>
        <w:rPr>
          <w:rFonts w:eastAsia="Times New Roman" w:cs="Arial"/>
          <w:b/>
          <w:lang w:val="sr-Latn-RS"/>
        </w:rPr>
      </w:pPr>
    </w:p>
    <w:p w:rsidR="009412A6" w:rsidRDefault="009412A6" w:rsidP="0024468B">
      <w:pPr>
        <w:autoSpaceDE w:val="0"/>
        <w:autoSpaceDN w:val="0"/>
        <w:adjustRightInd w:val="0"/>
        <w:spacing w:before="40" w:after="0" w:line="240" w:lineRule="auto"/>
        <w:jc w:val="left"/>
        <w:rPr>
          <w:rFonts w:eastAsia="Times New Roman" w:cs="Arial"/>
          <w:b/>
          <w:lang w:val="sr-Latn-RS"/>
        </w:rPr>
      </w:pPr>
    </w:p>
    <w:p w:rsidR="009412A6" w:rsidRPr="009412A6" w:rsidRDefault="009412A6" w:rsidP="0024468B">
      <w:pPr>
        <w:autoSpaceDE w:val="0"/>
        <w:autoSpaceDN w:val="0"/>
        <w:adjustRightInd w:val="0"/>
        <w:spacing w:before="40" w:after="0" w:line="240" w:lineRule="auto"/>
        <w:jc w:val="left"/>
        <w:rPr>
          <w:rFonts w:eastAsia="Times New Roman" w:cs="Arial"/>
          <w:b/>
          <w:lang w:val="sr-Latn-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0"/>
        <w:gridCol w:w="1234"/>
        <w:gridCol w:w="1255"/>
      </w:tblGrid>
      <w:tr w:rsidR="00135D51" w:rsidRPr="00135D51" w:rsidTr="00F9263D">
        <w:trPr>
          <w:trHeight w:val="454"/>
        </w:trPr>
        <w:tc>
          <w:tcPr>
            <w:tcW w:w="6800" w:type="dxa"/>
            <w:tcBorders>
              <w:left w:val="nil"/>
            </w:tcBorders>
            <w:shd w:val="clear" w:color="auto" w:fill="12D9EE"/>
            <w:vAlign w:val="center"/>
          </w:tcPr>
          <w:p w:rsidR="00135D51" w:rsidRPr="00135D51" w:rsidRDefault="009412A6" w:rsidP="00F9263D">
            <w:pPr>
              <w:autoSpaceDE w:val="0"/>
              <w:autoSpaceDN w:val="0"/>
              <w:adjustRightInd w:val="0"/>
              <w:spacing w:before="0" w:after="0" w:line="276" w:lineRule="auto"/>
              <w:jc w:val="center"/>
              <w:rPr>
                <w:rFonts w:eastAsia="Times New Roman" w:cs="Arial"/>
                <w:b/>
              </w:rPr>
            </w:pPr>
            <w:r w:rsidRPr="009412A6">
              <w:rPr>
                <w:rFonts w:eastAsia="Times New Roman" w:cs="Arial"/>
                <w:b/>
              </w:rPr>
              <w:t>Pritužbe u kojima je navedeno lično svojstvo po podnosiocu pritužbe</w:t>
            </w:r>
          </w:p>
        </w:tc>
        <w:tc>
          <w:tcPr>
            <w:tcW w:w="1234" w:type="dxa"/>
            <w:shd w:val="clear" w:color="auto" w:fill="12D9EE"/>
            <w:vAlign w:val="center"/>
          </w:tcPr>
          <w:p w:rsidR="00135D51" w:rsidRPr="009412A6" w:rsidRDefault="009412A6" w:rsidP="00F9263D">
            <w:pPr>
              <w:autoSpaceDE w:val="0"/>
              <w:autoSpaceDN w:val="0"/>
              <w:adjustRightInd w:val="0"/>
              <w:spacing w:before="0" w:after="0" w:line="276" w:lineRule="auto"/>
              <w:jc w:val="center"/>
              <w:rPr>
                <w:rFonts w:eastAsia="Times New Roman" w:cs="Arial"/>
                <w:b/>
                <w:lang w:val="sr-Latn-RS"/>
              </w:rPr>
            </w:pPr>
            <w:r>
              <w:rPr>
                <w:rFonts w:eastAsia="Times New Roman" w:cs="Arial"/>
                <w:b/>
                <w:lang w:val="sr-Latn-RS"/>
              </w:rPr>
              <w:t>broj</w:t>
            </w:r>
          </w:p>
        </w:tc>
        <w:tc>
          <w:tcPr>
            <w:tcW w:w="1255" w:type="dxa"/>
            <w:tcBorders>
              <w:right w:val="nil"/>
            </w:tcBorders>
            <w:shd w:val="clear" w:color="auto" w:fill="12D9EE"/>
            <w:vAlign w:val="center"/>
          </w:tcPr>
          <w:p w:rsidR="00135D51" w:rsidRPr="00135D51" w:rsidRDefault="00135D51"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w:t>
            </w:r>
          </w:p>
        </w:tc>
      </w:tr>
      <w:tr w:rsidR="009412A6" w:rsidRPr="00135D51" w:rsidTr="00F9263D">
        <w:trPr>
          <w:trHeight w:val="454"/>
        </w:trPr>
        <w:tc>
          <w:tcPr>
            <w:tcW w:w="6800" w:type="dxa"/>
            <w:tcBorders>
              <w:left w:val="nil"/>
            </w:tcBorders>
            <w:shd w:val="clear" w:color="auto" w:fill="C5EFF7"/>
            <w:vAlign w:val="center"/>
          </w:tcPr>
          <w:p w:rsidR="009412A6" w:rsidRPr="009412A6" w:rsidRDefault="009412A6" w:rsidP="00010622">
            <w:pPr>
              <w:jc w:val="left"/>
              <w:rPr>
                <w:b/>
              </w:rPr>
            </w:pPr>
            <w:r w:rsidRPr="009412A6">
              <w:rPr>
                <w:b/>
              </w:rPr>
              <w:t>Invaliditet</w:t>
            </w:r>
          </w:p>
        </w:tc>
        <w:tc>
          <w:tcPr>
            <w:tcW w:w="1234" w:type="dxa"/>
            <w:shd w:val="clear" w:color="auto" w:fill="C5EFF7"/>
            <w:vAlign w:val="center"/>
          </w:tcPr>
          <w:p w:rsidR="009412A6" w:rsidRPr="00135D51" w:rsidRDefault="009412A6" w:rsidP="00F9263D">
            <w:pPr>
              <w:spacing w:before="0" w:after="0" w:line="276" w:lineRule="auto"/>
              <w:jc w:val="center"/>
              <w:rPr>
                <w:rFonts w:eastAsia="Times New Roman" w:cs="Arial"/>
                <w:b/>
              </w:rPr>
            </w:pPr>
            <w:r w:rsidRPr="00135D51">
              <w:rPr>
                <w:rFonts w:eastAsia="Times New Roman" w:cs="Arial"/>
                <w:b/>
              </w:rPr>
              <w:t>82</w:t>
            </w:r>
          </w:p>
        </w:tc>
        <w:tc>
          <w:tcPr>
            <w:tcW w:w="1255" w:type="dxa"/>
            <w:tcBorders>
              <w:right w:val="nil"/>
            </w:tcBorders>
            <w:shd w:val="clear" w:color="auto" w:fill="C5EFF7"/>
            <w:vAlign w:val="center"/>
          </w:tcPr>
          <w:p w:rsidR="009412A6" w:rsidRPr="00135D51" w:rsidRDefault="009412A6" w:rsidP="00F9263D">
            <w:pPr>
              <w:spacing w:before="0" w:after="0" w:line="276" w:lineRule="auto"/>
              <w:jc w:val="center"/>
              <w:rPr>
                <w:rFonts w:eastAsia="Times New Roman" w:cs="Arial"/>
                <w:b/>
                <w:color w:val="000000"/>
              </w:rPr>
            </w:pPr>
            <w:r w:rsidRPr="00135D51">
              <w:rPr>
                <w:rFonts w:eastAsia="Times New Roman" w:cs="Arial"/>
                <w:b/>
                <w:color w:val="000000"/>
              </w:rPr>
              <w:t>12</w:t>
            </w:r>
            <w:r>
              <w:rPr>
                <w:rFonts w:eastAsia="Times New Roman" w:cs="Arial"/>
                <w:b/>
                <w:color w:val="000000"/>
              </w:rPr>
              <w:t>,</w:t>
            </w:r>
            <w:r w:rsidRPr="00135D51">
              <w:rPr>
                <w:rFonts w:eastAsia="Times New Roman" w:cs="Arial"/>
                <w:b/>
                <w:color w:val="000000"/>
              </w:rPr>
              <w:t>9</w:t>
            </w: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Fizička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61</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F9263D">
            <w:pPr>
              <w:jc w:val="center"/>
              <w:rPr>
                <w:b/>
              </w:rPr>
            </w:pPr>
            <w:r w:rsidRPr="009412A6">
              <w:rPr>
                <w:b/>
              </w:rPr>
              <w:t>muškarci                         36</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9E53F2">
            <w:pPr>
              <w:jc w:val="center"/>
              <w:rPr>
                <w:b/>
              </w:rPr>
            </w:pPr>
            <w:r w:rsidRPr="009412A6">
              <w:rPr>
                <w:b/>
              </w:rPr>
              <w:t>žene                                25</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Organizacije</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14</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Pravna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lastRenderedPageBreak/>
              <w:t>Državni organ</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Grupa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val="454"/>
        </w:trPr>
        <w:tc>
          <w:tcPr>
            <w:tcW w:w="6800" w:type="dxa"/>
            <w:tcBorders>
              <w:left w:val="nil"/>
            </w:tcBorders>
            <w:shd w:val="clear" w:color="auto" w:fill="C5EFF7"/>
            <w:vAlign w:val="center"/>
          </w:tcPr>
          <w:p w:rsidR="009412A6" w:rsidRPr="009412A6" w:rsidRDefault="009412A6" w:rsidP="00010622">
            <w:pPr>
              <w:jc w:val="left"/>
              <w:rPr>
                <w:b/>
              </w:rPr>
            </w:pPr>
            <w:r w:rsidRPr="009412A6">
              <w:rPr>
                <w:b/>
              </w:rPr>
              <w:t>Pol</w:t>
            </w:r>
          </w:p>
        </w:tc>
        <w:tc>
          <w:tcPr>
            <w:tcW w:w="1234" w:type="dxa"/>
            <w:shd w:val="clear" w:color="auto" w:fill="C5EFF7"/>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82</w:t>
            </w:r>
          </w:p>
        </w:tc>
        <w:tc>
          <w:tcPr>
            <w:tcW w:w="1255" w:type="dxa"/>
            <w:tcBorders>
              <w:right w:val="nil"/>
            </w:tcBorders>
            <w:shd w:val="clear" w:color="auto" w:fill="C5EFF7"/>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12</w:t>
            </w:r>
            <w:r>
              <w:rPr>
                <w:rFonts w:eastAsia="Times New Roman" w:cs="Arial"/>
                <w:b/>
              </w:rPr>
              <w:t>,</w:t>
            </w:r>
            <w:r w:rsidRPr="00135D51">
              <w:rPr>
                <w:rFonts w:eastAsia="Times New Roman" w:cs="Arial"/>
                <w:b/>
              </w:rPr>
              <w:t>9</w:t>
            </w: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Fizička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75</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F9263D">
            <w:pPr>
              <w:jc w:val="center"/>
              <w:rPr>
                <w:b/>
              </w:rPr>
            </w:pPr>
            <w:r w:rsidRPr="009412A6">
              <w:rPr>
                <w:b/>
              </w:rPr>
              <w:t>muškarci                       18</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9E53F2">
            <w:pPr>
              <w:jc w:val="center"/>
              <w:rPr>
                <w:b/>
              </w:rPr>
            </w:pPr>
            <w:r w:rsidRPr="009412A6">
              <w:rPr>
                <w:b/>
              </w:rPr>
              <w:t>žene                              57</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Pravna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Grupa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Organizacije</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val="454"/>
        </w:trPr>
        <w:tc>
          <w:tcPr>
            <w:tcW w:w="6800" w:type="dxa"/>
            <w:tcBorders>
              <w:left w:val="nil"/>
              <w:bottom w:val="single" w:sz="4" w:space="0" w:color="auto"/>
            </w:tcBorders>
            <w:shd w:val="clear" w:color="auto" w:fill="C5EFF7"/>
            <w:vAlign w:val="center"/>
          </w:tcPr>
          <w:p w:rsidR="009412A6" w:rsidRPr="009412A6" w:rsidRDefault="009412A6" w:rsidP="00010622">
            <w:pPr>
              <w:jc w:val="left"/>
              <w:rPr>
                <w:b/>
              </w:rPr>
            </w:pPr>
            <w:r w:rsidRPr="009412A6">
              <w:rPr>
                <w:b/>
              </w:rPr>
              <w:t>Starosno doba</w:t>
            </w:r>
          </w:p>
        </w:tc>
        <w:tc>
          <w:tcPr>
            <w:tcW w:w="1234" w:type="dxa"/>
            <w:tcBorders>
              <w:bottom w:val="single" w:sz="4" w:space="0" w:color="auto"/>
            </w:tcBorders>
            <w:shd w:val="clear" w:color="auto" w:fill="C5EFF7"/>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75</w:t>
            </w:r>
          </w:p>
        </w:tc>
        <w:tc>
          <w:tcPr>
            <w:tcW w:w="1255" w:type="dxa"/>
            <w:tcBorders>
              <w:bottom w:val="single" w:sz="4" w:space="0" w:color="auto"/>
              <w:right w:val="nil"/>
            </w:tcBorders>
            <w:shd w:val="clear" w:color="auto" w:fill="C5EFF7"/>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11</w:t>
            </w:r>
            <w:r>
              <w:rPr>
                <w:rFonts w:eastAsia="Times New Roman" w:cs="Arial"/>
                <w:b/>
              </w:rPr>
              <w:t>,</w:t>
            </w:r>
            <w:r w:rsidRPr="00135D51">
              <w:rPr>
                <w:rFonts w:eastAsia="Times New Roman" w:cs="Arial"/>
                <w:b/>
              </w:rPr>
              <w:t>8</w:t>
            </w: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Fizička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60</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F9263D">
            <w:pPr>
              <w:jc w:val="center"/>
              <w:rPr>
                <w:b/>
              </w:rPr>
            </w:pPr>
            <w:r w:rsidRPr="009412A6">
              <w:rPr>
                <w:b/>
              </w:rPr>
              <w:t>muškarci                       33</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9E53F2">
            <w:pPr>
              <w:jc w:val="center"/>
              <w:rPr>
                <w:b/>
              </w:rPr>
            </w:pPr>
            <w:r w:rsidRPr="009412A6">
              <w:rPr>
                <w:b/>
              </w:rPr>
              <w:t>žene                              27</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Organizacije</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11</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Grupa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Državni organ</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Pravno</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135D51" w:rsidRPr="00135D51" w:rsidTr="00F9263D">
        <w:trPr>
          <w:trHeight w:val="454"/>
        </w:trPr>
        <w:tc>
          <w:tcPr>
            <w:tcW w:w="6800" w:type="dxa"/>
            <w:tcBorders>
              <w:left w:val="nil"/>
            </w:tcBorders>
            <w:shd w:val="clear" w:color="auto" w:fill="C5EFF7"/>
            <w:vAlign w:val="center"/>
          </w:tcPr>
          <w:p w:rsidR="00135D51" w:rsidRPr="00135D51" w:rsidRDefault="00135D51" w:rsidP="00010622">
            <w:pPr>
              <w:spacing w:before="0" w:after="0" w:line="276" w:lineRule="auto"/>
              <w:jc w:val="left"/>
              <w:rPr>
                <w:rFonts w:eastAsia="Times New Roman" w:cs="Arial"/>
                <w:b/>
              </w:rPr>
            </w:pPr>
          </w:p>
          <w:p w:rsidR="00135D51" w:rsidRPr="00135D51" w:rsidRDefault="009412A6" w:rsidP="00010622">
            <w:pPr>
              <w:spacing w:before="0" w:after="0" w:line="276" w:lineRule="auto"/>
              <w:jc w:val="left"/>
              <w:rPr>
                <w:rFonts w:eastAsia="Times New Roman" w:cs="Arial"/>
                <w:b/>
              </w:rPr>
            </w:pPr>
            <w:r w:rsidRPr="009412A6">
              <w:rPr>
                <w:rFonts w:eastAsia="Times New Roman" w:cs="Arial"/>
                <w:b/>
              </w:rPr>
              <w:t>Nacionalna pripadnost ili etničko poreklo</w:t>
            </w:r>
          </w:p>
        </w:tc>
        <w:tc>
          <w:tcPr>
            <w:tcW w:w="1234" w:type="dxa"/>
            <w:shd w:val="clear" w:color="auto" w:fill="C5EFF7"/>
            <w:vAlign w:val="center"/>
          </w:tcPr>
          <w:p w:rsidR="00135D51" w:rsidRPr="00135D51" w:rsidRDefault="00135D51" w:rsidP="00F9263D">
            <w:pPr>
              <w:spacing w:before="0" w:after="0" w:line="276" w:lineRule="auto"/>
              <w:jc w:val="center"/>
              <w:rPr>
                <w:rFonts w:eastAsia="Times New Roman" w:cs="Arial"/>
                <w:b/>
              </w:rPr>
            </w:pPr>
          </w:p>
          <w:p w:rsidR="00135D51" w:rsidRPr="00135D51" w:rsidRDefault="00135D51" w:rsidP="00F9263D">
            <w:pPr>
              <w:spacing w:before="0" w:after="0" w:line="276" w:lineRule="auto"/>
              <w:jc w:val="center"/>
              <w:rPr>
                <w:rFonts w:eastAsia="Times New Roman" w:cs="Arial"/>
                <w:b/>
              </w:rPr>
            </w:pPr>
            <w:r w:rsidRPr="00135D51">
              <w:rPr>
                <w:rFonts w:eastAsia="Times New Roman" w:cs="Arial"/>
                <w:b/>
              </w:rPr>
              <w:t>60</w:t>
            </w:r>
          </w:p>
        </w:tc>
        <w:tc>
          <w:tcPr>
            <w:tcW w:w="1255" w:type="dxa"/>
            <w:tcBorders>
              <w:right w:val="nil"/>
            </w:tcBorders>
            <w:shd w:val="clear" w:color="auto" w:fill="C5EFF7"/>
            <w:vAlign w:val="center"/>
          </w:tcPr>
          <w:p w:rsidR="00135D51" w:rsidRPr="00135D51" w:rsidRDefault="00135D51" w:rsidP="00F9263D">
            <w:pPr>
              <w:spacing w:before="0" w:after="0" w:line="276" w:lineRule="auto"/>
              <w:jc w:val="center"/>
              <w:rPr>
                <w:rFonts w:eastAsia="Times New Roman" w:cs="Arial"/>
                <w:b/>
                <w:color w:val="000000"/>
              </w:rPr>
            </w:pPr>
            <w:r w:rsidRPr="00135D51">
              <w:rPr>
                <w:rFonts w:eastAsia="Times New Roman" w:cs="Arial"/>
                <w:b/>
                <w:color w:val="000000"/>
              </w:rPr>
              <w:t>9</w:t>
            </w:r>
            <w:r w:rsidR="00942D3A">
              <w:rPr>
                <w:rFonts w:eastAsia="Times New Roman" w:cs="Arial"/>
                <w:b/>
                <w:color w:val="000000"/>
              </w:rPr>
              <w:t>,</w:t>
            </w:r>
            <w:r w:rsidRPr="00135D51">
              <w:rPr>
                <w:rFonts w:eastAsia="Times New Roman" w:cs="Arial"/>
                <w:b/>
                <w:color w:val="000000"/>
              </w:rPr>
              <w:t>4</w:t>
            </w: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Fizička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38</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F9263D">
            <w:pPr>
              <w:jc w:val="center"/>
              <w:rPr>
                <w:b/>
              </w:rPr>
            </w:pPr>
            <w:r w:rsidRPr="009412A6">
              <w:rPr>
                <w:b/>
              </w:rPr>
              <w:t>muškarci                       23</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F9263D">
            <w:pPr>
              <w:jc w:val="center"/>
              <w:rPr>
                <w:b/>
              </w:rPr>
            </w:pPr>
            <w:r w:rsidRPr="009412A6">
              <w:rPr>
                <w:b/>
              </w:rPr>
              <w:t>žene                              15</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Organizacije</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15</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Pravna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6</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412A6" w:rsidRPr="00135D51" w:rsidTr="00F9263D">
        <w:trPr>
          <w:trHeight w:hRule="exact" w:val="454"/>
        </w:trPr>
        <w:tc>
          <w:tcPr>
            <w:tcW w:w="6800" w:type="dxa"/>
            <w:tcBorders>
              <w:left w:val="nil"/>
            </w:tcBorders>
            <w:vAlign w:val="center"/>
          </w:tcPr>
          <w:p w:rsidR="009412A6" w:rsidRPr="009412A6" w:rsidRDefault="009412A6" w:rsidP="00010622">
            <w:pPr>
              <w:jc w:val="left"/>
              <w:rPr>
                <w:b/>
              </w:rPr>
            </w:pPr>
            <w:r w:rsidRPr="009412A6">
              <w:rPr>
                <w:b/>
              </w:rPr>
              <w:t>Grupa lica</w:t>
            </w:r>
          </w:p>
        </w:tc>
        <w:tc>
          <w:tcPr>
            <w:tcW w:w="1234" w:type="dxa"/>
            <w:vAlign w:val="center"/>
          </w:tcPr>
          <w:p w:rsidR="009412A6" w:rsidRPr="00135D51" w:rsidRDefault="009412A6"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tcBorders>
              <w:right w:val="nil"/>
            </w:tcBorders>
            <w:vAlign w:val="center"/>
          </w:tcPr>
          <w:p w:rsidR="009412A6" w:rsidRPr="00135D51" w:rsidRDefault="009412A6"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val="454"/>
        </w:trPr>
        <w:tc>
          <w:tcPr>
            <w:tcW w:w="6800" w:type="dxa"/>
            <w:tcBorders>
              <w:left w:val="nil"/>
            </w:tcBorders>
            <w:shd w:val="clear" w:color="auto" w:fill="C5EFF7"/>
            <w:vAlign w:val="center"/>
          </w:tcPr>
          <w:p w:rsidR="00982D59" w:rsidRPr="00982D59" w:rsidRDefault="00982D59" w:rsidP="00010622">
            <w:pPr>
              <w:jc w:val="left"/>
              <w:rPr>
                <w:b/>
              </w:rPr>
            </w:pPr>
            <w:r w:rsidRPr="00982D59">
              <w:rPr>
                <w:b/>
              </w:rPr>
              <w:t>Zdravstveno stanje</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55</w:t>
            </w:r>
          </w:p>
        </w:tc>
        <w:tc>
          <w:tcPr>
            <w:tcW w:w="1255" w:type="dxa"/>
            <w:tcBorders>
              <w:right w:val="nil"/>
            </w:tcBorders>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8</w:t>
            </w:r>
            <w:r>
              <w:rPr>
                <w:rFonts w:eastAsia="Times New Roman" w:cs="Arial"/>
                <w:b/>
                <w:color w:val="000000"/>
              </w:rPr>
              <w:t>,</w:t>
            </w:r>
            <w:r w:rsidRPr="00135D51">
              <w:rPr>
                <w:rFonts w:eastAsia="Times New Roman" w:cs="Arial"/>
                <w:b/>
                <w:color w:val="000000"/>
              </w:rPr>
              <w:t>6</w:t>
            </w: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45</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F9263D">
            <w:pPr>
              <w:jc w:val="center"/>
              <w:rPr>
                <w:b/>
              </w:rPr>
            </w:pPr>
            <w:r w:rsidRPr="00982D59">
              <w:rPr>
                <w:b/>
              </w:rPr>
              <w:t>muškarci                       30</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9E53F2">
            <w:pPr>
              <w:jc w:val="center"/>
              <w:rPr>
                <w:b/>
              </w:rPr>
            </w:pPr>
            <w:r w:rsidRPr="00982D59">
              <w:rPr>
                <w:b/>
              </w:rPr>
              <w:t>žene                              15</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7</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lastRenderedPageBreak/>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Državni organ</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val="454"/>
        </w:trPr>
        <w:tc>
          <w:tcPr>
            <w:tcW w:w="6800" w:type="dxa"/>
            <w:tcBorders>
              <w:left w:val="nil"/>
            </w:tcBorders>
            <w:shd w:val="clear" w:color="auto" w:fill="C5EFF7"/>
            <w:vAlign w:val="center"/>
          </w:tcPr>
          <w:p w:rsidR="00982D59" w:rsidRPr="00982D59" w:rsidRDefault="00982D59" w:rsidP="00010622">
            <w:pPr>
              <w:jc w:val="left"/>
              <w:rPr>
                <w:b/>
              </w:rPr>
            </w:pPr>
            <w:r w:rsidRPr="00982D59">
              <w:rPr>
                <w:b/>
              </w:rPr>
              <w:t>Bračni i porodični status</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52</w:t>
            </w:r>
          </w:p>
        </w:tc>
        <w:tc>
          <w:tcPr>
            <w:tcW w:w="1255" w:type="dxa"/>
            <w:tcBorders>
              <w:right w:val="nil"/>
            </w:tcBorders>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8</w:t>
            </w:r>
            <w:r>
              <w:rPr>
                <w:rFonts w:eastAsia="Times New Roman" w:cs="Arial"/>
                <w:b/>
                <w:color w:val="000000"/>
              </w:rPr>
              <w:t>,</w:t>
            </w:r>
            <w:r w:rsidRPr="00135D51">
              <w:rPr>
                <w:rFonts w:eastAsia="Times New Roman" w:cs="Arial"/>
                <w:b/>
                <w:color w:val="000000"/>
              </w:rPr>
              <w:t>2</w:t>
            </w: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47</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F9263D">
            <w:pPr>
              <w:jc w:val="center"/>
              <w:rPr>
                <w:b/>
              </w:rPr>
            </w:pPr>
            <w:r w:rsidRPr="00982D59">
              <w:rPr>
                <w:b/>
              </w:rPr>
              <w:t>muškarci                       15</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9E53F2">
            <w:pPr>
              <w:jc w:val="center"/>
              <w:rPr>
                <w:b/>
              </w:rPr>
            </w:pPr>
            <w:r w:rsidRPr="00982D59">
              <w:rPr>
                <w:b/>
              </w:rPr>
              <w:t>žene                              32</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rPr>
          <w:trHeight w:hRule="exact" w:val="454"/>
        </w:trPr>
        <w:tc>
          <w:tcPr>
            <w:tcW w:w="6800" w:type="dxa"/>
            <w:tcBorders>
              <w:left w:val="nil"/>
            </w:tcBorders>
            <w:vAlign w:val="center"/>
          </w:tcPr>
          <w:p w:rsidR="00982D59" w:rsidRPr="00982D59" w:rsidRDefault="00982D59" w:rsidP="00010622">
            <w:pPr>
              <w:jc w:val="left"/>
              <w:rPr>
                <w:b/>
              </w:rPr>
            </w:pPr>
            <w:r w:rsidRPr="00982D59">
              <w:rPr>
                <w:b/>
              </w:rPr>
              <w:t>Državni organ</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tcBorders>
              <w:right w:val="nil"/>
            </w:tcBorders>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Članstvo u političkim, sindikalnim i drugim organizacijama</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49</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7</w:t>
            </w:r>
            <w:r>
              <w:rPr>
                <w:rFonts w:eastAsia="Times New Roman" w:cs="Arial"/>
                <w:b/>
                <w:color w:val="000000"/>
              </w:rPr>
              <w:t>,</w:t>
            </w:r>
            <w:r w:rsidRPr="00135D51">
              <w:rPr>
                <w:rFonts w:eastAsia="Times New Roman" w:cs="Arial"/>
                <w:b/>
                <w:color w:val="000000"/>
              </w:rPr>
              <w:t>7</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30</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18</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12</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16</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Imovno stanje</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36</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5</w:t>
            </w:r>
            <w:r>
              <w:rPr>
                <w:rFonts w:eastAsia="Times New Roman" w:cs="Arial"/>
                <w:b/>
                <w:color w:val="000000"/>
              </w:rPr>
              <w:t>,</w:t>
            </w:r>
            <w:r w:rsidRPr="00135D51">
              <w:rPr>
                <w:rFonts w:eastAsia="Times New Roman" w:cs="Arial"/>
                <w:b/>
                <w:color w:val="000000"/>
              </w:rPr>
              <w:t>7</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35</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18</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17</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Neko drugo lično svojstvo</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31</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4</w:t>
            </w:r>
            <w:r>
              <w:rPr>
                <w:rFonts w:eastAsia="Times New Roman" w:cs="Arial"/>
                <w:b/>
                <w:color w:val="000000"/>
              </w:rPr>
              <w:t>,</w:t>
            </w:r>
            <w:r w:rsidRPr="00135D51">
              <w:rPr>
                <w:rFonts w:eastAsia="Times New Roman" w:cs="Arial"/>
                <w:b/>
                <w:color w:val="000000"/>
              </w:rPr>
              <w:t>9</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24</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17</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7</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4</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Verska ili politička ubeđenja</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29</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4</w:t>
            </w:r>
            <w:r>
              <w:rPr>
                <w:rFonts w:eastAsia="Times New Roman" w:cs="Arial"/>
                <w:b/>
                <w:color w:val="000000"/>
              </w:rPr>
              <w:t>,</w:t>
            </w:r>
            <w:r w:rsidRPr="00135D51">
              <w:rPr>
                <w:rFonts w:eastAsia="Times New Roman" w:cs="Arial"/>
                <w:b/>
                <w:color w:val="000000"/>
              </w:rPr>
              <w:t>6</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28</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lastRenderedPageBreak/>
              <w:t>muškarci                       18</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10</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Seksualna orijentacija</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26</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4</w:t>
            </w:r>
            <w:r>
              <w:rPr>
                <w:rFonts w:eastAsia="Times New Roman" w:cs="Arial"/>
                <w:b/>
                <w:color w:val="000000"/>
              </w:rPr>
              <w:t>,</w:t>
            </w:r>
            <w:r w:rsidRPr="00135D51">
              <w:rPr>
                <w:rFonts w:eastAsia="Times New Roman" w:cs="Arial"/>
                <w:b/>
                <w:color w:val="000000"/>
              </w:rPr>
              <w:t>1</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5</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4</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1</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19</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Državni organ</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Osuđivanost</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18</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2</w:t>
            </w:r>
            <w:r>
              <w:rPr>
                <w:rFonts w:eastAsia="Times New Roman" w:cs="Arial"/>
                <w:b/>
                <w:color w:val="000000"/>
              </w:rPr>
              <w:t>,</w:t>
            </w:r>
            <w:r w:rsidRPr="00135D51">
              <w:rPr>
                <w:rFonts w:eastAsia="Times New Roman" w:cs="Arial"/>
                <w:b/>
                <w:color w:val="000000"/>
              </w:rPr>
              <w:t>8</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18</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17</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1</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Državljanstvo</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10</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6</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7</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2</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5</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2</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Državni organ</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Preci</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9</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4</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9</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 xml:space="preserve">muškarci                       </w:t>
            </w:r>
            <w:r w:rsidR="009E53F2">
              <w:rPr>
                <w:b/>
                <w:lang w:val="sr-Latn-RS"/>
              </w:rPr>
              <w:t xml:space="preserve"> </w:t>
            </w:r>
            <w:r w:rsidRPr="00982D59">
              <w:rPr>
                <w:b/>
              </w:rPr>
              <w:t>9</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 xml:space="preserve">žene                            </w:t>
            </w:r>
            <w:r w:rsidR="009E53F2">
              <w:rPr>
                <w:b/>
                <w:lang w:val="sr-Latn-RS"/>
              </w:rPr>
              <w:t xml:space="preserve"> </w:t>
            </w:r>
            <w:r w:rsidRPr="00982D59">
              <w:rPr>
                <w:b/>
              </w:rPr>
              <w:t xml:space="preserve">  0</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Rodni identitet</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6</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9</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4</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3</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Organizacije</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lastRenderedPageBreak/>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Izgled</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5</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8</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4</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3</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Pravna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1</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Jezik</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4</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6</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4</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4</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0</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Genetske osobenosti</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3</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5</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3</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3</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0</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Rasa</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3</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2</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1</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1</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C5EFF7"/>
            <w:vAlign w:val="center"/>
          </w:tcPr>
          <w:p w:rsidR="00982D59" w:rsidRPr="00982D59" w:rsidRDefault="00982D59" w:rsidP="00010622">
            <w:pPr>
              <w:jc w:val="left"/>
              <w:rPr>
                <w:b/>
              </w:rPr>
            </w:pPr>
            <w:r w:rsidRPr="00982D59">
              <w:rPr>
                <w:b/>
              </w:rPr>
              <w:t>Rođenje</w:t>
            </w:r>
          </w:p>
        </w:tc>
        <w:tc>
          <w:tcPr>
            <w:tcW w:w="1234" w:type="dxa"/>
            <w:shd w:val="clear" w:color="auto" w:fill="C5EFF7"/>
            <w:vAlign w:val="center"/>
          </w:tcPr>
          <w:p w:rsidR="00982D59" w:rsidRPr="00135D51" w:rsidRDefault="00982D59" w:rsidP="00F9263D">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2</w:t>
            </w:r>
          </w:p>
        </w:tc>
        <w:tc>
          <w:tcPr>
            <w:tcW w:w="1255" w:type="dxa"/>
            <w:shd w:val="clear" w:color="auto" w:fill="C5EFF7"/>
            <w:vAlign w:val="center"/>
          </w:tcPr>
          <w:p w:rsidR="00982D59" w:rsidRPr="00135D51" w:rsidRDefault="00982D59" w:rsidP="00F9263D">
            <w:pPr>
              <w:spacing w:before="0" w:after="0" w:line="276" w:lineRule="auto"/>
              <w:jc w:val="center"/>
              <w:rPr>
                <w:rFonts w:eastAsia="Times New Roman" w:cs="Arial"/>
                <w:b/>
                <w:color w:val="000000"/>
              </w:rPr>
            </w:pPr>
            <w:r w:rsidRPr="00135D51">
              <w:rPr>
                <w:rFonts w:eastAsia="Times New Roman" w:cs="Arial"/>
                <w:b/>
                <w:color w:val="000000"/>
              </w:rPr>
              <w:t>0</w:t>
            </w:r>
            <w:r>
              <w:rPr>
                <w:rFonts w:eastAsia="Times New Roman" w:cs="Arial"/>
                <w:b/>
                <w:color w:val="000000"/>
              </w:rPr>
              <w:t>,</w:t>
            </w:r>
            <w:r w:rsidRPr="00135D51">
              <w:rPr>
                <w:rFonts w:eastAsia="Times New Roman" w:cs="Arial"/>
                <w:b/>
                <w:color w:val="000000"/>
              </w:rPr>
              <w:t>3</w:t>
            </w: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010622">
            <w:pPr>
              <w:jc w:val="left"/>
              <w:rPr>
                <w:b/>
              </w:rPr>
            </w:pPr>
            <w:r w:rsidRPr="00982D59">
              <w:rPr>
                <w:b/>
              </w:rPr>
              <w:t>Fizička lica</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2</w:t>
            </w: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F9263D">
            <w:pPr>
              <w:jc w:val="center"/>
              <w:rPr>
                <w:b/>
              </w:rPr>
            </w:pPr>
            <w:r w:rsidRPr="00982D59">
              <w:rPr>
                <w:b/>
              </w:rPr>
              <w:t>muškarci                        2</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hRule="exact" w:val="454"/>
        </w:trPr>
        <w:tc>
          <w:tcPr>
            <w:tcW w:w="6800" w:type="dxa"/>
            <w:vAlign w:val="center"/>
          </w:tcPr>
          <w:p w:rsidR="00982D59" w:rsidRPr="00982D59" w:rsidRDefault="00982D59" w:rsidP="009E53F2">
            <w:pPr>
              <w:jc w:val="center"/>
              <w:rPr>
                <w:b/>
              </w:rPr>
            </w:pPr>
            <w:r w:rsidRPr="00982D59">
              <w:rPr>
                <w:b/>
              </w:rPr>
              <w:t>žene                               0</w:t>
            </w:r>
          </w:p>
        </w:tc>
        <w:tc>
          <w:tcPr>
            <w:tcW w:w="1234"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c>
          <w:tcPr>
            <w:tcW w:w="1255" w:type="dxa"/>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p>
        </w:tc>
      </w:tr>
      <w:tr w:rsidR="00982D59" w:rsidRPr="00135D51" w:rsidTr="00F9263D">
        <w:tblPrEx>
          <w:tblBorders>
            <w:left w:val="none" w:sz="0" w:space="0" w:color="auto"/>
            <w:right w:val="none" w:sz="0" w:space="0" w:color="auto"/>
          </w:tblBorders>
        </w:tblPrEx>
        <w:trPr>
          <w:trHeight w:val="454"/>
        </w:trPr>
        <w:tc>
          <w:tcPr>
            <w:tcW w:w="6800" w:type="dxa"/>
            <w:shd w:val="clear" w:color="auto" w:fill="12D9EE"/>
            <w:vAlign w:val="center"/>
          </w:tcPr>
          <w:p w:rsidR="00982D59" w:rsidRPr="00010622" w:rsidRDefault="00982D59" w:rsidP="00010622">
            <w:pPr>
              <w:jc w:val="left"/>
              <w:rPr>
                <w:b/>
              </w:rPr>
            </w:pPr>
            <w:r w:rsidRPr="00010622">
              <w:rPr>
                <w:b/>
              </w:rPr>
              <w:t>Ukupan broj podnosilaca po navedenim ličnim svojstvima**</w:t>
            </w:r>
          </w:p>
        </w:tc>
        <w:tc>
          <w:tcPr>
            <w:tcW w:w="1234" w:type="dxa"/>
            <w:shd w:val="clear" w:color="auto" w:fill="12D9EE"/>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636</w:t>
            </w:r>
          </w:p>
        </w:tc>
        <w:tc>
          <w:tcPr>
            <w:tcW w:w="1255" w:type="dxa"/>
            <w:shd w:val="clear" w:color="auto" w:fill="12D9EE"/>
            <w:vAlign w:val="center"/>
          </w:tcPr>
          <w:p w:rsidR="00982D59" w:rsidRPr="00135D51" w:rsidRDefault="00982D59" w:rsidP="00F9263D">
            <w:pPr>
              <w:autoSpaceDE w:val="0"/>
              <w:autoSpaceDN w:val="0"/>
              <w:adjustRightInd w:val="0"/>
              <w:spacing w:before="0" w:after="0" w:line="276" w:lineRule="auto"/>
              <w:jc w:val="center"/>
              <w:rPr>
                <w:rFonts w:eastAsia="Times New Roman" w:cs="Arial"/>
                <w:b/>
              </w:rPr>
            </w:pPr>
            <w:r w:rsidRPr="00135D51">
              <w:rPr>
                <w:rFonts w:eastAsia="Times New Roman" w:cs="Arial"/>
                <w:b/>
              </w:rPr>
              <w:t>100</w:t>
            </w:r>
            <w:r>
              <w:rPr>
                <w:rFonts w:eastAsia="Times New Roman" w:cs="Arial"/>
                <w:b/>
              </w:rPr>
              <w:t>,</w:t>
            </w:r>
            <w:r w:rsidRPr="00135D51">
              <w:rPr>
                <w:rFonts w:eastAsia="Times New Roman" w:cs="Arial"/>
                <w:b/>
              </w:rPr>
              <w:t>0</w:t>
            </w:r>
          </w:p>
        </w:tc>
      </w:tr>
    </w:tbl>
    <w:p w:rsidR="00135D51" w:rsidRDefault="00217DFF" w:rsidP="00135D51">
      <w:pPr>
        <w:spacing w:before="0" w:after="200" w:line="276" w:lineRule="auto"/>
        <w:jc w:val="left"/>
        <w:rPr>
          <w:rFonts w:eastAsia="Times New Roman" w:cs="Arial"/>
          <w:b/>
        </w:rPr>
      </w:pPr>
      <w:r w:rsidRPr="00217DFF">
        <w:rPr>
          <w:rFonts w:eastAsia="Times New Roman" w:cs="Arial"/>
          <w:b/>
        </w:rPr>
        <w:t>** U 102 pritužbe kao osnov diskriminacije navedeno je više ličnih svojstava.</w:t>
      </w:r>
    </w:p>
    <w:p w:rsidR="00FC13A6" w:rsidRDefault="00FC13A6" w:rsidP="00135D51">
      <w:pPr>
        <w:spacing w:before="0" w:after="200" w:line="276" w:lineRule="auto"/>
        <w:jc w:val="left"/>
        <w:rPr>
          <w:rFonts w:eastAsia="Times New Roman" w:cs="Arial"/>
          <w:b/>
          <w:lang w:val="sr-Latn-RS"/>
        </w:rPr>
      </w:pPr>
    </w:p>
    <w:p w:rsidR="009E22CC" w:rsidRDefault="009E22CC" w:rsidP="00135D51">
      <w:pPr>
        <w:spacing w:before="0" w:after="200" w:line="276" w:lineRule="auto"/>
        <w:jc w:val="left"/>
        <w:rPr>
          <w:rFonts w:eastAsia="Times New Roman" w:cs="Arial"/>
          <w:b/>
          <w:lang w:val="sr-Latn-RS"/>
        </w:rPr>
      </w:pPr>
    </w:p>
    <w:p w:rsidR="009E22CC" w:rsidRDefault="009E22CC" w:rsidP="00135D51">
      <w:pPr>
        <w:spacing w:before="0" w:after="200" w:line="276" w:lineRule="auto"/>
        <w:jc w:val="left"/>
        <w:rPr>
          <w:rFonts w:eastAsia="Times New Roman" w:cs="Arial"/>
          <w:b/>
          <w:lang w:val="sr-Latn-RS"/>
        </w:rPr>
      </w:pPr>
    </w:p>
    <w:p w:rsidR="009E22CC" w:rsidRPr="009E22CC" w:rsidRDefault="009E22CC" w:rsidP="00135D51">
      <w:pPr>
        <w:spacing w:before="0" w:after="200" w:line="276" w:lineRule="auto"/>
        <w:jc w:val="left"/>
        <w:rPr>
          <w:rFonts w:eastAsia="Times New Roman" w:cs="Arial"/>
          <w:b/>
          <w:lang w:val="sr-Latn-RS"/>
        </w:rPr>
      </w:pPr>
    </w:p>
    <w:p w:rsidR="00135D51" w:rsidRPr="00135D51" w:rsidRDefault="00217DFF" w:rsidP="00135D51">
      <w:pPr>
        <w:spacing w:before="0" w:after="200" w:line="276" w:lineRule="auto"/>
        <w:jc w:val="left"/>
        <w:rPr>
          <w:rFonts w:eastAsia="Times New Roman" w:cs="Arial"/>
          <w:b/>
        </w:rPr>
      </w:pPr>
      <w:r w:rsidRPr="00217DFF">
        <w:rPr>
          <w:rFonts w:eastAsia="Times New Roman" w:cs="Arial"/>
          <w:b/>
        </w:rPr>
        <w:lastRenderedPageBreak/>
        <w:t>Osnov diskriminacije – nacionalna pripadnost</w:t>
      </w: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794"/>
        <w:gridCol w:w="1234"/>
        <w:gridCol w:w="1152"/>
      </w:tblGrid>
      <w:tr w:rsidR="00135D51" w:rsidRPr="00135D51" w:rsidTr="002D1E75">
        <w:tc>
          <w:tcPr>
            <w:tcW w:w="6794" w:type="dxa"/>
            <w:shd w:val="clear" w:color="auto" w:fill="12D9EE"/>
          </w:tcPr>
          <w:p w:rsidR="00135D51" w:rsidRPr="00135D51" w:rsidRDefault="00A91073" w:rsidP="00A91073">
            <w:pPr>
              <w:spacing w:before="0" w:after="0" w:line="276" w:lineRule="auto"/>
              <w:jc w:val="left"/>
              <w:rPr>
                <w:rFonts w:eastAsia="Times New Roman" w:cs="Arial"/>
                <w:b/>
              </w:rPr>
            </w:pPr>
            <w:r>
              <w:rPr>
                <w:rFonts w:eastAsia="Times New Roman" w:cs="Arial"/>
                <w:b/>
                <w:lang w:val="sr-Latn-RS"/>
              </w:rPr>
              <w:t>Pritužbe – nacionalna pripadnost</w:t>
            </w:r>
          </w:p>
        </w:tc>
        <w:tc>
          <w:tcPr>
            <w:tcW w:w="1234" w:type="dxa"/>
            <w:shd w:val="clear" w:color="auto" w:fill="12D9EE"/>
          </w:tcPr>
          <w:p w:rsidR="00135D51" w:rsidRPr="00217DFF" w:rsidRDefault="00217DFF" w:rsidP="00DF056F">
            <w:pPr>
              <w:spacing w:before="0" w:after="0" w:line="276" w:lineRule="auto"/>
              <w:jc w:val="center"/>
              <w:rPr>
                <w:rFonts w:eastAsia="Times New Roman" w:cs="Arial"/>
                <w:b/>
                <w:lang w:val="sr-Latn-RS"/>
              </w:rPr>
            </w:pPr>
            <w:r>
              <w:rPr>
                <w:rFonts w:eastAsia="Times New Roman" w:cs="Arial"/>
                <w:b/>
                <w:lang w:val="sr-Latn-RS"/>
              </w:rPr>
              <w:t>broj</w:t>
            </w:r>
          </w:p>
        </w:tc>
        <w:tc>
          <w:tcPr>
            <w:tcW w:w="1152" w:type="dxa"/>
            <w:shd w:val="clear" w:color="auto" w:fill="12D9EE"/>
          </w:tcPr>
          <w:p w:rsidR="00135D51" w:rsidRPr="00135D51" w:rsidRDefault="00135D51" w:rsidP="00DF056F">
            <w:pPr>
              <w:spacing w:before="0" w:after="0" w:line="276" w:lineRule="auto"/>
              <w:jc w:val="center"/>
              <w:rPr>
                <w:rFonts w:eastAsia="Times New Roman" w:cs="Arial"/>
                <w:b/>
              </w:rPr>
            </w:pPr>
            <w:r w:rsidRPr="00135D51">
              <w:rPr>
                <w:rFonts w:eastAsia="Times New Roman" w:cs="Arial"/>
                <w:b/>
              </w:rPr>
              <w:t>%</w:t>
            </w:r>
          </w:p>
          <w:p w:rsidR="00135D51" w:rsidRPr="00135D51" w:rsidRDefault="00135D51" w:rsidP="00DF056F">
            <w:pPr>
              <w:spacing w:before="0" w:after="0" w:line="276" w:lineRule="auto"/>
              <w:jc w:val="center"/>
              <w:rPr>
                <w:rFonts w:eastAsia="Times New Roman" w:cs="Arial"/>
                <w:b/>
              </w:rPr>
            </w:pPr>
          </w:p>
        </w:tc>
      </w:tr>
      <w:tr w:rsidR="00A91073" w:rsidRPr="00135D51" w:rsidTr="00DF056F">
        <w:tc>
          <w:tcPr>
            <w:tcW w:w="6794" w:type="dxa"/>
          </w:tcPr>
          <w:p w:rsidR="00A91073" w:rsidRPr="009E22CC" w:rsidRDefault="00A91073" w:rsidP="00A91073">
            <w:pPr>
              <w:rPr>
                <w:b/>
              </w:rPr>
            </w:pPr>
            <w:r w:rsidRPr="009E22CC">
              <w:rPr>
                <w:b/>
              </w:rPr>
              <w:t>Romska nacionalna manjina</w:t>
            </w:r>
          </w:p>
        </w:tc>
        <w:tc>
          <w:tcPr>
            <w:tcW w:w="1234" w:type="dxa"/>
          </w:tcPr>
          <w:p w:rsidR="00A91073" w:rsidRPr="00217DFF" w:rsidRDefault="00A91073" w:rsidP="00DF056F">
            <w:pPr>
              <w:jc w:val="center"/>
              <w:rPr>
                <w:b/>
              </w:rPr>
            </w:pPr>
            <w:r w:rsidRPr="00217DFF">
              <w:rPr>
                <w:b/>
              </w:rPr>
              <w:t>23</w:t>
            </w:r>
          </w:p>
        </w:tc>
        <w:tc>
          <w:tcPr>
            <w:tcW w:w="1152" w:type="dxa"/>
          </w:tcPr>
          <w:p w:rsidR="00A91073" w:rsidRPr="00217DFF" w:rsidRDefault="00A91073" w:rsidP="00DF056F">
            <w:pPr>
              <w:jc w:val="center"/>
              <w:rPr>
                <w:b/>
              </w:rPr>
            </w:pPr>
            <w:r w:rsidRPr="00217DFF">
              <w:rPr>
                <w:b/>
              </w:rPr>
              <w:t>38,3</w:t>
            </w:r>
          </w:p>
        </w:tc>
      </w:tr>
      <w:tr w:rsidR="00A91073" w:rsidRPr="00135D51" w:rsidTr="00DF056F">
        <w:tc>
          <w:tcPr>
            <w:tcW w:w="6794" w:type="dxa"/>
          </w:tcPr>
          <w:p w:rsidR="00A91073" w:rsidRPr="009E22CC" w:rsidRDefault="00A91073" w:rsidP="00A91073">
            <w:pPr>
              <w:rPr>
                <w:b/>
              </w:rPr>
            </w:pPr>
            <w:r w:rsidRPr="009E22CC">
              <w:rPr>
                <w:b/>
              </w:rPr>
              <w:t>Hrvatska nacionalna manjina</w:t>
            </w:r>
          </w:p>
        </w:tc>
        <w:tc>
          <w:tcPr>
            <w:tcW w:w="1234" w:type="dxa"/>
          </w:tcPr>
          <w:p w:rsidR="00A91073" w:rsidRPr="00217DFF" w:rsidRDefault="00A91073" w:rsidP="00DF056F">
            <w:pPr>
              <w:jc w:val="center"/>
              <w:rPr>
                <w:b/>
              </w:rPr>
            </w:pPr>
            <w:r w:rsidRPr="00217DFF">
              <w:rPr>
                <w:b/>
              </w:rPr>
              <w:t>7</w:t>
            </w:r>
          </w:p>
        </w:tc>
        <w:tc>
          <w:tcPr>
            <w:tcW w:w="1152" w:type="dxa"/>
          </w:tcPr>
          <w:p w:rsidR="00A91073" w:rsidRPr="00217DFF" w:rsidRDefault="00A91073" w:rsidP="00DF056F">
            <w:pPr>
              <w:jc w:val="center"/>
              <w:rPr>
                <w:b/>
              </w:rPr>
            </w:pPr>
            <w:r w:rsidRPr="00217DFF">
              <w:rPr>
                <w:b/>
              </w:rPr>
              <w:t>11,7</w:t>
            </w:r>
          </w:p>
        </w:tc>
      </w:tr>
      <w:tr w:rsidR="00A91073" w:rsidRPr="00135D51" w:rsidTr="00DF056F">
        <w:tc>
          <w:tcPr>
            <w:tcW w:w="6794" w:type="dxa"/>
          </w:tcPr>
          <w:p w:rsidR="00A91073" w:rsidRPr="009E22CC" w:rsidRDefault="00A91073" w:rsidP="00A91073">
            <w:pPr>
              <w:rPr>
                <w:b/>
              </w:rPr>
            </w:pPr>
            <w:r w:rsidRPr="009E22CC">
              <w:rPr>
                <w:b/>
              </w:rPr>
              <w:t>Albanska nacionalna manjina</w:t>
            </w:r>
          </w:p>
        </w:tc>
        <w:tc>
          <w:tcPr>
            <w:tcW w:w="1234" w:type="dxa"/>
          </w:tcPr>
          <w:p w:rsidR="00A91073" w:rsidRPr="00217DFF" w:rsidRDefault="00A91073" w:rsidP="00DF056F">
            <w:pPr>
              <w:jc w:val="center"/>
              <w:rPr>
                <w:b/>
              </w:rPr>
            </w:pPr>
            <w:r w:rsidRPr="00217DFF">
              <w:rPr>
                <w:b/>
              </w:rPr>
              <w:t>6</w:t>
            </w:r>
          </w:p>
        </w:tc>
        <w:tc>
          <w:tcPr>
            <w:tcW w:w="1152" w:type="dxa"/>
          </w:tcPr>
          <w:p w:rsidR="00A91073" w:rsidRPr="00217DFF" w:rsidRDefault="00A91073" w:rsidP="00DF056F">
            <w:pPr>
              <w:jc w:val="center"/>
              <w:rPr>
                <w:b/>
              </w:rPr>
            </w:pPr>
            <w:r w:rsidRPr="00217DFF">
              <w:rPr>
                <w:b/>
              </w:rPr>
              <w:t>10,0</w:t>
            </w:r>
          </w:p>
        </w:tc>
      </w:tr>
      <w:tr w:rsidR="00A91073" w:rsidRPr="00135D51" w:rsidTr="00DF056F">
        <w:tc>
          <w:tcPr>
            <w:tcW w:w="6794" w:type="dxa"/>
          </w:tcPr>
          <w:p w:rsidR="00A91073" w:rsidRPr="009E22CC" w:rsidRDefault="00A91073" w:rsidP="00A91073">
            <w:pPr>
              <w:rPr>
                <w:b/>
              </w:rPr>
            </w:pPr>
            <w:r w:rsidRPr="009E22CC">
              <w:rPr>
                <w:b/>
              </w:rPr>
              <w:t>Rumunska nacionalna manjina</w:t>
            </w:r>
          </w:p>
        </w:tc>
        <w:tc>
          <w:tcPr>
            <w:tcW w:w="1234" w:type="dxa"/>
          </w:tcPr>
          <w:p w:rsidR="00A91073" w:rsidRPr="00217DFF" w:rsidRDefault="00A91073" w:rsidP="00DF056F">
            <w:pPr>
              <w:jc w:val="center"/>
              <w:rPr>
                <w:b/>
              </w:rPr>
            </w:pPr>
            <w:r w:rsidRPr="00217DFF">
              <w:rPr>
                <w:b/>
              </w:rPr>
              <w:t>4</w:t>
            </w:r>
          </w:p>
        </w:tc>
        <w:tc>
          <w:tcPr>
            <w:tcW w:w="1152" w:type="dxa"/>
          </w:tcPr>
          <w:p w:rsidR="00A91073" w:rsidRPr="00217DFF" w:rsidRDefault="00A91073" w:rsidP="00DF056F">
            <w:pPr>
              <w:jc w:val="center"/>
              <w:rPr>
                <w:b/>
              </w:rPr>
            </w:pPr>
            <w:r w:rsidRPr="00217DFF">
              <w:rPr>
                <w:b/>
              </w:rPr>
              <w:t>6.7</w:t>
            </w:r>
          </w:p>
        </w:tc>
      </w:tr>
      <w:tr w:rsidR="00A91073" w:rsidRPr="00135D51" w:rsidTr="00DF056F">
        <w:tc>
          <w:tcPr>
            <w:tcW w:w="6794" w:type="dxa"/>
          </w:tcPr>
          <w:p w:rsidR="00A91073" w:rsidRPr="009E22CC" w:rsidRDefault="00A91073" w:rsidP="00A91073">
            <w:pPr>
              <w:rPr>
                <w:b/>
              </w:rPr>
            </w:pPr>
            <w:r w:rsidRPr="009E22CC">
              <w:rPr>
                <w:b/>
              </w:rPr>
              <w:t>Vlaška nacionalna manjina</w:t>
            </w:r>
          </w:p>
        </w:tc>
        <w:tc>
          <w:tcPr>
            <w:tcW w:w="1234" w:type="dxa"/>
          </w:tcPr>
          <w:p w:rsidR="00A91073" w:rsidRPr="00217DFF" w:rsidRDefault="00A91073" w:rsidP="00DF056F">
            <w:pPr>
              <w:jc w:val="center"/>
              <w:rPr>
                <w:b/>
              </w:rPr>
            </w:pPr>
            <w:r w:rsidRPr="00217DFF">
              <w:rPr>
                <w:b/>
              </w:rPr>
              <w:t>4</w:t>
            </w:r>
          </w:p>
        </w:tc>
        <w:tc>
          <w:tcPr>
            <w:tcW w:w="1152" w:type="dxa"/>
          </w:tcPr>
          <w:p w:rsidR="00A91073" w:rsidRPr="00217DFF" w:rsidRDefault="00A91073" w:rsidP="00DF056F">
            <w:pPr>
              <w:jc w:val="center"/>
              <w:rPr>
                <w:b/>
              </w:rPr>
            </w:pPr>
            <w:r w:rsidRPr="00217DFF">
              <w:rPr>
                <w:b/>
              </w:rPr>
              <w:t>6,7</w:t>
            </w:r>
          </w:p>
        </w:tc>
      </w:tr>
      <w:tr w:rsidR="00A91073" w:rsidRPr="00135D51" w:rsidTr="00DF056F">
        <w:tc>
          <w:tcPr>
            <w:tcW w:w="6794" w:type="dxa"/>
          </w:tcPr>
          <w:p w:rsidR="00A91073" w:rsidRPr="009E22CC" w:rsidRDefault="00A91073" w:rsidP="00A91073">
            <w:pPr>
              <w:rPr>
                <w:b/>
              </w:rPr>
            </w:pPr>
            <w:r w:rsidRPr="009E22CC">
              <w:rPr>
                <w:b/>
              </w:rPr>
              <w:t>Mađarska nacionalna manjina</w:t>
            </w:r>
          </w:p>
        </w:tc>
        <w:tc>
          <w:tcPr>
            <w:tcW w:w="1234" w:type="dxa"/>
          </w:tcPr>
          <w:p w:rsidR="00A91073" w:rsidRPr="00217DFF" w:rsidRDefault="00A91073" w:rsidP="00DF056F">
            <w:pPr>
              <w:jc w:val="center"/>
              <w:rPr>
                <w:b/>
              </w:rPr>
            </w:pPr>
            <w:r w:rsidRPr="00217DFF">
              <w:rPr>
                <w:b/>
              </w:rPr>
              <w:t>3</w:t>
            </w:r>
          </w:p>
        </w:tc>
        <w:tc>
          <w:tcPr>
            <w:tcW w:w="1152" w:type="dxa"/>
          </w:tcPr>
          <w:p w:rsidR="00A91073" w:rsidRPr="00217DFF" w:rsidRDefault="00A91073" w:rsidP="00DF056F">
            <w:pPr>
              <w:jc w:val="center"/>
              <w:rPr>
                <w:b/>
              </w:rPr>
            </w:pPr>
            <w:r w:rsidRPr="00217DFF">
              <w:rPr>
                <w:b/>
              </w:rPr>
              <w:t>5,0</w:t>
            </w:r>
          </w:p>
        </w:tc>
      </w:tr>
      <w:tr w:rsidR="00A91073" w:rsidRPr="00135D51" w:rsidTr="00DF056F">
        <w:tc>
          <w:tcPr>
            <w:tcW w:w="6794" w:type="dxa"/>
          </w:tcPr>
          <w:p w:rsidR="00A91073" w:rsidRPr="009E22CC" w:rsidRDefault="00A91073" w:rsidP="00A91073">
            <w:pPr>
              <w:rPr>
                <w:b/>
              </w:rPr>
            </w:pPr>
            <w:r w:rsidRPr="009E22CC">
              <w:rPr>
                <w:b/>
              </w:rPr>
              <w:t>Bošnjačka nacionalna manjina</w:t>
            </w:r>
          </w:p>
        </w:tc>
        <w:tc>
          <w:tcPr>
            <w:tcW w:w="1234" w:type="dxa"/>
          </w:tcPr>
          <w:p w:rsidR="00A91073" w:rsidRPr="00217DFF" w:rsidRDefault="00A91073" w:rsidP="00DF056F">
            <w:pPr>
              <w:jc w:val="center"/>
              <w:rPr>
                <w:b/>
              </w:rPr>
            </w:pPr>
            <w:r w:rsidRPr="00217DFF">
              <w:rPr>
                <w:b/>
              </w:rPr>
              <w:t>2</w:t>
            </w:r>
          </w:p>
        </w:tc>
        <w:tc>
          <w:tcPr>
            <w:tcW w:w="1152" w:type="dxa"/>
          </w:tcPr>
          <w:p w:rsidR="00A91073" w:rsidRPr="00217DFF" w:rsidRDefault="00A91073" w:rsidP="00DF056F">
            <w:pPr>
              <w:jc w:val="center"/>
              <w:rPr>
                <w:b/>
              </w:rPr>
            </w:pPr>
            <w:r w:rsidRPr="00217DFF">
              <w:rPr>
                <w:b/>
              </w:rPr>
              <w:t>3,3</w:t>
            </w:r>
          </w:p>
        </w:tc>
      </w:tr>
      <w:tr w:rsidR="00A91073" w:rsidRPr="00135D51" w:rsidTr="00DF056F">
        <w:tc>
          <w:tcPr>
            <w:tcW w:w="6794" w:type="dxa"/>
          </w:tcPr>
          <w:p w:rsidR="00A91073" w:rsidRPr="009E22CC" w:rsidRDefault="00A91073" w:rsidP="00A91073">
            <w:pPr>
              <w:rPr>
                <w:b/>
              </w:rPr>
            </w:pPr>
            <w:r w:rsidRPr="009E22CC">
              <w:rPr>
                <w:b/>
              </w:rPr>
              <w:t>Makedonska nacionalna manjina</w:t>
            </w:r>
          </w:p>
        </w:tc>
        <w:tc>
          <w:tcPr>
            <w:tcW w:w="1234" w:type="dxa"/>
          </w:tcPr>
          <w:p w:rsidR="00A91073" w:rsidRPr="00217DFF" w:rsidRDefault="00A91073" w:rsidP="00DF056F">
            <w:pPr>
              <w:jc w:val="center"/>
              <w:rPr>
                <w:b/>
              </w:rPr>
            </w:pPr>
            <w:r w:rsidRPr="00217DFF">
              <w:rPr>
                <w:b/>
              </w:rPr>
              <w:t>1</w:t>
            </w:r>
          </w:p>
        </w:tc>
        <w:tc>
          <w:tcPr>
            <w:tcW w:w="1152" w:type="dxa"/>
          </w:tcPr>
          <w:p w:rsidR="00A91073" w:rsidRPr="00217DFF" w:rsidRDefault="00A91073" w:rsidP="00DF056F">
            <w:pPr>
              <w:jc w:val="center"/>
              <w:rPr>
                <w:b/>
              </w:rPr>
            </w:pPr>
            <w:r w:rsidRPr="00217DFF">
              <w:rPr>
                <w:b/>
              </w:rPr>
              <w:t>1,7</w:t>
            </w:r>
          </w:p>
        </w:tc>
      </w:tr>
      <w:tr w:rsidR="00A91073" w:rsidRPr="00135D51" w:rsidTr="00DF056F">
        <w:trPr>
          <w:trHeight w:val="627"/>
        </w:trPr>
        <w:tc>
          <w:tcPr>
            <w:tcW w:w="6794" w:type="dxa"/>
          </w:tcPr>
          <w:p w:rsidR="00A91073" w:rsidRPr="009E22CC" w:rsidRDefault="00A91073" w:rsidP="00A91073">
            <w:pPr>
              <w:rPr>
                <w:b/>
              </w:rPr>
            </w:pPr>
            <w:r w:rsidRPr="009E22CC">
              <w:rPr>
                <w:b/>
              </w:rPr>
              <w:t>Slovačka nacionalna manjina</w:t>
            </w:r>
          </w:p>
        </w:tc>
        <w:tc>
          <w:tcPr>
            <w:tcW w:w="1234" w:type="dxa"/>
          </w:tcPr>
          <w:p w:rsidR="00A91073" w:rsidRPr="00217DFF" w:rsidRDefault="00A91073" w:rsidP="00DF056F">
            <w:pPr>
              <w:jc w:val="center"/>
              <w:rPr>
                <w:b/>
              </w:rPr>
            </w:pPr>
            <w:r w:rsidRPr="00217DFF">
              <w:rPr>
                <w:b/>
              </w:rPr>
              <w:t>1</w:t>
            </w:r>
          </w:p>
        </w:tc>
        <w:tc>
          <w:tcPr>
            <w:tcW w:w="1152" w:type="dxa"/>
          </w:tcPr>
          <w:p w:rsidR="00A91073" w:rsidRPr="00217DFF" w:rsidRDefault="00A91073" w:rsidP="00DF056F">
            <w:pPr>
              <w:jc w:val="center"/>
              <w:rPr>
                <w:b/>
              </w:rPr>
            </w:pPr>
            <w:r w:rsidRPr="00217DFF">
              <w:rPr>
                <w:b/>
              </w:rPr>
              <w:t>1,7</w:t>
            </w:r>
          </w:p>
        </w:tc>
      </w:tr>
      <w:tr w:rsidR="00A91073" w:rsidRPr="00135D51" w:rsidTr="00DF056F">
        <w:trPr>
          <w:trHeight w:val="567"/>
        </w:trPr>
        <w:tc>
          <w:tcPr>
            <w:tcW w:w="6794" w:type="dxa"/>
          </w:tcPr>
          <w:p w:rsidR="00A91073" w:rsidRPr="009E22CC" w:rsidRDefault="00A91073" w:rsidP="00A91073">
            <w:pPr>
              <w:rPr>
                <w:b/>
              </w:rPr>
            </w:pPr>
            <w:r w:rsidRPr="009E22CC">
              <w:rPr>
                <w:b/>
              </w:rPr>
              <w:t>Grčka nacionalna manjina</w:t>
            </w:r>
          </w:p>
        </w:tc>
        <w:tc>
          <w:tcPr>
            <w:tcW w:w="1234" w:type="dxa"/>
          </w:tcPr>
          <w:p w:rsidR="00A91073" w:rsidRPr="00217DFF" w:rsidRDefault="00A91073" w:rsidP="00DF056F">
            <w:pPr>
              <w:jc w:val="center"/>
              <w:rPr>
                <w:b/>
              </w:rPr>
            </w:pPr>
            <w:r w:rsidRPr="00217DFF">
              <w:rPr>
                <w:b/>
              </w:rPr>
              <w:t>1</w:t>
            </w:r>
          </w:p>
        </w:tc>
        <w:tc>
          <w:tcPr>
            <w:tcW w:w="1152" w:type="dxa"/>
          </w:tcPr>
          <w:p w:rsidR="00A91073" w:rsidRPr="00217DFF" w:rsidRDefault="00A91073" w:rsidP="00DF056F">
            <w:pPr>
              <w:jc w:val="center"/>
              <w:rPr>
                <w:b/>
              </w:rPr>
            </w:pPr>
            <w:r w:rsidRPr="00217DFF">
              <w:rPr>
                <w:b/>
              </w:rPr>
              <w:t>1,7</w:t>
            </w:r>
          </w:p>
        </w:tc>
      </w:tr>
      <w:tr w:rsidR="00A91073" w:rsidRPr="00135D51" w:rsidTr="00DF056F">
        <w:tc>
          <w:tcPr>
            <w:tcW w:w="6794" w:type="dxa"/>
          </w:tcPr>
          <w:p w:rsidR="00A91073" w:rsidRPr="009E22CC" w:rsidRDefault="00A91073" w:rsidP="00A91073">
            <w:pPr>
              <w:rPr>
                <w:b/>
              </w:rPr>
            </w:pPr>
            <w:r w:rsidRPr="009E22CC">
              <w:rPr>
                <w:b/>
              </w:rPr>
              <w:t xml:space="preserve">Druge nacionalne manjine </w:t>
            </w:r>
          </w:p>
        </w:tc>
        <w:tc>
          <w:tcPr>
            <w:tcW w:w="1234" w:type="dxa"/>
          </w:tcPr>
          <w:p w:rsidR="00A91073" w:rsidRPr="00217DFF" w:rsidRDefault="00A91073" w:rsidP="00DF056F">
            <w:pPr>
              <w:jc w:val="center"/>
              <w:rPr>
                <w:b/>
              </w:rPr>
            </w:pPr>
            <w:r w:rsidRPr="00217DFF">
              <w:rPr>
                <w:b/>
              </w:rPr>
              <w:t>8</w:t>
            </w:r>
          </w:p>
        </w:tc>
        <w:tc>
          <w:tcPr>
            <w:tcW w:w="1152" w:type="dxa"/>
          </w:tcPr>
          <w:p w:rsidR="00A91073" w:rsidRPr="00217DFF" w:rsidRDefault="00A91073" w:rsidP="00DF056F">
            <w:pPr>
              <w:jc w:val="center"/>
              <w:rPr>
                <w:b/>
              </w:rPr>
            </w:pPr>
            <w:r w:rsidRPr="00217DFF">
              <w:rPr>
                <w:b/>
              </w:rPr>
              <w:t>13,3</w:t>
            </w:r>
          </w:p>
        </w:tc>
      </w:tr>
      <w:tr w:rsidR="00217DFF" w:rsidRPr="00135D51" w:rsidTr="00DF056F">
        <w:tc>
          <w:tcPr>
            <w:tcW w:w="6794" w:type="dxa"/>
            <w:shd w:val="clear" w:color="auto" w:fill="12D9EE"/>
          </w:tcPr>
          <w:p w:rsidR="00217DFF" w:rsidRPr="00217DFF" w:rsidRDefault="00217DFF" w:rsidP="00DF056F">
            <w:pPr>
              <w:rPr>
                <w:b/>
              </w:rPr>
            </w:pPr>
            <w:r w:rsidRPr="00217DFF">
              <w:rPr>
                <w:b/>
              </w:rPr>
              <w:t>Ukupan broj pritužbi</w:t>
            </w:r>
          </w:p>
        </w:tc>
        <w:tc>
          <w:tcPr>
            <w:tcW w:w="1234" w:type="dxa"/>
            <w:shd w:val="clear" w:color="auto" w:fill="12D9EE"/>
          </w:tcPr>
          <w:p w:rsidR="00217DFF" w:rsidRPr="00217DFF" w:rsidRDefault="00217DFF" w:rsidP="00DF056F">
            <w:pPr>
              <w:jc w:val="center"/>
              <w:rPr>
                <w:b/>
              </w:rPr>
            </w:pPr>
            <w:r w:rsidRPr="00217DFF">
              <w:rPr>
                <w:b/>
              </w:rPr>
              <w:t>60</w:t>
            </w:r>
          </w:p>
        </w:tc>
        <w:tc>
          <w:tcPr>
            <w:tcW w:w="1152" w:type="dxa"/>
            <w:shd w:val="clear" w:color="auto" w:fill="12D9EE"/>
          </w:tcPr>
          <w:p w:rsidR="00217DFF" w:rsidRPr="00217DFF" w:rsidRDefault="00217DFF" w:rsidP="00DF056F">
            <w:pPr>
              <w:jc w:val="center"/>
              <w:rPr>
                <w:b/>
                <w:lang w:val="sr-Latn-RS"/>
              </w:rPr>
            </w:pPr>
            <w:r w:rsidRPr="00217DFF">
              <w:rPr>
                <w:b/>
                <w:lang w:val="sr-Latn-RS"/>
              </w:rPr>
              <w:t>100</w:t>
            </w:r>
          </w:p>
        </w:tc>
      </w:tr>
    </w:tbl>
    <w:p w:rsidR="00135D51" w:rsidRDefault="00135D51" w:rsidP="00135D51">
      <w:pPr>
        <w:spacing w:before="0" w:after="200" w:line="276" w:lineRule="auto"/>
        <w:jc w:val="left"/>
        <w:rPr>
          <w:rFonts w:eastAsia="Times New Roman" w:cs="Arial"/>
          <w:b/>
        </w:rPr>
      </w:pPr>
    </w:p>
    <w:p w:rsidR="003C103D" w:rsidRDefault="002D1E75" w:rsidP="00135D51">
      <w:pPr>
        <w:spacing w:before="0" w:after="200" w:line="276" w:lineRule="auto"/>
        <w:jc w:val="left"/>
        <w:rPr>
          <w:rFonts w:eastAsia="Times New Roman" w:cs="Arial"/>
          <w:b/>
        </w:rPr>
      </w:pPr>
      <w:r>
        <w:rPr>
          <w:rFonts w:eastAsia="Times New Roman" w:cs="Arial"/>
          <w:b/>
        </w:rPr>
        <w:br/>
      </w:r>
    </w:p>
    <w:p w:rsidR="00135D51" w:rsidRPr="00135D51" w:rsidRDefault="00217DFF" w:rsidP="00135D51">
      <w:pPr>
        <w:spacing w:before="0" w:after="200" w:line="276" w:lineRule="auto"/>
        <w:jc w:val="left"/>
        <w:outlineLvl w:val="0"/>
        <w:rPr>
          <w:rFonts w:eastAsia="Times New Roman" w:cs="Arial"/>
          <w:b/>
        </w:rPr>
      </w:pPr>
      <w:r w:rsidRPr="00217DFF">
        <w:rPr>
          <w:rFonts w:eastAsia="Times New Roman" w:cs="Arial"/>
          <w:b/>
        </w:rPr>
        <w:t>Osnov diskriminacije – starosno doba</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969"/>
        <w:gridCol w:w="1063"/>
        <w:gridCol w:w="1257"/>
      </w:tblGrid>
      <w:tr w:rsidR="00135D51" w:rsidRPr="00135D51" w:rsidTr="002D1E75">
        <w:tc>
          <w:tcPr>
            <w:tcW w:w="6969" w:type="dxa"/>
            <w:shd w:val="clear" w:color="auto" w:fill="12D9EE"/>
          </w:tcPr>
          <w:p w:rsidR="00135D51" w:rsidRPr="00135D51" w:rsidRDefault="00DF056F" w:rsidP="00DF056F">
            <w:pPr>
              <w:spacing w:before="0" w:after="0" w:line="276" w:lineRule="auto"/>
              <w:jc w:val="left"/>
              <w:rPr>
                <w:rFonts w:eastAsia="Times New Roman" w:cs="Arial"/>
                <w:b/>
              </w:rPr>
            </w:pPr>
            <w:r>
              <w:rPr>
                <w:rFonts w:eastAsia="Times New Roman" w:cs="Arial"/>
                <w:b/>
                <w:lang w:val="sr-Latn-RS"/>
              </w:rPr>
              <w:t>Pritužbe – starosno doba</w:t>
            </w:r>
          </w:p>
        </w:tc>
        <w:tc>
          <w:tcPr>
            <w:tcW w:w="1063" w:type="dxa"/>
            <w:shd w:val="clear" w:color="auto" w:fill="12D9EE"/>
          </w:tcPr>
          <w:p w:rsidR="00135D51" w:rsidRPr="00DF056F" w:rsidRDefault="00DF056F" w:rsidP="00DF056F">
            <w:pPr>
              <w:spacing w:before="0" w:after="0" w:line="276" w:lineRule="auto"/>
              <w:jc w:val="center"/>
              <w:rPr>
                <w:rFonts w:eastAsia="Times New Roman" w:cs="Arial"/>
                <w:b/>
                <w:lang w:val="sr-Latn-RS"/>
              </w:rPr>
            </w:pPr>
            <w:r>
              <w:rPr>
                <w:rFonts w:eastAsia="Times New Roman" w:cs="Arial"/>
                <w:b/>
                <w:lang w:val="sr-Latn-RS"/>
              </w:rPr>
              <w:t>broj</w:t>
            </w:r>
          </w:p>
        </w:tc>
        <w:tc>
          <w:tcPr>
            <w:tcW w:w="1257" w:type="dxa"/>
            <w:shd w:val="clear" w:color="auto" w:fill="12D9EE"/>
          </w:tcPr>
          <w:p w:rsidR="00135D51" w:rsidRPr="00135D51" w:rsidRDefault="00135D51" w:rsidP="00DF056F">
            <w:pPr>
              <w:spacing w:before="0" w:after="0" w:line="276" w:lineRule="auto"/>
              <w:jc w:val="center"/>
              <w:rPr>
                <w:rFonts w:eastAsia="Times New Roman" w:cs="Arial"/>
                <w:b/>
              </w:rPr>
            </w:pPr>
            <w:r w:rsidRPr="00135D51">
              <w:rPr>
                <w:rFonts w:eastAsia="Times New Roman" w:cs="Arial"/>
                <w:b/>
              </w:rPr>
              <w:t>%</w:t>
            </w:r>
          </w:p>
          <w:p w:rsidR="00135D51" w:rsidRPr="00135D51" w:rsidRDefault="00135D51" w:rsidP="00DF056F">
            <w:pPr>
              <w:spacing w:before="0" w:after="0" w:line="276" w:lineRule="auto"/>
              <w:jc w:val="center"/>
              <w:rPr>
                <w:rFonts w:eastAsia="Times New Roman" w:cs="Arial"/>
                <w:b/>
              </w:rPr>
            </w:pPr>
          </w:p>
        </w:tc>
      </w:tr>
      <w:tr w:rsidR="00DF056F" w:rsidRPr="00135D51" w:rsidTr="00DF056F">
        <w:tc>
          <w:tcPr>
            <w:tcW w:w="6969" w:type="dxa"/>
          </w:tcPr>
          <w:p w:rsidR="00DF056F" w:rsidRPr="00DF056F" w:rsidRDefault="00DF056F" w:rsidP="00DF056F">
            <w:pPr>
              <w:rPr>
                <w:b/>
              </w:rPr>
            </w:pPr>
            <w:r w:rsidRPr="00DF056F">
              <w:rPr>
                <w:b/>
              </w:rPr>
              <w:t>Stariji – preko 65 godina</w:t>
            </w:r>
          </w:p>
        </w:tc>
        <w:tc>
          <w:tcPr>
            <w:tcW w:w="1063" w:type="dxa"/>
          </w:tcPr>
          <w:p w:rsidR="00DF056F" w:rsidRPr="00DF056F" w:rsidRDefault="00DF056F" w:rsidP="00DF056F">
            <w:pPr>
              <w:jc w:val="center"/>
              <w:rPr>
                <w:b/>
              </w:rPr>
            </w:pPr>
            <w:r w:rsidRPr="00DF056F">
              <w:rPr>
                <w:b/>
              </w:rPr>
              <w:t>17</w:t>
            </w:r>
          </w:p>
        </w:tc>
        <w:tc>
          <w:tcPr>
            <w:tcW w:w="1257" w:type="dxa"/>
          </w:tcPr>
          <w:p w:rsidR="00DF056F" w:rsidRPr="00DF056F" w:rsidRDefault="00DF056F" w:rsidP="00DF056F">
            <w:pPr>
              <w:jc w:val="center"/>
              <w:rPr>
                <w:b/>
              </w:rPr>
            </w:pPr>
            <w:r w:rsidRPr="00DF056F">
              <w:rPr>
                <w:b/>
              </w:rPr>
              <w:t>22,6</w:t>
            </w:r>
          </w:p>
        </w:tc>
      </w:tr>
      <w:tr w:rsidR="00DF056F" w:rsidRPr="00135D51" w:rsidTr="00DF056F">
        <w:tc>
          <w:tcPr>
            <w:tcW w:w="6969" w:type="dxa"/>
          </w:tcPr>
          <w:p w:rsidR="00DF056F" w:rsidRPr="00DF056F" w:rsidRDefault="00DF056F" w:rsidP="00DF056F">
            <w:pPr>
              <w:rPr>
                <w:b/>
              </w:rPr>
            </w:pPr>
            <w:r w:rsidRPr="00DF056F">
              <w:rPr>
                <w:b/>
              </w:rPr>
              <w:t>Deca do 18 godina</w:t>
            </w:r>
          </w:p>
        </w:tc>
        <w:tc>
          <w:tcPr>
            <w:tcW w:w="1063" w:type="dxa"/>
          </w:tcPr>
          <w:p w:rsidR="00DF056F" w:rsidRPr="00DF056F" w:rsidRDefault="00DF056F" w:rsidP="00DF056F">
            <w:pPr>
              <w:jc w:val="center"/>
              <w:rPr>
                <w:b/>
              </w:rPr>
            </w:pPr>
            <w:r w:rsidRPr="00DF056F">
              <w:rPr>
                <w:b/>
              </w:rPr>
              <w:t>30</w:t>
            </w:r>
          </w:p>
        </w:tc>
        <w:tc>
          <w:tcPr>
            <w:tcW w:w="1257" w:type="dxa"/>
          </w:tcPr>
          <w:p w:rsidR="00DF056F" w:rsidRPr="00DF056F" w:rsidRDefault="00DF056F" w:rsidP="00DF056F">
            <w:pPr>
              <w:jc w:val="center"/>
              <w:rPr>
                <w:b/>
              </w:rPr>
            </w:pPr>
            <w:r w:rsidRPr="00DF056F">
              <w:rPr>
                <w:b/>
              </w:rPr>
              <w:t>40,0</w:t>
            </w:r>
          </w:p>
        </w:tc>
      </w:tr>
      <w:tr w:rsidR="00DF056F" w:rsidRPr="00135D51" w:rsidTr="00DF056F">
        <w:tc>
          <w:tcPr>
            <w:tcW w:w="6969" w:type="dxa"/>
          </w:tcPr>
          <w:p w:rsidR="00DF056F" w:rsidRPr="00DF056F" w:rsidRDefault="00DF056F" w:rsidP="00DF056F">
            <w:pPr>
              <w:rPr>
                <w:b/>
              </w:rPr>
            </w:pPr>
            <w:r w:rsidRPr="00DF056F">
              <w:rPr>
                <w:b/>
              </w:rPr>
              <w:t>Od 18 do 65</w:t>
            </w:r>
          </w:p>
        </w:tc>
        <w:tc>
          <w:tcPr>
            <w:tcW w:w="1063" w:type="dxa"/>
          </w:tcPr>
          <w:p w:rsidR="00DF056F" w:rsidRPr="00DF056F" w:rsidRDefault="00DF056F" w:rsidP="00DF056F">
            <w:pPr>
              <w:jc w:val="center"/>
              <w:rPr>
                <w:b/>
              </w:rPr>
            </w:pPr>
            <w:r w:rsidRPr="00DF056F">
              <w:rPr>
                <w:b/>
              </w:rPr>
              <w:t>28</w:t>
            </w:r>
          </w:p>
        </w:tc>
        <w:tc>
          <w:tcPr>
            <w:tcW w:w="1257" w:type="dxa"/>
          </w:tcPr>
          <w:p w:rsidR="00DF056F" w:rsidRPr="00DF056F" w:rsidRDefault="00DF056F" w:rsidP="00DF056F">
            <w:pPr>
              <w:jc w:val="center"/>
              <w:rPr>
                <w:b/>
              </w:rPr>
            </w:pPr>
            <w:r w:rsidRPr="00DF056F">
              <w:rPr>
                <w:b/>
              </w:rPr>
              <w:t>37,3</w:t>
            </w:r>
          </w:p>
        </w:tc>
      </w:tr>
      <w:tr w:rsidR="00135D51" w:rsidRPr="00135D51" w:rsidTr="002D1E75">
        <w:tc>
          <w:tcPr>
            <w:tcW w:w="6969" w:type="dxa"/>
            <w:shd w:val="clear" w:color="auto" w:fill="12D9EE"/>
          </w:tcPr>
          <w:p w:rsidR="00135D51" w:rsidRPr="00135D51" w:rsidRDefault="00135D51" w:rsidP="00135D51">
            <w:pPr>
              <w:autoSpaceDE w:val="0"/>
              <w:autoSpaceDN w:val="0"/>
              <w:adjustRightInd w:val="0"/>
              <w:spacing w:before="0" w:after="0" w:line="276" w:lineRule="auto"/>
              <w:jc w:val="left"/>
              <w:rPr>
                <w:rFonts w:eastAsia="Times New Roman" w:cs="Arial"/>
                <w:color w:val="000000"/>
              </w:rPr>
            </w:pPr>
          </w:p>
          <w:p w:rsidR="00135D51" w:rsidRPr="00135D51" w:rsidRDefault="00DF056F" w:rsidP="00135D51">
            <w:pPr>
              <w:autoSpaceDE w:val="0"/>
              <w:autoSpaceDN w:val="0"/>
              <w:adjustRightInd w:val="0"/>
              <w:spacing w:before="0" w:after="0" w:line="276" w:lineRule="auto"/>
              <w:jc w:val="left"/>
              <w:rPr>
                <w:rFonts w:eastAsia="Times New Roman" w:cs="Arial"/>
                <w:b/>
                <w:color w:val="000000"/>
              </w:rPr>
            </w:pPr>
            <w:r w:rsidRPr="00217DFF">
              <w:rPr>
                <w:b/>
              </w:rPr>
              <w:t>Ukupan broj pritužbi</w:t>
            </w:r>
          </w:p>
        </w:tc>
        <w:tc>
          <w:tcPr>
            <w:tcW w:w="1063" w:type="dxa"/>
            <w:shd w:val="clear" w:color="auto" w:fill="12D9EE"/>
            <w:vAlign w:val="center"/>
          </w:tcPr>
          <w:p w:rsidR="00135D51" w:rsidRPr="00135D51" w:rsidRDefault="00135D51" w:rsidP="00DF056F">
            <w:pPr>
              <w:autoSpaceDE w:val="0"/>
              <w:autoSpaceDN w:val="0"/>
              <w:adjustRightInd w:val="0"/>
              <w:spacing w:before="0" w:after="0" w:line="276" w:lineRule="auto"/>
              <w:jc w:val="center"/>
              <w:rPr>
                <w:rFonts w:eastAsia="Times New Roman" w:cs="Arial"/>
                <w:b/>
                <w:color w:val="000000"/>
              </w:rPr>
            </w:pPr>
          </w:p>
          <w:p w:rsidR="00135D51" w:rsidRPr="00135D51" w:rsidRDefault="00135D51" w:rsidP="00DF056F">
            <w:pPr>
              <w:autoSpaceDE w:val="0"/>
              <w:autoSpaceDN w:val="0"/>
              <w:adjustRightInd w:val="0"/>
              <w:spacing w:before="0" w:after="0" w:line="276" w:lineRule="auto"/>
              <w:jc w:val="center"/>
              <w:rPr>
                <w:rFonts w:eastAsia="Times New Roman" w:cs="Arial"/>
                <w:b/>
                <w:color w:val="000000"/>
              </w:rPr>
            </w:pPr>
            <w:r w:rsidRPr="00135D51">
              <w:rPr>
                <w:rFonts w:eastAsia="Times New Roman" w:cs="Arial"/>
                <w:b/>
                <w:color w:val="000000"/>
              </w:rPr>
              <w:t>75</w:t>
            </w:r>
          </w:p>
        </w:tc>
        <w:tc>
          <w:tcPr>
            <w:tcW w:w="1257" w:type="dxa"/>
            <w:shd w:val="clear" w:color="auto" w:fill="12D9EE"/>
          </w:tcPr>
          <w:p w:rsidR="00135D51" w:rsidRPr="00135D51" w:rsidRDefault="00135D51" w:rsidP="00DF056F">
            <w:pPr>
              <w:spacing w:before="0" w:after="0" w:line="276" w:lineRule="auto"/>
              <w:jc w:val="center"/>
              <w:rPr>
                <w:rFonts w:eastAsia="Times New Roman" w:cs="Arial"/>
                <w:b/>
              </w:rPr>
            </w:pPr>
          </w:p>
          <w:p w:rsidR="00135D51" w:rsidRPr="00135D51" w:rsidRDefault="00135D51" w:rsidP="00DF056F">
            <w:pPr>
              <w:spacing w:before="0" w:after="0" w:line="276" w:lineRule="auto"/>
              <w:jc w:val="center"/>
              <w:rPr>
                <w:rFonts w:eastAsia="Times New Roman" w:cs="Arial"/>
                <w:b/>
              </w:rPr>
            </w:pPr>
            <w:r w:rsidRPr="00135D51">
              <w:rPr>
                <w:rFonts w:eastAsia="Times New Roman" w:cs="Arial"/>
                <w:b/>
              </w:rPr>
              <w:t>100</w:t>
            </w:r>
            <w:r w:rsidR="00942D3A">
              <w:rPr>
                <w:rFonts w:eastAsia="Times New Roman" w:cs="Arial"/>
                <w:b/>
              </w:rPr>
              <w:t>,</w:t>
            </w:r>
            <w:r w:rsidRPr="00135D51">
              <w:rPr>
                <w:rFonts w:eastAsia="Times New Roman" w:cs="Arial"/>
                <w:b/>
              </w:rPr>
              <w:t>0</w:t>
            </w:r>
          </w:p>
        </w:tc>
      </w:tr>
    </w:tbl>
    <w:p w:rsidR="00135D51" w:rsidRPr="003C103D" w:rsidRDefault="00135D51" w:rsidP="00135D51">
      <w:pPr>
        <w:autoSpaceDE w:val="0"/>
        <w:autoSpaceDN w:val="0"/>
        <w:adjustRightInd w:val="0"/>
        <w:spacing w:before="0" w:after="0" w:line="276" w:lineRule="auto"/>
        <w:jc w:val="left"/>
        <w:rPr>
          <w:rFonts w:eastAsia="Times New Roman" w:cs="Arial"/>
        </w:rPr>
      </w:pPr>
    </w:p>
    <w:p w:rsidR="00135D51" w:rsidRPr="00135D51" w:rsidRDefault="00DF056F" w:rsidP="00DF056F">
      <w:pPr>
        <w:spacing w:before="0" w:after="0" w:line="276" w:lineRule="auto"/>
        <w:jc w:val="left"/>
        <w:outlineLvl w:val="0"/>
        <w:rPr>
          <w:rFonts w:eastAsia="Times New Roman" w:cs="Arial"/>
          <w:b/>
        </w:rPr>
      </w:pPr>
      <w:r w:rsidRPr="00DF056F">
        <w:rPr>
          <w:rFonts w:eastAsia="Times New Roman" w:cs="Arial"/>
          <w:b/>
        </w:rPr>
        <w:lastRenderedPageBreak/>
        <w:t>Oblasti društvenih odnosa na koje se pritužbe odnose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578"/>
        <w:gridCol w:w="801"/>
        <w:gridCol w:w="910"/>
      </w:tblGrid>
      <w:tr w:rsidR="00135D51" w:rsidRPr="00135D51" w:rsidTr="00DF056F">
        <w:tc>
          <w:tcPr>
            <w:tcW w:w="7578"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DF056F" w:rsidP="00DF056F">
            <w:pPr>
              <w:spacing w:before="0" w:after="0" w:line="276" w:lineRule="auto"/>
              <w:jc w:val="left"/>
              <w:rPr>
                <w:rFonts w:eastAsia="Times New Roman" w:cs="Arial"/>
                <w:b/>
              </w:rPr>
            </w:pPr>
            <w:r>
              <w:rPr>
                <w:rFonts w:eastAsia="Times New Roman" w:cs="Arial"/>
                <w:b/>
                <w:lang w:val="sr-Latn-RS"/>
              </w:rPr>
              <w:t>Pritužbe po oblasti diskriminacije</w:t>
            </w:r>
          </w:p>
        </w:tc>
        <w:tc>
          <w:tcPr>
            <w:tcW w:w="801"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DF056F" w:rsidP="00135D51">
            <w:pPr>
              <w:spacing w:before="0" w:after="0" w:line="276" w:lineRule="auto"/>
              <w:jc w:val="left"/>
              <w:rPr>
                <w:rFonts w:eastAsia="Times New Roman" w:cs="Arial"/>
                <w:b/>
              </w:rPr>
            </w:pPr>
            <w:r>
              <w:rPr>
                <w:rFonts w:eastAsia="Times New Roman" w:cs="Arial"/>
                <w:b/>
                <w:lang w:val="sr-Latn-RS"/>
              </w:rPr>
              <w:t>broj</w:t>
            </w:r>
          </w:p>
        </w:tc>
        <w:tc>
          <w:tcPr>
            <w:tcW w:w="910"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135D51" w:rsidP="00135D51">
            <w:pPr>
              <w:spacing w:before="0" w:after="0" w:line="276" w:lineRule="auto"/>
              <w:jc w:val="left"/>
              <w:rPr>
                <w:rFonts w:eastAsia="Times New Roman" w:cs="Arial"/>
                <w:b/>
              </w:rPr>
            </w:pPr>
            <w:r w:rsidRPr="00135D51">
              <w:rPr>
                <w:rFonts w:eastAsia="Times New Roman" w:cs="Arial"/>
                <w:b/>
              </w:rPr>
              <w:t xml:space="preserve">    %</w:t>
            </w:r>
          </w:p>
        </w:tc>
      </w:tr>
      <w:tr w:rsidR="00DF056F" w:rsidRPr="00135D51" w:rsidTr="00DF056F">
        <w:tc>
          <w:tcPr>
            <w:tcW w:w="7578" w:type="dxa"/>
          </w:tcPr>
          <w:p w:rsidR="00DF056F" w:rsidRPr="00DF056F" w:rsidRDefault="00DF056F" w:rsidP="00DF056F">
            <w:pPr>
              <w:rPr>
                <w:b/>
              </w:rPr>
            </w:pPr>
            <w:r w:rsidRPr="00DF056F">
              <w:rPr>
                <w:b/>
              </w:rPr>
              <w:t>U postupku zapošljavanja ili na poslu</w:t>
            </w:r>
          </w:p>
        </w:tc>
        <w:tc>
          <w:tcPr>
            <w:tcW w:w="801" w:type="dxa"/>
          </w:tcPr>
          <w:p w:rsidR="00DF056F" w:rsidRPr="00DF056F" w:rsidRDefault="00DF056F" w:rsidP="00DF056F">
            <w:pPr>
              <w:rPr>
                <w:b/>
              </w:rPr>
            </w:pPr>
            <w:r w:rsidRPr="00DF056F">
              <w:rPr>
                <w:b/>
              </w:rPr>
              <w:t>212</w:t>
            </w:r>
          </w:p>
        </w:tc>
        <w:tc>
          <w:tcPr>
            <w:tcW w:w="910" w:type="dxa"/>
          </w:tcPr>
          <w:p w:rsidR="00DF056F" w:rsidRPr="00DF056F" w:rsidRDefault="00DF056F" w:rsidP="00DF056F">
            <w:pPr>
              <w:rPr>
                <w:b/>
              </w:rPr>
            </w:pPr>
            <w:r w:rsidRPr="00DF056F">
              <w:rPr>
                <w:b/>
              </w:rPr>
              <w:t>33,9</w:t>
            </w:r>
          </w:p>
        </w:tc>
      </w:tr>
      <w:tr w:rsidR="00DF056F" w:rsidRPr="00135D51" w:rsidTr="00DF056F">
        <w:tc>
          <w:tcPr>
            <w:tcW w:w="7578" w:type="dxa"/>
          </w:tcPr>
          <w:p w:rsidR="00DF056F" w:rsidRPr="00DF056F" w:rsidRDefault="00DF056F" w:rsidP="00DF056F">
            <w:pPr>
              <w:rPr>
                <w:b/>
              </w:rPr>
            </w:pPr>
            <w:r w:rsidRPr="00DF056F">
              <w:rPr>
                <w:b/>
              </w:rPr>
              <w:t>Postupak pred organima javne vlasti (sud, opština, ministarstvo...)</w:t>
            </w:r>
          </w:p>
        </w:tc>
        <w:tc>
          <w:tcPr>
            <w:tcW w:w="801" w:type="dxa"/>
          </w:tcPr>
          <w:p w:rsidR="00DF056F" w:rsidRPr="00DF056F" w:rsidRDefault="00DF056F" w:rsidP="00DF056F">
            <w:pPr>
              <w:rPr>
                <w:b/>
              </w:rPr>
            </w:pPr>
            <w:r w:rsidRPr="00DF056F">
              <w:rPr>
                <w:b/>
              </w:rPr>
              <w:t>146</w:t>
            </w:r>
          </w:p>
        </w:tc>
        <w:tc>
          <w:tcPr>
            <w:tcW w:w="910" w:type="dxa"/>
          </w:tcPr>
          <w:p w:rsidR="00DF056F" w:rsidRPr="00DF056F" w:rsidRDefault="00DF056F" w:rsidP="00DF056F">
            <w:pPr>
              <w:rPr>
                <w:b/>
              </w:rPr>
            </w:pPr>
            <w:r w:rsidRPr="00DF056F">
              <w:rPr>
                <w:b/>
              </w:rPr>
              <w:t>23,3</w:t>
            </w:r>
          </w:p>
        </w:tc>
      </w:tr>
      <w:tr w:rsidR="00DF056F" w:rsidRPr="00135D51" w:rsidTr="00DF056F">
        <w:tc>
          <w:tcPr>
            <w:tcW w:w="7578" w:type="dxa"/>
          </w:tcPr>
          <w:p w:rsidR="00DF056F" w:rsidRPr="00DF056F" w:rsidRDefault="00DF056F" w:rsidP="00DF056F">
            <w:pPr>
              <w:rPr>
                <w:b/>
              </w:rPr>
            </w:pPr>
            <w:r w:rsidRPr="00DF056F">
              <w:rPr>
                <w:b/>
              </w:rPr>
              <w:t>Prilikom pružanja javnih usluga ili pri korišćenju objekata i površina</w:t>
            </w:r>
          </w:p>
        </w:tc>
        <w:tc>
          <w:tcPr>
            <w:tcW w:w="801" w:type="dxa"/>
          </w:tcPr>
          <w:p w:rsidR="00DF056F" w:rsidRPr="00DF056F" w:rsidRDefault="00DF056F" w:rsidP="00DF056F">
            <w:pPr>
              <w:rPr>
                <w:b/>
              </w:rPr>
            </w:pPr>
            <w:r w:rsidRPr="00DF056F">
              <w:rPr>
                <w:b/>
              </w:rPr>
              <w:t>59</w:t>
            </w:r>
          </w:p>
        </w:tc>
        <w:tc>
          <w:tcPr>
            <w:tcW w:w="910" w:type="dxa"/>
          </w:tcPr>
          <w:p w:rsidR="00DF056F" w:rsidRPr="00DF056F" w:rsidRDefault="00DF056F" w:rsidP="00DF056F">
            <w:pPr>
              <w:rPr>
                <w:b/>
              </w:rPr>
            </w:pPr>
            <w:r w:rsidRPr="00DF056F">
              <w:rPr>
                <w:b/>
              </w:rPr>
              <w:t>9,4</w:t>
            </w:r>
          </w:p>
        </w:tc>
      </w:tr>
      <w:tr w:rsidR="00DF056F" w:rsidRPr="00135D51" w:rsidTr="00DF056F">
        <w:tc>
          <w:tcPr>
            <w:tcW w:w="7578" w:type="dxa"/>
          </w:tcPr>
          <w:p w:rsidR="00DF056F" w:rsidRPr="00DF056F" w:rsidRDefault="00DF056F" w:rsidP="00DF056F">
            <w:pPr>
              <w:rPr>
                <w:b/>
              </w:rPr>
            </w:pPr>
            <w:r w:rsidRPr="00DF056F">
              <w:rPr>
                <w:b/>
              </w:rPr>
              <w:t>Obrazovanje i stručno osposobljavanje</w:t>
            </w:r>
          </w:p>
        </w:tc>
        <w:tc>
          <w:tcPr>
            <w:tcW w:w="801" w:type="dxa"/>
          </w:tcPr>
          <w:p w:rsidR="00DF056F" w:rsidRPr="00DF056F" w:rsidRDefault="00DF056F" w:rsidP="00DF056F">
            <w:pPr>
              <w:rPr>
                <w:b/>
              </w:rPr>
            </w:pPr>
            <w:r w:rsidRPr="00DF056F">
              <w:rPr>
                <w:b/>
              </w:rPr>
              <w:t>47</w:t>
            </w:r>
          </w:p>
        </w:tc>
        <w:tc>
          <w:tcPr>
            <w:tcW w:w="910" w:type="dxa"/>
          </w:tcPr>
          <w:p w:rsidR="00DF056F" w:rsidRPr="00DF056F" w:rsidRDefault="00DF056F" w:rsidP="00DF056F">
            <w:pPr>
              <w:rPr>
                <w:b/>
              </w:rPr>
            </w:pPr>
            <w:r w:rsidRPr="00DF056F">
              <w:rPr>
                <w:b/>
              </w:rPr>
              <w:t>7,5</w:t>
            </w:r>
          </w:p>
        </w:tc>
      </w:tr>
      <w:tr w:rsidR="00DF056F" w:rsidRPr="00135D51" w:rsidTr="00DF056F">
        <w:tc>
          <w:tcPr>
            <w:tcW w:w="7578" w:type="dxa"/>
          </w:tcPr>
          <w:p w:rsidR="00DF056F" w:rsidRPr="00DF056F" w:rsidRDefault="00DF056F" w:rsidP="00DF056F">
            <w:pPr>
              <w:rPr>
                <w:b/>
              </w:rPr>
            </w:pPr>
            <w:r w:rsidRPr="00DF056F">
              <w:rPr>
                <w:b/>
              </w:rPr>
              <w:t>Zdravstvena zaštita</w:t>
            </w:r>
          </w:p>
        </w:tc>
        <w:tc>
          <w:tcPr>
            <w:tcW w:w="801" w:type="dxa"/>
          </w:tcPr>
          <w:p w:rsidR="00DF056F" w:rsidRPr="00DF056F" w:rsidRDefault="00DF056F" w:rsidP="00DF056F">
            <w:pPr>
              <w:rPr>
                <w:b/>
              </w:rPr>
            </w:pPr>
            <w:r w:rsidRPr="00DF056F">
              <w:rPr>
                <w:b/>
              </w:rPr>
              <w:t>31</w:t>
            </w:r>
          </w:p>
        </w:tc>
        <w:tc>
          <w:tcPr>
            <w:tcW w:w="910" w:type="dxa"/>
          </w:tcPr>
          <w:p w:rsidR="00DF056F" w:rsidRPr="00DF056F" w:rsidRDefault="00DF056F" w:rsidP="00DF056F">
            <w:pPr>
              <w:rPr>
                <w:b/>
              </w:rPr>
            </w:pPr>
            <w:r w:rsidRPr="00DF056F">
              <w:rPr>
                <w:b/>
              </w:rPr>
              <w:t>5,0</w:t>
            </w:r>
          </w:p>
        </w:tc>
      </w:tr>
      <w:tr w:rsidR="00DF056F" w:rsidRPr="00135D51" w:rsidTr="00DF056F">
        <w:tc>
          <w:tcPr>
            <w:tcW w:w="7578" w:type="dxa"/>
          </w:tcPr>
          <w:p w:rsidR="00DF056F" w:rsidRPr="00DF056F" w:rsidRDefault="00DF056F" w:rsidP="00DF056F">
            <w:pPr>
              <w:rPr>
                <w:b/>
              </w:rPr>
            </w:pPr>
            <w:r w:rsidRPr="00DF056F">
              <w:rPr>
                <w:b/>
              </w:rPr>
              <w:t>Javno informisanje i mediji</w:t>
            </w:r>
          </w:p>
        </w:tc>
        <w:tc>
          <w:tcPr>
            <w:tcW w:w="801" w:type="dxa"/>
          </w:tcPr>
          <w:p w:rsidR="00DF056F" w:rsidRPr="00DF056F" w:rsidRDefault="00DF056F" w:rsidP="00DF056F">
            <w:pPr>
              <w:rPr>
                <w:b/>
              </w:rPr>
            </w:pPr>
            <w:r w:rsidRPr="00DF056F">
              <w:rPr>
                <w:b/>
              </w:rPr>
              <w:t>29</w:t>
            </w:r>
          </w:p>
        </w:tc>
        <w:tc>
          <w:tcPr>
            <w:tcW w:w="910" w:type="dxa"/>
          </w:tcPr>
          <w:p w:rsidR="00DF056F" w:rsidRPr="00DF056F" w:rsidRDefault="00DF056F" w:rsidP="00DF056F">
            <w:pPr>
              <w:rPr>
                <w:b/>
              </w:rPr>
            </w:pPr>
            <w:r w:rsidRPr="00DF056F">
              <w:rPr>
                <w:b/>
              </w:rPr>
              <w:t>4,6</w:t>
            </w:r>
          </w:p>
        </w:tc>
      </w:tr>
      <w:tr w:rsidR="00DF056F" w:rsidRPr="00135D51" w:rsidTr="00DF056F">
        <w:tc>
          <w:tcPr>
            <w:tcW w:w="7578" w:type="dxa"/>
          </w:tcPr>
          <w:p w:rsidR="00DF056F" w:rsidRPr="00DF056F" w:rsidRDefault="00DF056F" w:rsidP="00DF056F">
            <w:pPr>
              <w:rPr>
                <w:b/>
              </w:rPr>
            </w:pPr>
            <w:r w:rsidRPr="00DF056F">
              <w:rPr>
                <w:b/>
              </w:rPr>
              <w:t>Javna sfera / Opšta javnost</w:t>
            </w:r>
          </w:p>
        </w:tc>
        <w:tc>
          <w:tcPr>
            <w:tcW w:w="801" w:type="dxa"/>
          </w:tcPr>
          <w:p w:rsidR="00DF056F" w:rsidRPr="00DF056F" w:rsidRDefault="00DF056F" w:rsidP="00DF056F">
            <w:pPr>
              <w:rPr>
                <w:b/>
              </w:rPr>
            </w:pPr>
            <w:r w:rsidRPr="00DF056F">
              <w:rPr>
                <w:b/>
              </w:rPr>
              <w:t>24</w:t>
            </w:r>
          </w:p>
        </w:tc>
        <w:tc>
          <w:tcPr>
            <w:tcW w:w="910" w:type="dxa"/>
          </w:tcPr>
          <w:p w:rsidR="00DF056F" w:rsidRPr="00DF056F" w:rsidRDefault="00DF056F" w:rsidP="00DF056F">
            <w:pPr>
              <w:rPr>
                <w:b/>
              </w:rPr>
            </w:pPr>
            <w:r w:rsidRPr="00DF056F">
              <w:rPr>
                <w:b/>
              </w:rPr>
              <w:t>3,8</w:t>
            </w:r>
          </w:p>
        </w:tc>
      </w:tr>
      <w:tr w:rsidR="00DF056F" w:rsidRPr="00135D51" w:rsidTr="00DF056F">
        <w:tc>
          <w:tcPr>
            <w:tcW w:w="7578" w:type="dxa"/>
          </w:tcPr>
          <w:p w:rsidR="00DF056F" w:rsidRPr="00DF056F" w:rsidRDefault="00DF056F" w:rsidP="00DF056F">
            <w:pPr>
              <w:rPr>
                <w:b/>
              </w:rPr>
            </w:pPr>
            <w:r w:rsidRPr="00DF056F">
              <w:rPr>
                <w:b/>
              </w:rPr>
              <w:t xml:space="preserve">Socijalna zaštita </w:t>
            </w:r>
          </w:p>
        </w:tc>
        <w:tc>
          <w:tcPr>
            <w:tcW w:w="801" w:type="dxa"/>
          </w:tcPr>
          <w:p w:rsidR="00DF056F" w:rsidRPr="00DF056F" w:rsidRDefault="00DF056F" w:rsidP="00DF056F">
            <w:pPr>
              <w:rPr>
                <w:b/>
              </w:rPr>
            </w:pPr>
            <w:r w:rsidRPr="00DF056F">
              <w:rPr>
                <w:b/>
              </w:rPr>
              <w:t>18</w:t>
            </w:r>
          </w:p>
        </w:tc>
        <w:tc>
          <w:tcPr>
            <w:tcW w:w="910" w:type="dxa"/>
          </w:tcPr>
          <w:p w:rsidR="00DF056F" w:rsidRPr="00DF056F" w:rsidRDefault="00DF056F" w:rsidP="00DF056F">
            <w:pPr>
              <w:rPr>
                <w:b/>
              </w:rPr>
            </w:pPr>
            <w:r w:rsidRPr="00DF056F">
              <w:rPr>
                <w:b/>
              </w:rPr>
              <w:t>2,9</w:t>
            </w:r>
          </w:p>
        </w:tc>
      </w:tr>
      <w:tr w:rsidR="00DF056F" w:rsidRPr="00135D51" w:rsidTr="00DF056F">
        <w:tc>
          <w:tcPr>
            <w:tcW w:w="7578" w:type="dxa"/>
          </w:tcPr>
          <w:p w:rsidR="00DF056F" w:rsidRPr="00DF056F" w:rsidRDefault="00DF056F" w:rsidP="00DF056F">
            <w:pPr>
              <w:rPr>
                <w:b/>
              </w:rPr>
            </w:pPr>
            <w:r w:rsidRPr="00DF056F">
              <w:rPr>
                <w:b/>
              </w:rPr>
              <w:t>Nešto drugo</w:t>
            </w:r>
          </w:p>
        </w:tc>
        <w:tc>
          <w:tcPr>
            <w:tcW w:w="801" w:type="dxa"/>
          </w:tcPr>
          <w:p w:rsidR="00DF056F" w:rsidRPr="00DF056F" w:rsidRDefault="00DF056F" w:rsidP="00DF056F">
            <w:pPr>
              <w:rPr>
                <w:b/>
              </w:rPr>
            </w:pPr>
            <w:r w:rsidRPr="00DF056F">
              <w:rPr>
                <w:b/>
              </w:rPr>
              <w:t>12</w:t>
            </w:r>
          </w:p>
        </w:tc>
        <w:tc>
          <w:tcPr>
            <w:tcW w:w="910" w:type="dxa"/>
          </w:tcPr>
          <w:p w:rsidR="00DF056F" w:rsidRPr="00DF056F" w:rsidRDefault="00DF056F" w:rsidP="00DF056F">
            <w:pPr>
              <w:rPr>
                <w:b/>
              </w:rPr>
            </w:pPr>
            <w:r w:rsidRPr="00DF056F">
              <w:rPr>
                <w:b/>
              </w:rPr>
              <w:t>1,9</w:t>
            </w:r>
          </w:p>
        </w:tc>
      </w:tr>
      <w:tr w:rsidR="00DF056F" w:rsidRPr="00135D51" w:rsidTr="00DF056F">
        <w:tc>
          <w:tcPr>
            <w:tcW w:w="7578" w:type="dxa"/>
          </w:tcPr>
          <w:p w:rsidR="00DF056F" w:rsidRPr="00DF056F" w:rsidRDefault="00DF056F" w:rsidP="00DF056F">
            <w:pPr>
              <w:rPr>
                <w:b/>
              </w:rPr>
            </w:pPr>
            <w:r w:rsidRPr="00DF056F">
              <w:rPr>
                <w:b/>
              </w:rPr>
              <w:t>Nije navedena oblast</w:t>
            </w:r>
          </w:p>
        </w:tc>
        <w:tc>
          <w:tcPr>
            <w:tcW w:w="801" w:type="dxa"/>
          </w:tcPr>
          <w:p w:rsidR="00DF056F" w:rsidRPr="00DF056F" w:rsidRDefault="00DF056F" w:rsidP="00DF056F">
            <w:pPr>
              <w:rPr>
                <w:b/>
              </w:rPr>
            </w:pPr>
            <w:r w:rsidRPr="00DF056F">
              <w:rPr>
                <w:b/>
              </w:rPr>
              <w:t>12</w:t>
            </w:r>
          </w:p>
        </w:tc>
        <w:tc>
          <w:tcPr>
            <w:tcW w:w="910" w:type="dxa"/>
          </w:tcPr>
          <w:p w:rsidR="00DF056F" w:rsidRPr="00DF056F" w:rsidRDefault="00DF056F" w:rsidP="00DF056F">
            <w:pPr>
              <w:rPr>
                <w:b/>
              </w:rPr>
            </w:pPr>
            <w:r w:rsidRPr="00DF056F">
              <w:rPr>
                <w:b/>
              </w:rPr>
              <w:t>1,9</w:t>
            </w:r>
          </w:p>
        </w:tc>
      </w:tr>
      <w:tr w:rsidR="00DF056F" w:rsidRPr="00135D51" w:rsidTr="00DF056F">
        <w:tc>
          <w:tcPr>
            <w:tcW w:w="7578" w:type="dxa"/>
          </w:tcPr>
          <w:p w:rsidR="00DF056F" w:rsidRPr="00DF056F" w:rsidRDefault="00DF056F" w:rsidP="00DF056F">
            <w:pPr>
              <w:rPr>
                <w:b/>
              </w:rPr>
            </w:pPr>
            <w:r w:rsidRPr="00DF056F">
              <w:rPr>
                <w:b/>
              </w:rPr>
              <w:t>Privatni odnosi</w:t>
            </w:r>
          </w:p>
        </w:tc>
        <w:tc>
          <w:tcPr>
            <w:tcW w:w="801" w:type="dxa"/>
          </w:tcPr>
          <w:p w:rsidR="00DF056F" w:rsidRPr="00DF056F" w:rsidRDefault="00DF056F" w:rsidP="00DF056F">
            <w:pPr>
              <w:rPr>
                <w:b/>
              </w:rPr>
            </w:pPr>
            <w:r w:rsidRPr="00DF056F">
              <w:rPr>
                <w:b/>
              </w:rPr>
              <w:t>11</w:t>
            </w:r>
          </w:p>
        </w:tc>
        <w:tc>
          <w:tcPr>
            <w:tcW w:w="910" w:type="dxa"/>
          </w:tcPr>
          <w:p w:rsidR="00DF056F" w:rsidRPr="00DF056F" w:rsidRDefault="00DF056F" w:rsidP="00DF056F">
            <w:pPr>
              <w:rPr>
                <w:b/>
              </w:rPr>
            </w:pPr>
            <w:r w:rsidRPr="00DF056F">
              <w:rPr>
                <w:b/>
              </w:rPr>
              <w:t>1,8</w:t>
            </w:r>
          </w:p>
        </w:tc>
      </w:tr>
      <w:tr w:rsidR="00DF056F" w:rsidRPr="00135D51" w:rsidTr="00DF056F">
        <w:tc>
          <w:tcPr>
            <w:tcW w:w="7578" w:type="dxa"/>
          </w:tcPr>
          <w:p w:rsidR="00DF056F" w:rsidRPr="00DF056F" w:rsidRDefault="00DF056F" w:rsidP="00DF056F">
            <w:pPr>
              <w:rPr>
                <w:b/>
              </w:rPr>
            </w:pPr>
            <w:r w:rsidRPr="00DF056F">
              <w:rPr>
                <w:b/>
              </w:rPr>
              <w:t>Imovinska prava i odnosi</w:t>
            </w:r>
          </w:p>
        </w:tc>
        <w:tc>
          <w:tcPr>
            <w:tcW w:w="801" w:type="dxa"/>
          </w:tcPr>
          <w:p w:rsidR="00DF056F" w:rsidRPr="00DF056F" w:rsidRDefault="00DF056F" w:rsidP="00DF056F">
            <w:pPr>
              <w:rPr>
                <w:b/>
              </w:rPr>
            </w:pPr>
            <w:r w:rsidRPr="00DF056F">
              <w:rPr>
                <w:b/>
              </w:rPr>
              <w:t>5</w:t>
            </w:r>
          </w:p>
        </w:tc>
        <w:tc>
          <w:tcPr>
            <w:tcW w:w="910" w:type="dxa"/>
          </w:tcPr>
          <w:p w:rsidR="00DF056F" w:rsidRPr="00DF056F" w:rsidRDefault="00DF056F" w:rsidP="00DF056F">
            <w:pPr>
              <w:rPr>
                <w:b/>
              </w:rPr>
            </w:pPr>
            <w:r w:rsidRPr="00DF056F">
              <w:rPr>
                <w:b/>
              </w:rPr>
              <w:t>0,8</w:t>
            </w:r>
          </w:p>
        </w:tc>
      </w:tr>
      <w:tr w:rsidR="00DF056F" w:rsidRPr="00135D51" w:rsidTr="00DF056F">
        <w:tc>
          <w:tcPr>
            <w:tcW w:w="7578" w:type="dxa"/>
          </w:tcPr>
          <w:p w:rsidR="00DF056F" w:rsidRPr="00DF056F" w:rsidRDefault="00DF056F" w:rsidP="00DF056F">
            <w:pPr>
              <w:rPr>
                <w:b/>
              </w:rPr>
            </w:pPr>
            <w:r w:rsidRPr="00DF056F">
              <w:rPr>
                <w:b/>
              </w:rPr>
              <w:t>Kultura, umetnost, sport</w:t>
            </w:r>
          </w:p>
        </w:tc>
        <w:tc>
          <w:tcPr>
            <w:tcW w:w="801" w:type="dxa"/>
          </w:tcPr>
          <w:p w:rsidR="00DF056F" w:rsidRPr="00DF056F" w:rsidRDefault="00DF056F" w:rsidP="00DF056F">
            <w:pPr>
              <w:rPr>
                <w:b/>
              </w:rPr>
            </w:pPr>
            <w:r w:rsidRPr="00DF056F">
              <w:rPr>
                <w:b/>
              </w:rPr>
              <w:t>5</w:t>
            </w:r>
          </w:p>
        </w:tc>
        <w:tc>
          <w:tcPr>
            <w:tcW w:w="910" w:type="dxa"/>
          </w:tcPr>
          <w:p w:rsidR="00DF056F" w:rsidRPr="00DF056F" w:rsidRDefault="00DF056F" w:rsidP="00DF056F">
            <w:pPr>
              <w:rPr>
                <w:b/>
              </w:rPr>
            </w:pPr>
            <w:r w:rsidRPr="00DF056F">
              <w:rPr>
                <w:b/>
              </w:rPr>
              <w:t>0,8</w:t>
            </w:r>
          </w:p>
        </w:tc>
      </w:tr>
      <w:tr w:rsidR="00DF056F" w:rsidRPr="00135D51" w:rsidTr="00DF056F">
        <w:tc>
          <w:tcPr>
            <w:tcW w:w="7578" w:type="dxa"/>
          </w:tcPr>
          <w:p w:rsidR="00DF056F" w:rsidRPr="00DF056F" w:rsidRDefault="00DF056F" w:rsidP="00DF056F">
            <w:pPr>
              <w:rPr>
                <w:b/>
              </w:rPr>
            </w:pPr>
            <w:r w:rsidRPr="00DF056F">
              <w:rPr>
                <w:b/>
              </w:rPr>
              <w:t>Penzijsko i invalidsko osiguranje</w:t>
            </w:r>
          </w:p>
        </w:tc>
        <w:tc>
          <w:tcPr>
            <w:tcW w:w="801" w:type="dxa"/>
          </w:tcPr>
          <w:p w:rsidR="00DF056F" w:rsidRPr="00DF056F" w:rsidRDefault="00DF056F" w:rsidP="00DF056F">
            <w:pPr>
              <w:rPr>
                <w:b/>
              </w:rPr>
            </w:pPr>
            <w:r w:rsidRPr="00DF056F">
              <w:rPr>
                <w:b/>
              </w:rPr>
              <w:t>4</w:t>
            </w:r>
          </w:p>
        </w:tc>
        <w:tc>
          <w:tcPr>
            <w:tcW w:w="910" w:type="dxa"/>
          </w:tcPr>
          <w:p w:rsidR="00DF056F" w:rsidRPr="00DF056F" w:rsidRDefault="00DF056F" w:rsidP="00DF056F">
            <w:pPr>
              <w:rPr>
                <w:b/>
              </w:rPr>
            </w:pPr>
            <w:r w:rsidRPr="00DF056F">
              <w:rPr>
                <w:b/>
              </w:rPr>
              <w:t>0,6</w:t>
            </w:r>
          </w:p>
        </w:tc>
      </w:tr>
      <w:tr w:rsidR="00DF056F" w:rsidRPr="00135D51" w:rsidTr="00DF056F">
        <w:tc>
          <w:tcPr>
            <w:tcW w:w="7578" w:type="dxa"/>
          </w:tcPr>
          <w:p w:rsidR="00DF056F" w:rsidRPr="00DF056F" w:rsidRDefault="00DF056F" w:rsidP="00DF056F">
            <w:pPr>
              <w:rPr>
                <w:b/>
              </w:rPr>
            </w:pPr>
            <w:r w:rsidRPr="00DF056F">
              <w:rPr>
                <w:b/>
              </w:rPr>
              <w:t>Delovanje/aktivnosti u sindikatima, političkim strankama, NVO i dr. org.</w:t>
            </w:r>
          </w:p>
        </w:tc>
        <w:tc>
          <w:tcPr>
            <w:tcW w:w="801" w:type="dxa"/>
          </w:tcPr>
          <w:p w:rsidR="00DF056F" w:rsidRPr="00DF056F" w:rsidRDefault="00DF056F" w:rsidP="00DF056F">
            <w:pPr>
              <w:rPr>
                <w:b/>
              </w:rPr>
            </w:pPr>
            <w:r w:rsidRPr="00DF056F">
              <w:rPr>
                <w:b/>
              </w:rPr>
              <w:t>3</w:t>
            </w:r>
          </w:p>
        </w:tc>
        <w:tc>
          <w:tcPr>
            <w:tcW w:w="910" w:type="dxa"/>
          </w:tcPr>
          <w:p w:rsidR="00DF056F" w:rsidRPr="00DF056F" w:rsidRDefault="00DF056F" w:rsidP="00DF056F">
            <w:pPr>
              <w:rPr>
                <w:b/>
              </w:rPr>
            </w:pPr>
            <w:r w:rsidRPr="00DF056F">
              <w:rPr>
                <w:b/>
              </w:rPr>
              <w:t>0,5</w:t>
            </w:r>
          </w:p>
        </w:tc>
      </w:tr>
      <w:tr w:rsidR="00DF056F" w:rsidRPr="00135D51" w:rsidTr="00DF056F">
        <w:tc>
          <w:tcPr>
            <w:tcW w:w="7578" w:type="dxa"/>
          </w:tcPr>
          <w:p w:rsidR="00DF056F" w:rsidRPr="00DF056F" w:rsidRDefault="00DF056F" w:rsidP="00DF056F">
            <w:pPr>
              <w:rPr>
                <w:b/>
              </w:rPr>
            </w:pPr>
            <w:r w:rsidRPr="00DF056F">
              <w:rPr>
                <w:b/>
              </w:rPr>
              <w:t>Stanovanje</w:t>
            </w:r>
          </w:p>
        </w:tc>
        <w:tc>
          <w:tcPr>
            <w:tcW w:w="801" w:type="dxa"/>
          </w:tcPr>
          <w:p w:rsidR="00DF056F" w:rsidRPr="00DF056F" w:rsidRDefault="00DF056F" w:rsidP="00DF056F">
            <w:pPr>
              <w:rPr>
                <w:b/>
              </w:rPr>
            </w:pPr>
            <w:r w:rsidRPr="00DF056F">
              <w:rPr>
                <w:b/>
              </w:rPr>
              <w:t>4</w:t>
            </w:r>
          </w:p>
        </w:tc>
        <w:tc>
          <w:tcPr>
            <w:tcW w:w="910" w:type="dxa"/>
          </w:tcPr>
          <w:p w:rsidR="00DF056F" w:rsidRPr="00DF056F" w:rsidRDefault="00DF056F" w:rsidP="00DF056F">
            <w:pPr>
              <w:rPr>
                <w:b/>
              </w:rPr>
            </w:pPr>
            <w:r w:rsidRPr="00DF056F">
              <w:rPr>
                <w:b/>
              </w:rPr>
              <w:t>0.6</w:t>
            </w:r>
          </w:p>
        </w:tc>
      </w:tr>
      <w:tr w:rsidR="00DF056F" w:rsidRPr="00135D51" w:rsidTr="00DF056F">
        <w:tc>
          <w:tcPr>
            <w:tcW w:w="7578" w:type="dxa"/>
          </w:tcPr>
          <w:p w:rsidR="00DF056F" w:rsidRPr="00DF056F" w:rsidRDefault="00DF056F" w:rsidP="00DF056F">
            <w:pPr>
              <w:rPr>
                <w:b/>
              </w:rPr>
            </w:pPr>
            <w:r w:rsidRPr="00DF056F">
              <w:rPr>
                <w:b/>
              </w:rPr>
              <w:t>Ostvarivanje kolektivnih manjinskih prava</w:t>
            </w:r>
          </w:p>
        </w:tc>
        <w:tc>
          <w:tcPr>
            <w:tcW w:w="801" w:type="dxa"/>
          </w:tcPr>
          <w:p w:rsidR="00DF056F" w:rsidRPr="00DF056F" w:rsidRDefault="00DF056F" w:rsidP="00DF056F">
            <w:pPr>
              <w:rPr>
                <w:b/>
              </w:rPr>
            </w:pPr>
            <w:r w:rsidRPr="00DF056F">
              <w:rPr>
                <w:b/>
              </w:rPr>
              <w:t>1</w:t>
            </w:r>
          </w:p>
        </w:tc>
        <w:tc>
          <w:tcPr>
            <w:tcW w:w="910" w:type="dxa"/>
          </w:tcPr>
          <w:p w:rsidR="00DF056F" w:rsidRPr="00DF056F" w:rsidRDefault="00DF056F" w:rsidP="00DF056F">
            <w:pPr>
              <w:rPr>
                <w:b/>
              </w:rPr>
            </w:pPr>
            <w:r w:rsidRPr="00DF056F">
              <w:rPr>
                <w:b/>
              </w:rPr>
              <w:t>0,2</w:t>
            </w:r>
          </w:p>
        </w:tc>
      </w:tr>
      <w:tr w:rsidR="00DF056F" w:rsidRPr="00135D51" w:rsidTr="00DF056F">
        <w:tc>
          <w:tcPr>
            <w:tcW w:w="7578" w:type="dxa"/>
          </w:tcPr>
          <w:p w:rsidR="00DF056F" w:rsidRPr="00DF056F" w:rsidRDefault="00DF056F" w:rsidP="00DF056F">
            <w:pPr>
              <w:rPr>
                <w:b/>
              </w:rPr>
            </w:pPr>
            <w:r w:rsidRPr="00DF056F">
              <w:rPr>
                <w:b/>
              </w:rPr>
              <w:t>Ostvarivanje verskih prava</w:t>
            </w:r>
          </w:p>
        </w:tc>
        <w:tc>
          <w:tcPr>
            <w:tcW w:w="801" w:type="dxa"/>
          </w:tcPr>
          <w:p w:rsidR="00DF056F" w:rsidRPr="00DF056F" w:rsidRDefault="00DF056F" w:rsidP="00DF056F">
            <w:pPr>
              <w:rPr>
                <w:b/>
              </w:rPr>
            </w:pPr>
            <w:r w:rsidRPr="00DF056F">
              <w:rPr>
                <w:b/>
              </w:rPr>
              <w:t>1</w:t>
            </w:r>
          </w:p>
        </w:tc>
        <w:tc>
          <w:tcPr>
            <w:tcW w:w="910" w:type="dxa"/>
          </w:tcPr>
          <w:p w:rsidR="00DF056F" w:rsidRPr="00DF056F" w:rsidRDefault="00DF056F" w:rsidP="00DF056F">
            <w:pPr>
              <w:rPr>
                <w:b/>
              </w:rPr>
            </w:pPr>
            <w:r w:rsidRPr="00DF056F">
              <w:rPr>
                <w:b/>
              </w:rPr>
              <w:t>0,2</w:t>
            </w:r>
          </w:p>
        </w:tc>
      </w:tr>
      <w:tr w:rsidR="00DF056F" w:rsidRPr="00135D51" w:rsidTr="00DF056F">
        <w:tc>
          <w:tcPr>
            <w:tcW w:w="7578" w:type="dxa"/>
          </w:tcPr>
          <w:p w:rsidR="00DF056F" w:rsidRPr="00DF056F" w:rsidRDefault="00DF056F" w:rsidP="00DF056F">
            <w:pPr>
              <w:rPr>
                <w:b/>
              </w:rPr>
            </w:pPr>
            <w:r w:rsidRPr="00DF056F">
              <w:rPr>
                <w:b/>
              </w:rPr>
              <w:t>Pravosuđe</w:t>
            </w:r>
          </w:p>
        </w:tc>
        <w:tc>
          <w:tcPr>
            <w:tcW w:w="801" w:type="dxa"/>
          </w:tcPr>
          <w:p w:rsidR="00DF056F" w:rsidRPr="00DF056F" w:rsidRDefault="00DF056F" w:rsidP="00DF056F">
            <w:pPr>
              <w:rPr>
                <w:b/>
              </w:rPr>
            </w:pPr>
            <w:r w:rsidRPr="00DF056F">
              <w:rPr>
                <w:b/>
              </w:rPr>
              <w:t>2</w:t>
            </w:r>
          </w:p>
        </w:tc>
        <w:tc>
          <w:tcPr>
            <w:tcW w:w="910" w:type="dxa"/>
          </w:tcPr>
          <w:p w:rsidR="00DF056F" w:rsidRPr="00DF056F" w:rsidRDefault="00DF056F" w:rsidP="00DF056F">
            <w:pPr>
              <w:rPr>
                <w:b/>
              </w:rPr>
            </w:pPr>
            <w:r w:rsidRPr="00DF056F">
              <w:rPr>
                <w:b/>
              </w:rPr>
              <w:t>0,3</w:t>
            </w:r>
          </w:p>
        </w:tc>
      </w:tr>
      <w:tr w:rsidR="00DF056F" w:rsidRPr="00135D51" w:rsidTr="00DF056F">
        <w:tc>
          <w:tcPr>
            <w:tcW w:w="7578" w:type="dxa"/>
            <w:shd w:val="clear" w:color="auto" w:fill="12D9EE"/>
          </w:tcPr>
          <w:p w:rsidR="00DF056F" w:rsidRPr="00DF056F" w:rsidRDefault="00DF056F" w:rsidP="00DF056F">
            <w:pPr>
              <w:rPr>
                <w:b/>
              </w:rPr>
            </w:pPr>
            <w:r w:rsidRPr="00DF056F">
              <w:rPr>
                <w:b/>
              </w:rPr>
              <w:t>Ukupan broj pritužbi</w:t>
            </w:r>
          </w:p>
        </w:tc>
        <w:tc>
          <w:tcPr>
            <w:tcW w:w="801" w:type="dxa"/>
            <w:shd w:val="clear" w:color="auto" w:fill="12D9EE"/>
          </w:tcPr>
          <w:p w:rsidR="00DF056F" w:rsidRPr="00DF056F" w:rsidRDefault="00DF056F" w:rsidP="00DF056F">
            <w:pPr>
              <w:rPr>
                <w:b/>
                <w:lang w:val="sr-Latn-RS"/>
              </w:rPr>
            </w:pPr>
            <w:r w:rsidRPr="00DF056F">
              <w:rPr>
                <w:b/>
                <w:lang w:val="sr-Latn-RS"/>
              </w:rPr>
              <w:t>626</w:t>
            </w:r>
          </w:p>
        </w:tc>
        <w:tc>
          <w:tcPr>
            <w:tcW w:w="910" w:type="dxa"/>
            <w:shd w:val="clear" w:color="auto" w:fill="12D9EE"/>
          </w:tcPr>
          <w:p w:rsidR="00DF056F" w:rsidRPr="00DF056F" w:rsidRDefault="00DF056F" w:rsidP="00DF056F">
            <w:pPr>
              <w:rPr>
                <w:b/>
                <w:lang w:val="sr-Latn-RS"/>
              </w:rPr>
            </w:pPr>
            <w:r w:rsidRPr="00DF056F">
              <w:rPr>
                <w:b/>
                <w:lang w:val="sr-Latn-RS"/>
              </w:rPr>
              <w:t>100</w:t>
            </w:r>
          </w:p>
        </w:tc>
      </w:tr>
    </w:tbl>
    <w:p w:rsidR="00DF056F" w:rsidRDefault="00DF056F" w:rsidP="00135D51">
      <w:pPr>
        <w:spacing w:before="0" w:after="200" w:line="276" w:lineRule="auto"/>
        <w:jc w:val="left"/>
        <w:outlineLvl w:val="0"/>
        <w:rPr>
          <w:rFonts w:eastAsia="Times New Roman" w:cs="Arial"/>
          <w:b/>
          <w:lang w:val="sr-Latn-RS"/>
        </w:rPr>
      </w:pPr>
      <w:bookmarkStart w:id="225" w:name="_Toc476904417"/>
      <w:bookmarkStart w:id="226" w:name="_Toc476908769"/>
      <w:bookmarkStart w:id="227" w:name="_Toc477248259"/>
      <w:bookmarkStart w:id="228" w:name="_Toc477248695"/>
      <w:bookmarkStart w:id="229" w:name="_Toc477250826"/>
      <w:bookmarkStart w:id="230" w:name="_Toc477251820"/>
    </w:p>
    <w:bookmarkEnd w:id="225"/>
    <w:bookmarkEnd w:id="226"/>
    <w:bookmarkEnd w:id="227"/>
    <w:bookmarkEnd w:id="228"/>
    <w:bookmarkEnd w:id="229"/>
    <w:bookmarkEnd w:id="230"/>
    <w:p w:rsidR="00135D51" w:rsidRPr="00135D51" w:rsidRDefault="00DF056F" w:rsidP="00135D51">
      <w:pPr>
        <w:spacing w:before="0" w:after="200" w:line="276" w:lineRule="auto"/>
        <w:jc w:val="left"/>
        <w:outlineLvl w:val="0"/>
        <w:rPr>
          <w:rFonts w:eastAsia="Times New Roman" w:cs="Arial"/>
          <w:b/>
        </w:rPr>
      </w:pPr>
      <w:r w:rsidRPr="00DF056F">
        <w:rPr>
          <w:rFonts w:eastAsia="Times New Roman" w:cs="Arial"/>
          <w:b/>
        </w:rPr>
        <w:t>Oblasti diskriminacije po podnosiocima</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725"/>
        <w:gridCol w:w="1068"/>
        <w:gridCol w:w="1496"/>
      </w:tblGrid>
      <w:tr w:rsidR="00135D51" w:rsidRPr="00135D51" w:rsidTr="00DF056F">
        <w:tc>
          <w:tcPr>
            <w:tcW w:w="6725" w:type="dxa"/>
            <w:shd w:val="clear" w:color="auto" w:fill="12D9EE"/>
          </w:tcPr>
          <w:p w:rsidR="00135D51" w:rsidRPr="00135D51" w:rsidRDefault="00DF056F" w:rsidP="00135D51">
            <w:pPr>
              <w:spacing w:before="0" w:after="0" w:line="276" w:lineRule="auto"/>
              <w:jc w:val="left"/>
              <w:rPr>
                <w:rFonts w:eastAsia="Times New Roman" w:cs="Arial"/>
                <w:b/>
              </w:rPr>
            </w:pPr>
            <w:r>
              <w:rPr>
                <w:rFonts w:eastAsia="Times New Roman" w:cs="Arial"/>
                <w:b/>
                <w:lang w:val="sr-Latn-RS"/>
              </w:rPr>
              <w:t>Oblasti diskriminacije po podnosiocima</w:t>
            </w:r>
          </w:p>
          <w:p w:rsidR="00135D51" w:rsidRPr="00DF056F" w:rsidRDefault="00135D51" w:rsidP="00135D51">
            <w:pPr>
              <w:spacing w:before="0" w:after="0" w:line="276" w:lineRule="auto"/>
              <w:jc w:val="left"/>
              <w:rPr>
                <w:rFonts w:eastAsia="Times New Roman" w:cs="Arial"/>
                <w:b/>
                <w:lang w:val="sr-Latn-RS"/>
              </w:rPr>
            </w:pPr>
          </w:p>
        </w:tc>
        <w:tc>
          <w:tcPr>
            <w:tcW w:w="1068" w:type="dxa"/>
            <w:shd w:val="clear" w:color="auto" w:fill="12D9EE"/>
          </w:tcPr>
          <w:p w:rsidR="00135D51" w:rsidRPr="00135D51" w:rsidRDefault="00DF056F" w:rsidP="00135D51">
            <w:pPr>
              <w:spacing w:before="0" w:after="0" w:line="276" w:lineRule="auto"/>
              <w:jc w:val="center"/>
              <w:rPr>
                <w:rFonts w:eastAsia="Times New Roman" w:cs="Arial"/>
                <w:b/>
              </w:rPr>
            </w:pPr>
            <w:r>
              <w:rPr>
                <w:rFonts w:eastAsia="Times New Roman" w:cs="Arial"/>
                <w:b/>
                <w:lang w:val="sr-Latn-RS"/>
              </w:rPr>
              <w:t>broj</w:t>
            </w:r>
          </w:p>
        </w:tc>
        <w:tc>
          <w:tcPr>
            <w:tcW w:w="1496"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DF056F" w:rsidRPr="00135D51" w:rsidTr="00DF056F">
        <w:tc>
          <w:tcPr>
            <w:tcW w:w="6725" w:type="dxa"/>
            <w:shd w:val="clear" w:color="auto" w:fill="C5EFF7"/>
          </w:tcPr>
          <w:p w:rsidR="00DF056F" w:rsidRPr="00DF056F" w:rsidRDefault="00DF056F" w:rsidP="00DF056F">
            <w:pPr>
              <w:rPr>
                <w:b/>
              </w:rPr>
            </w:pPr>
            <w:r w:rsidRPr="00DF056F">
              <w:rPr>
                <w:b/>
              </w:rPr>
              <w:t>U postupku zapošljavanja ili na poslu</w:t>
            </w:r>
          </w:p>
        </w:tc>
        <w:tc>
          <w:tcPr>
            <w:tcW w:w="1068" w:type="dxa"/>
            <w:shd w:val="clear" w:color="auto" w:fill="C5EFF7"/>
          </w:tcPr>
          <w:p w:rsidR="00DF056F" w:rsidRPr="00DF056F" w:rsidRDefault="00DF056F" w:rsidP="00DF056F">
            <w:pPr>
              <w:rPr>
                <w:b/>
              </w:rPr>
            </w:pPr>
            <w:r w:rsidRPr="00DF056F">
              <w:rPr>
                <w:b/>
              </w:rPr>
              <w:t>212</w:t>
            </w:r>
          </w:p>
        </w:tc>
        <w:tc>
          <w:tcPr>
            <w:tcW w:w="1496" w:type="dxa"/>
            <w:shd w:val="clear" w:color="auto" w:fill="C5EFF7"/>
          </w:tcPr>
          <w:p w:rsidR="00DF056F" w:rsidRPr="00DF056F" w:rsidRDefault="00DF056F" w:rsidP="00DF056F">
            <w:pPr>
              <w:rPr>
                <w:b/>
              </w:rPr>
            </w:pPr>
            <w:r w:rsidRPr="00DF056F">
              <w:rPr>
                <w:b/>
              </w:rPr>
              <w:t>33,9</w:t>
            </w:r>
          </w:p>
        </w:tc>
      </w:tr>
      <w:tr w:rsidR="00DF056F" w:rsidRPr="00135D51" w:rsidTr="00DF056F">
        <w:trPr>
          <w:trHeight w:hRule="exact" w:val="397"/>
        </w:trPr>
        <w:tc>
          <w:tcPr>
            <w:tcW w:w="6725" w:type="dxa"/>
          </w:tcPr>
          <w:p w:rsidR="00DF056F" w:rsidRPr="00DF056F" w:rsidRDefault="00DF056F" w:rsidP="00DF056F">
            <w:pPr>
              <w:rPr>
                <w:b/>
              </w:rPr>
            </w:pPr>
            <w:r w:rsidRPr="00DF056F">
              <w:rPr>
                <w:b/>
              </w:rPr>
              <w:t xml:space="preserve">Fizička lica </w:t>
            </w:r>
          </w:p>
        </w:tc>
        <w:tc>
          <w:tcPr>
            <w:tcW w:w="1068" w:type="dxa"/>
          </w:tcPr>
          <w:p w:rsidR="00DF056F" w:rsidRPr="00DF056F" w:rsidRDefault="00DF056F" w:rsidP="00DF056F">
            <w:pPr>
              <w:rPr>
                <w:b/>
              </w:rPr>
            </w:pPr>
            <w:r w:rsidRPr="00DF056F">
              <w:rPr>
                <w:b/>
              </w:rPr>
              <w:t>180</w:t>
            </w:r>
          </w:p>
        </w:tc>
        <w:tc>
          <w:tcPr>
            <w:tcW w:w="1496" w:type="dxa"/>
          </w:tcPr>
          <w:p w:rsidR="00DF056F" w:rsidRPr="00DF056F" w:rsidRDefault="00DF056F" w:rsidP="00DF056F">
            <w:pPr>
              <w:rPr>
                <w:b/>
              </w:rPr>
            </w:pPr>
          </w:p>
        </w:tc>
      </w:tr>
      <w:tr w:rsidR="00DF056F" w:rsidRPr="00135D51" w:rsidTr="00DF056F">
        <w:trPr>
          <w:trHeight w:hRule="exact" w:val="397"/>
        </w:trPr>
        <w:tc>
          <w:tcPr>
            <w:tcW w:w="6725" w:type="dxa"/>
          </w:tcPr>
          <w:p w:rsidR="00DF056F" w:rsidRPr="00DF056F" w:rsidRDefault="00DF056F" w:rsidP="009E53F2">
            <w:pPr>
              <w:rPr>
                <w:b/>
              </w:rPr>
            </w:pPr>
            <w:r w:rsidRPr="00DF056F">
              <w:rPr>
                <w:b/>
              </w:rPr>
              <w:t xml:space="preserve">  </w:t>
            </w:r>
            <w:r w:rsidR="009E53F2">
              <w:rPr>
                <w:b/>
              </w:rPr>
              <w:t xml:space="preserve">                         </w:t>
            </w:r>
            <w:r w:rsidRPr="00DF056F">
              <w:rPr>
                <w:b/>
              </w:rPr>
              <w:t xml:space="preserve"> muškarci                  85</w:t>
            </w:r>
          </w:p>
        </w:tc>
        <w:tc>
          <w:tcPr>
            <w:tcW w:w="1068" w:type="dxa"/>
          </w:tcPr>
          <w:p w:rsidR="00DF056F" w:rsidRPr="00DF056F" w:rsidRDefault="00DF056F" w:rsidP="00DF056F">
            <w:pPr>
              <w:rPr>
                <w:b/>
              </w:rPr>
            </w:pPr>
            <w:r w:rsidRPr="00DF056F">
              <w:rPr>
                <w:b/>
              </w:rPr>
              <w:t xml:space="preserve"> </w:t>
            </w:r>
          </w:p>
        </w:tc>
        <w:tc>
          <w:tcPr>
            <w:tcW w:w="1496" w:type="dxa"/>
          </w:tcPr>
          <w:p w:rsidR="00DF056F" w:rsidRPr="00DF056F" w:rsidRDefault="00DF056F" w:rsidP="00DF056F">
            <w:pPr>
              <w:rPr>
                <w:b/>
              </w:rPr>
            </w:pPr>
          </w:p>
        </w:tc>
      </w:tr>
      <w:tr w:rsidR="00DF056F" w:rsidRPr="00135D51" w:rsidTr="00DF056F">
        <w:trPr>
          <w:trHeight w:hRule="exact" w:val="397"/>
        </w:trPr>
        <w:tc>
          <w:tcPr>
            <w:tcW w:w="6725" w:type="dxa"/>
          </w:tcPr>
          <w:p w:rsidR="00DF056F" w:rsidRPr="00DF056F" w:rsidRDefault="00DF056F" w:rsidP="009E53F2">
            <w:pPr>
              <w:rPr>
                <w:b/>
              </w:rPr>
            </w:pPr>
            <w:r w:rsidRPr="00DF056F">
              <w:rPr>
                <w:b/>
              </w:rPr>
              <w:t xml:space="preserve">    </w:t>
            </w:r>
            <w:r w:rsidR="009E53F2">
              <w:rPr>
                <w:b/>
              </w:rPr>
              <w:t xml:space="preserve">                </w:t>
            </w:r>
            <w:r w:rsidRPr="00DF056F">
              <w:rPr>
                <w:b/>
              </w:rPr>
              <w:t xml:space="preserve">        žene                         95   </w:t>
            </w:r>
          </w:p>
        </w:tc>
        <w:tc>
          <w:tcPr>
            <w:tcW w:w="1068" w:type="dxa"/>
          </w:tcPr>
          <w:p w:rsidR="00DF056F" w:rsidRPr="00DF056F" w:rsidRDefault="00DF056F" w:rsidP="00DF056F">
            <w:pPr>
              <w:rPr>
                <w:b/>
              </w:rPr>
            </w:pPr>
            <w:r w:rsidRPr="00DF056F">
              <w:rPr>
                <w:b/>
              </w:rPr>
              <w:t xml:space="preserve"> </w:t>
            </w:r>
          </w:p>
        </w:tc>
        <w:tc>
          <w:tcPr>
            <w:tcW w:w="1496" w:type="dxa"/>
          </w:tcPr>
          <w:p w:rsidR="00DF056F" w:rsidRPr="00DF056F" w:rsidRDefault="00DF056F" w:rsidP="00DF056F">
            <w:pPr>
              <w:rPr>
                <w:b/>
              </w:rPr>
            </w:pPr>
          </w:p>
        </w:tc>
      </w:tr>
      <w:tr w:rsidR="00DF056F" w:rsidRPr="00135D51" w:rsidTr="00DF056F">
        <w:trPr>
          <w:trHeight w:hRule="exact" w:val="397"/>
        </w:trPr>
        <w:tc>
          <w:tcPr>
            <w:tcW w:w="6725" w:type="dxa"/>
          </w:tcPr>
          <w:p w:rsidR="00DF056F" w:rsidRPr="00DF056F" w:rsidRDefault="00DF056F" w:rsidP="00DF056F">
            <w:pPr>
              <w:rPr>
                <w:b/>
              </w:rPr>
            </w:pPr>
            <w:r w:rsidRPr="00DF056F">
              <w:rPr>
                <w:b/>
              </w:rPr>
              <w:t>Organizacije</w:t>
            </w:r>
          </w:p>
        </w:tc>
        <w:tc>
          <w:tcPr>
            <w:tcW w:w="1068" w:type="dxa"/>
          </w:tcPr>
          <w:p w:rsidR="00DF056F" w:rsidRPr="00DF056F" w:rsidRDefault="00DF056F" w:rsidP="00DF056F">
            <w:pPr>
              <w:rPr>
                <w:b/>
              </w:rPr>
            </w:pPr>
            <w:r w:rsidRPr="00DF056F">
              <w:rPr>
                <w:b/>
              </w:rPr>
              <w:t>19</w:t>
            </w:r>
          </w:p>
        </w:tc>
        <w:tc>
          <w:tcPr>
            <w:tcW w:w="1496" w:type="dxa"/>
          </w:tcPr>
          <w:p w:rsidR="00DF056F" w:rsidRPr="00DF056F" w:rsidRDefault="00DF056F" w:rsidP="00DF056F">
            <w:pPr>
              <w:rPr>
                <w:b/>
              </w:rPr>
            </w:pPr>
          </w:p>
        </w:tc>
      </w:tr>
      <w:tr w:rsidR="00DF056F" w:rsidRPr="00135D51" w:rsidTr="00DF056F">
        <w:trPr>
          <w:trHeight w:hRule="exact" w:val="397"/>
        </w:trPr>
        <w:tc>
          <w:tcPr>
            <w:tcW w:w="6725" w:type="dxa"/>
          </w:tcPr>
          <w:p w:rsidR="00DF056F" w:rsidRPr="00DF056F" w:rsidRDefault="00DF056F" w:rsidP="00DF056F">
            <w:pPr>
              <w:rPr>
                <w:b/>
              </w:rPr>
            </w:pPr>
            <w:r w:rsidRPr="00DF056F">
              <w:rPr>
                <w:b/>
              </w:rPr>
              <w:t>Pravna lica</w:t>
            </w:r>
          </w:p>
        </w:tc>
        <w:tc>
          <w:tcPr>
            <w:tcW w:w="1068" w:type="dxa"/>
          </w:tcPr>
          <w:p w:rsidR="00DF056F" w:rsidRPr="00DF056F" w:rsidRDefault="00DF056F" w:rsidP="00DF056F">
            <w:pPr>
              <w:rPr>
                <w:b/>
              </w:rPr>
            </w:pPr>
            <w:r w:rsidRPr="00DF056F">
              <w:rPr>
                <w:b/>
              </w:rPr>
              <w:t>10</w:t>
            </w:r>
          </w:p>
        </w:tc>
        <w:tc>
          <w:tcPr>
            <w:tcW w:w="1496" w:type="dxa"/>
          </w:tcPr>
          <w:p w:rsidR="00DF056F" w:rsidRPr="00DF056F" w:rsidRDefault="00DF056F" w:rsidP="00DF056F">
            <w:pPr>
              <w:rPr>
                <w:b/>
              </w:rPr>
            </w:pPr>
          </w:p>
        </w:tc>
      </w:tr>
      <w:tr w:rsidR="00DF056F" w:rsidRPr="00135D51" w:rsidTr="00DF056F">
        <w:trPr>
          <w:trHeight w:hRule="exact" w:val="397"/>
        </w:trPr>
        <w:tc>
          <w:tcPr>
            <w:tcW w:w="6725" w:type="dxa"/>
          </w:tcPr>
          <w:p w:rsidR="00DF056F" w:rsidRPr="00DF056F" w:rsidRDefault="00DF056F" w:rsidP="00DF056F">
            <w:pPr>
              <w:rPr>
                <w:b/>
              </w:rPr>
            </w:pPr>
            <w:r w:rsidRPr="00DF056F">
              <w:rPr>
                <w:b/>
              </w:rPr>
              <w:t>Državni organ</w:t>
            </w:r>
          </w:p>
        </w:tc>
        <w:tc>
          <w:tcPr>
            <w:tcW w:w="1068" w:type="dxa"/>
          </w:tcPr>
          <w:p w:rsidR="00DF056F" w:rsidRPr="00DF056F" w:rsidRDefault="00DF056F" w:rsidP="00DF056F">
            <w:pPr>
              <w:rPr>
                <w:b/>
              </w:rPr>
            </w:pPr>
            <w:r w:rsidRPr="00DF056F">
              <w:rPr>
                <w:b/>
              </w:rPr>
              <w:t>3</w:t>
            </w:r>
          </w:p>
        </w:tc>
        <w:tc>
          <w:tcPr>
            <w:tcW w:w="1496" w:type="dxa"/>
          </w:tcPr>
          <w:p w:rsidR="00DF056F" w:rsidRPr="00DF056F" w:rsidRDefault="00DF056F" w:rsidP="00DF056F">
            <w:pPr>
              <w:rPr>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F056F" w:rsidP="00AC0428">
            <w:pPr>
              <w:autoSpaceDE w:val="0"/>
              <w:autoSpaceDN w:val="0"/>
              <w:adjustRightInd w:val="0"/>
              <w:spacing w:before="0" w:after="0" w:line="276" w:lineRule="auto"/>
              <w:jc w:val="left"/>
              <w:rPr>
                <w:rFonts w:eastAsia="Times New Roman" w:cs="Arial"/>
                <w:b/>
                <w:color w:val="000000"/>
              </w:rPr>
            </w:pPr>
            <w:r w:rsidRPr="00DF056F">
              <w:rPr>
                <w:rFonts w:eastAsia="Times New Roman" w:cs="Arial"/>
                <w:b/>
                <w:color w:val="000000"/>
              </w:rPr>
              <w:t>Postupak pred organima javne vlasti (sud, opština, ministarstvo, komisije...)</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146</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23</w:t>
            </w:r>
            <w:r w:rsidR="00942D3A">
              <w:rPr>
                <w:rFonts w:eastAsia="Times New Roman" w:cs="Arial"/>
                <w:b/>
                <w:color w:val="000000"/>
              </w:rPr>
              <w:t>,</w:t>
            </w:r>
            <w:r w:rsidRPr="00135D51">
              <w:rPr>
                <w:rFonts w:eastAsia="Times New Roman" w:cs="Arial"/>
                <w:b/>
                <w:color w:val="000000"/>
              </w:rPr>
              <w:t>3</w:t>
            </w:r>
          </w:p>
        </w:tc>
      </w:tr>
      <w:tr w:rsidR="00DF056F" w:rsidRPr="00135D51" w:rsidTr="00DF056F">
        <w:trPr>
          <w:trHeight w:hRule="exact" w:val="397"/>
        </w:trPr>
        <w:tc>
          <w:tcPr>
            <w:tcW w:w="6725" w:type="dxa"/>
          </w:tcPr>
          <w:p w:rsidR="00DF056F" w:rsidRPr="00DF056F" w:rsidRDefault="00DF056F" w:rsidP="00DF056F">
            <w:pPr>
              <w:rPr>
                <w:b/>
              </w:rPr>
            </w:pPr>
            <w:r w:rsidRPr="00DF056F">
              <w:rPr>
                <w:b/>
              </w:rPr>
              <w:t xml:space="preserve">Fizička lica </w:t>
            </w:r>
          </w:p>
        </w:tc>
        <w:tc>
          <w:tcPr>
            <w:tcW w:w="1068" w:type="dxa"/>
          </w:tcPr>
          <w:p w:rsidR="00DF056F" w:rsidRPr="00135D51" w:rsidRDefault="00DF056F"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126</w:t>
            </w:r>
          </w:p>
        </w:tc>
        <w:tc>
          <w:tcPr>
            <w:tcW w:w="1496" w:type="dxa"/>
          </w:tcPr>
          <w:p w:rsidR="00DF056F" w:rsidRPr="00135D51" w:rsidRDefault="00DF056F" w:rsidP="00135D51">
            <w:pPr>
              <w:autoSpaceDE w:val="0"/>
              <w:autoSpaceDN w:val="0"/>
              <w:adjustRightInd w:val="0"/>
              <w:spacing w:before="0" w:after="0" w:line="276" w:lineRule="auto"/>
              <w:jc w:val="right"/>
              <w:rPr>
                <w:rFonts w:eastAsia="Times New Roman" w:cs="Arial"/>
                <w:b/>
              </w:rPr>
            </w:pPr>
          </w:p>
        </w:tc>
      </w:tr>
      <w:tr w:rsidR="00DF056F" w:rsidRPr="00135D51" w:rsidTr="00DF056F">
        <w:trPr>
          <w:trHeight w:hRule="exact" w:val="397"/>
        </w:trPr>
        <w:tc>
          <w:tcPr>
            <w:tcW w:w="6725" w:type="dxa"/>
          </w:tcPr>
          <w:p w:rsidR="00DF056F" w:rsidRPr="00DF056F" w:rsidRDefault="00DF056F" w:rsidP="009E53F2">
            <w:pPr>
              <w:rPr>
                <w:b/>
              </w:rPr>
            </w:pPr>
            <w:r w:rsidRPr="00DF056F">
              <w:rPr>
                <w:b/>
              </w:rPr>
              <w:t xml:space="preserve">               </w:t>
            </w:r>
            <w:r w:rsidR="009E53F2">
              <w:rPr>
                <w:b/>
              </w:rPr>
              <w:t xml:space="preserve">       </w:t>
            </w:r>
            <w:r w:rsidRPr="00DF056F">
              <w:rPr>
                <w:b/>
              </w:rPr>
              <w:t xml:space="preserve">      muškarci                  94</w:t>
            </w:r>
          </w:p>
        </w:tc>
        <w:tc>
          <w:tcPr>
            <w:tcW w:w="1068" w:type="dxa"/>
          </w:tcPr>
          <w:p w:rsidR="00DF056F" w:rsidRPr="00135D51" w:rsidRDefault="00DF056F"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DF056F" w:rsidRPr="00135D51" w:rsidRDefault="00DF056F" w:rsidP="00135D51">
            <w:pPr>
              <w:autoSpaceDE w:val="0"/>
              <w:autoSpaceDN w:val="0"/>
              <w:adjustRightInd w:val="0"/>
              <w:spacing w:before="0" w:after="0" w:line="276" w:lineRule="auto"/>
              <w:jc w:val="right"/>
              <w:rPr>
                <w:rFonts w:eastAsia="Times New Roman" w:cs="Arial"/>
                <w:b/>
              </w:rPr>
            </w:pPr>
          </w:p>
        </w:tc>
      </w:tr>
      <w:tr w:rsidR="00DF056F" w:rsidRPr="00135D51" w:rsidTr="00DF056F">
        <w:trPr>
          <w:trHeight w:hRule="exact" w:val="397"/>
        </w:trPr>
        <w:tc>
          <w:tcPr>
            <w:tcW w:w="6725" w:type="dxa"/>
          </w:tcPr>
          <w:p w:rsidR="00DF056F" w:rsidRPr="00DF056F" w:rsidRDefault="009E53F2" w:rsidP="009E53F2">
            <w:pPr>
              <w:rPr>
                <w:b/>
              </w:rPr>
            </w:pPr>
            <w:r>
              <w:rPr>
                <w:b/>
              </w:rPr>
              <w:t xml:space="preserve">                     </w:t>
            </w:r>
            <w:r w:rsidR="00DF056F" w:rsidRPr="00DF056F">
              <w:rPr>
                <w:b/>
              </w:rPr>
              <w:t xml:space="preserve">       žene                         32    </w:t>
            </w:r>
          </w:p>
        </w:tc>
        <w:tc>
          <w:tcPr>
            <w:tcW w:w="1068" w:type="dxa"/>
          </w:tcPr>
          <w:p w:rsidR="00DF056F" w:rsidRPr="00135D51" w:rsidRDefault="00DF056F"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DF056F" w:rsidRPr="00135D51" w:rsidRDefault="00DF056F" w:rsidP="00135D51">
            <w:pPr>
              <w:autoSpaceDE w:val="0"/>
              <w:autoSpaceDN w:val="0"/>
              <w:adjustRightInd w:val="0"/>
              <w:spacing w:before="0" w:after="0" w:line="276" w:lineRule="auto"/>
              <w:jc w:val="right"/>
              <w:rPr>
                <w:rFonts w:eastAsia="Times New Roman" w:cs="Arial"/>
                <w:b/>
              </w:rPr>
            </w:pPr>
          </w:p>
        </w:tc>
      </w:tr>
      <w:tr w:rsidR="00DF056F" w:rsidRPr="00135D51" w:rsidTr="00DF056F">
        <w:trPr>
          <w:trHeight w:hRule="exact" w:val="397"/>
        </w:trPr>
        <w:tc>
          <w:tcPr>
            <w:tcW w:w="6725" w:type="dxa"/>
          </w:tcPr>
          <w:p w:rsidR="00DF056F" w:rsidRPr="00DF056F" w:rsidRDefault="00DF056F" w:rsidP="00DF056F">
            <w:pPr>
              <w:rPr>
                <w:b/>
              </w:rPr>
            </w:pPr>
            <w:r w:rsidRPr="00DF056F">
              <w:rPr>
                <w:b/>
              </w:rPr>
              <w:t>Organizacije</w:t>
            </w:r>
          </w:p>
        </w:tc>
        <w:tc>
          <w:tcPr>
            <w:tcW w:w="1068" w:type="dxa"/>
            <w:vAlign w:val="center"/>
          </w:tcPr>
          <w:p w:rsidR="00DF056F" w:rsidRPr="00135D51" w:rsidRDefault="00DF056F"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w:t>
            </w:r>
          </w:p>
        </w:tc>
        <w:tc>
          <w:tcPr>
            <w:tcW w:w="1496" w:type="dxa"/>
          </w:tcPr>
          <w:p w:rsidR="00DF056F" w:rsidRPr="00135D51" w:rsidRDefault="00DF056F" w:rsidP="00135D51">
            <w:pPr>
              <w:autoSpaceDE w:val="0"/>
              <w:autoSpaceDN w:val="0"/>
              <w:adjustRightInd w:val="0"/>
              <w:spacing w:before="0" w:after="0" w:line="276" w:lineRule="auto"/>
              <w:jc w:val="left"/>
              <w:rPr>
                <w:rFonts w:eastAsia="Times New Roman" w:cs="Arial"/>
                <w:b/>
                <w:color w:val="000000"/>
              </w:rPr>
            </w:pPr>
          </w:p>
        </w:tc>
      </w:tr>
      <w:tr w:rsidR="00DF056F" w:rsidRPr="00135D51" w:rsidTr="00DF056F">
        <w:trPr>
          <w:trHeight w:hRule="exact" w:val="397"/>
        </w:trPr>
        <w:tc>
          <w:tcPr>
            <w:tcW w:w="6725" w:type="dxa"/>
          </w:tcPr>
          <w:p w:rsidR="00DF056F" w:rsidRPr="00DF056F" w:rsidRDefault="00DF056F" w:rsidP="00DF056F">
            <w:pPr>
              <w:rPr>
                <w:b/>
              </w:rPr>
            </w:pPr>
            <w:r w:rsidRPr="00DF056F">
              <w:rPr>
                <w:b/>
              </w:rPr>
              <w:t xml:space="preserve">Fizička lica </w:t>
            </w:r>
          </w:p>
        </w:tc>
        <w:tc>
          <w:tcPr>
            <w:tcW w:w="1068" w:type="dxa"/>
            <w:vAlign w:val="center"/>
          </w:tcPr>
          <w:p w:rsidR="00DF056F" w:rsidRPr="00135D51" w:rsidRDefault="00DF056F"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w:t>
            </w:r>
          </w:p>
        </w:tc>
        <w:tc>
          <w:tcPr>
            <w:tcW w:w="1496" w:type="dxa"/>
          </w:tcPr>
          <w:p w:rsidR="00DF056F" w:rsidRPr="00135D51" w:rsidRDefault="00DF056F" w:rsidP="00135D51">
            <w:pPr>
              <w:autoSpaceDE w:val="0"/>
              <w:autoSpaceDN w:val="0"/>
              <w:adjustRightInd w:val="0"/>
              <w:spacing w:before="0" w:after="0" w:line="276" w:lineRule="auto"/>
              <w:jc w:val="left"/>
              <w:rPr>
                <w:rFonts w:eastAsia="Times New Roman" w:cs="Arial"/>
                <w:b/>
                <w:color w:val="000000"/>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A91073" w:rsidP="00135D51">
            <w:pPr>
              <w:autoSpaceDE w:val="0"/>
              <w:autoSpaceDN w:val="0"/>
              <w:adjustRightInd w:val="0"/>
              <w:spacing w:before="0" w:after="0" w:line="276" w:lineRule="auto"/>
              <w:jc w:val="left"/>
              <w:rPr>
                <w:rFonts w:eastAsia="Times New Roman" w:cs="Arial"/>
                <w:b/>
                <w:color w:val="000000"/>
              </w:rPr>
            </w:pPr>
            <w:r w:rsidRPr="00A91073">
              <w:rPr>
                <w:rFonts w:eastAsia="Times New Roman" w:cs="Arial"/>
                <w:b/>
                <w:color w:val="000000"/>
              </w:rPr>
              <w:t>Prilikom pružanja javnih usluga ili pri korišćenju objekata i površina</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59</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4</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46</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A91073">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32</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A91073">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14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B11D81" w:rsidRDefault="00B11D81"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Grupa lica</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Obrazovanje i stručno osposobljavanje</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47</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7</w:t>
            </w:r>
            <w:r w:rsidR="005858BC">
              <w:rPr>
                <w:rFonts w:eastAsia="Times New Roman" w:cs="Arial"/>
                <w:b/>
                <w:color w:val="000000"/>
              </w:rPr>
              <w:t>,</w:t>
            </w:r>
            <w:r w:rsidRPr="00135D51">
              <w:rPr>
                <w:rFonts w:eastAsia="Times New Roman" w:cs="Arial"/>
                <w:b/>
                <w:color w:val="000000"/>
              </w:rPr>
              <w:t>5</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34</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17</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17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Grupa lica</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11D81" w:rsidRDefault="00B11D81" w:rsidP="00B11D8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Zdravstvena zaštita</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31</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5</w:t>
            </w:r>
            <w:r w:rsidR="005858BC">
              <w:rPr>
                <w:rFonts w:eastAsia="Times New Roman" w:cs="Arial"/>
                <w:b/>
                <w:color w:val="000000"/>
              </w:rPr>
              <w:t>,</w:t>
            </w:r>
            <w:r w:rsidRPr="00135D51">
              <w:rPr>
                <w:rFonts w:eastAsia="Times New Roman" w:cs="Arial"/>
                <w:b/>
                <w:color w:val="000000"/>
              </w:rPr>
              <w:t>0</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22</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14</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8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lastRenderedPageBreak/>
              <w:t>Organizacije</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Državni organ</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Javno informisanje i mediji</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29</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4</w:t>
            </w:r>
            <w:r w:rsidR="005858BC">
              <w:rPr>
                <w:rFonts w:eastAsia="Times New Roman" w:cs="Arial"/>
                <w:b/>
                <w:color w:val="000000"/>
              </w:rPr>
              <w:t>,</w:t>
            </w:r>
            <w:r w:rsidRPr="00135D51">
              <w:rPr>
                <w:rFonts w:eastAsia="Times New Roman" w:cs="Arial"/>
                <w:b/>
                <w:color w:val="000000"/>
              </w:rPr>
              <w:t>6</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8</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5</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3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20</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Javna sfera / Opšta javnost</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24</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8</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18</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00A91073" w:rsidRPr="00135D51">
              <w:rPr>
                <w:rFonts w:eastAsia="Times New Roman" w:cs="Arial"/>
                <w:b/>
              </w:rPr>
              <w:t xml:space="preserve"> </w:t>
            </w:r>
            <w:r w:rsidR="00A91073">
              <w:rPr>
                <w:rFonts w:eastAsia="Times New Roman" w:cs="Arial"/>
                <w:b/>
                <w:lang w:val="sr-Latn-RS"/>
              </w:rPr>
              <w:t xml:space="preserve">                       </w:t>
            </w:r>
            <w:r w:rsidRPr="00135D51">
              <w:rPr>
                <w:rFonts w:eastAsia="Times New Roman" w:cs="Arial"/>
                <w:b/>
              </w:rPr>
              <w:t>6</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00B11D81">
              <w:rPr>
                <w:rFonts w:eastAsia="Times New Roman" w:cs="Arial"/>
                <w:b/>
              </w:rPr>
              <w:t xml:space="preserve">                              </w:t>
            </w:r>
            <w:r w:rsidR="00B11D81">
              <w:rPr>
                <w:rFonts w:eastAsia="Times New Roman" w:cs="Arial"/>
                <w:b/>
                <w:lang w:val="sr-Latn-RS"/>
              </w:rPr>
              <w:t>1</w:t>
            </w:r>
            <w:r w:rsidRPr="00135D51">
              <w:rPr>
                <w:rFonts w:eastAsia="Times New Roman" w:cs="Arial"/>
                <w:b/>
              </w:rPr>
              <w:t xml:space="preserve">2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Nešto drugo</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12</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9</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11</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7</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4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Državni organ</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Socijalna zaštita</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18</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2</w:t>
            </w:r>
            <w:r w:rsidR="005858BC">
              <w:rPr>
                <w:rFonts w:eastAsia="Times New Roman" w:cs="Arial"/>
                <w:b/>
                <w:color w:val="000000"/>
              </w:rPr>
              <w:t>,</w:t>
            </w:r>
            <w:r w:rsidRPr="00135D51">
              <w:rPr>
                <w:rFonts w:eastAsia="Times New Roman" w:cs="Arial"/>
                <w:b/>
                <w:color w:val="000000"/>
              </w:rPr>
              <w:t>9</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15</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7</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8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vAlign w:val="center"/>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Privatni odnosi</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11</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8</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11</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2</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9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Imovinska prava i odnosi</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8</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4</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2</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w:t>
            </w:r>
            <w:r w:rsidR="00B11D81">
              <w:rPr>
                <w:rFonts w:eastAsia="Times New Roman" w:cs="Arial"/>
                <w:b/>
                <w:lang w:val="sr-Latn-RS"/>
              </w:rPr>
              <w:t xml:space="preserve"> </w:t>
            </w:r>
            <w:r w:rsidRPr="00135D51">
              <w:rPr>
                <w:rFonts w:eastAsia="Times New Roman" w:cs="Arial"/>
                <w:b/>
              </w:rPr>
              <w:t xml:space="preserve">2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Državni organ</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Kultura, umetnost, sport</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8</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4</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3</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1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lastRenderedPageBreak/>
              <w:t>Penzijsko i invalidsko osiguranje</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lastRenderedPageBreak/>
              <w:t>4</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6</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lastRenderedPageBreak/>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3</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2</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1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B11D81" w:rsidP="00AC0428">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Delovanje/aktivnosti u sindikatima, političkim strankama, NVO i dr. org.</w:t>
            </w:r>
          </w:p>
        </w:tc>
        <w:tc>
          <w:tcPr>
            <w:tcW w:w="1068" w:type="dxa"/>
            <w:shd w:val="clear" w:color="auto" w:fill="C5EFF7"/>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496" w:type="dxa"/>
            <w:shd w:val="clear" w:color="auto" w:fill="C5EFF7"/>
          </w:tcPr>
          <w:p w:rsidR="00135D51" w:rsidRPr="00135D51" w:rsidRDefault="00135D51" w:rsidP="00135D51">
            <w:pPr>
              <w:spacing w:before="0" w:after="0" w:line="276" w:lineRule="auto"/>
              <w:jc w:val="right"/>
              <w:rPr>
                <w:rFonts w:eastAsia="Times New Roman" w:cs="Arial"/>
                <w:b/>
                <w:color w:val="000000"/>
              </w:rPr>
            </w:pPr>
          </w:p>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5</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1</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0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11D81" w:rsidRDefault="00B11D81"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Stanovanje</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4</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6</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3</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9E53F2">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3</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0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FF0000"/>
              </w:rPr>
            </w:pPr>
            <w:r w:rsidRPr="00B11D81">
              <w:rPr>
                <w:rFonts w:eastAsia="Times New Roman" w:cs="Arial"/>
                <w:b/>
                <w:color w:val="000000"/>
              </w:rPr>
              <w:t>Ostvarivanje kolektivnih manjinskih prava</w:t>
            </w:r>
          </w:p>
        </w:tc>
        <w:tc>
          <w:tcPr>
            <w:tcW w:w="1068" w:type="dxa"/>
            <w:shd w:val="clear" w:color="auto" w:fill="C5EFF7"/>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 xml:space="preserve"> 1</w:t>
            </w:r>
          </w:p>
        </w:tc>
        <w:tc>
          <w:tcPr>
            <w:tcW w:w="1496" w:type="dxa"/>
            <w:shd w:val="clear" w:color="auto" w:fill="C5EFF7"/>
          </w:tcPr>
          <w:p w:rsidR="00135D51" w:rsidRPr="00135D51" w:rsidRDefault="00135D51" w:rsidP="00135D51">
            <w:pPr>
              <w:spacing w:before="0" w:after="0" w:line="276" w:lineRule="auto"/>
              <w:jc w:val="right"/>
              <w:rPr>
                <w:rFonts w:eastAsia="Times New Roman" w:cs="Arial"/>
                <w:b/>
                <w:color w:val="000000"/>
              </w:rPr>
            </w:pPr>
          </w:p>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2</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1</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0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Ostvarivanje verskih prava</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2</w:t>
            </w: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1</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0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11D81" w:rsidRDefault="00B11D81" w:rsidP="00B11D8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Pravosuđe</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2</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3</w:t>
            </w: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496" w:type="dxa"/>
          </w:tcPr>
          <w:p w:rsidR="00135D51" w:rsidRPr="00135D51" w:rsidRDefault="00135D51" w:rsidP="00135D51">
            <w:pPr>
              <w:spacing w:before="0" w:after="0" w:line="276" w:lineRule="auto"/>
              <w:jc w:val="left"/>
              <w:rPr>
                <w:rFonts w:eastAsia="Times New Roman" w:cs="Arial"/>
                <w:b/>
              </w:rPr>
            </w:pPr>
          </w:p>
        </w:tc>
      </w:tr>
      <w:tr w:rsidR="00135D51" w:rsidRPr="00135D51" w:rsidTr="00DF056F">
        <w:tc>
          <w:tcPr>
            <w:tcW w:w="6725" w:type="dxa"/>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Pr>
                <w:rFonts w:eastAsia="Times New Roman" w:cs="Arial"/>
                <w:b/>
                <w:lang w:val="sr-Latn-RS"/>
              </w:rPr>
              <w:t>muškarci</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1</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B11D8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A91073" w:rsidRPr="00DF056F">
              <w:rPr>
                <w:b/>
              </w:rPr>
              <w:t>žene</w:t>
            </w:r>
            <w:r w:rsidRPr="00135D51">
              <w:rPr>
                <w:rFonts w:eastAsia="Times New Roman" w:cs="Arial"/>
                <w:b/>
              </w:rPr>
              <w:t xml:space="preserve">                            </w:t>
            </w:r>
            <w:r w:rsidR="009E53F2">
              <w:rPr>
                <w:rFonts w:eastAsia="Times New Roman" w:cs="Arial"/>
                <w:b/>
                <w:lang w:val="sr-Latn-RS"/>
              </w:rPr>
              <w:t xml:space="preserve"> </w:t>
            </w:r>
            <w:r w:rsidRPr="00135D51">
              <w:rPr>
                <w:rFonts w:eastAsia="Times New Roman" w:cs="Arial"/>
                <w:b/>
              </w:rPr>
              <w:t xml:space="preserve">   0      </w:t>
            </w: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tcPr>
          <w:p w:rsidR="00135D51" w:rsidRPr="00135D51" w:rsidRDefault="00135D51" w:rsidP="00135D51">
            <w:pPr>
              <w:autoSpaceDE w:val="0"/>
              <w:autoSpaceDN w:val="0"/>
              <w:adjustRightInd w:val="0"/>
              <w:spacing w:before="0" w:after="0" w:line="276" w:lineRule="auto"/>
              <w:jc w:val="left"/>
              <w:rPr>
                <w:rFonts w:eastAsia="Times New Roman" w:cs="Arial"/>
                <w:b/>
              </w:rPr>
            </w:pPr>
          </w:p>
        </w:tc>
        <w:tc>
          <w:tcPr>
            <w:tcW w:w="1068"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c>
          <w:tcPr>
            <w:tcW w:w="1496" w:type="dxa"/>
          </w:tcPr>
          <w:p w:rsidR="00135D51" w:rsidRPr="00135D51" w:rsidRDefault="00135D51" w:rsidP="00135D51">
            <w:pPr>
              <w:autoSpaceDE w:val="0"/>
              <w:autoSpaceDN w:val="0"/>
              <w:adjustRightInd w:val="0"/>
              <w:spacing w:before="0" w:after="0" w:line="276" w:lineRule="auto"/>
              <w:jc w:val="right"/>
              <w:rPr>
                <w:rFonts w:eastAsia="Times New Roman" w:cs="Arial"/>
                <w:b/>
              </w:rPr>
            </w:pPr>
          </w:p>
        </w:tc>
      </w:tr>
      <w:tr w:rsidR="00135D51" w:rsidRPr="00135D51" w:rsidTr="00DF056F">
        <w:tc>
          <w:tcPr>
            <w:tcW w:w="6725"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sidRPr="00B11D81">
              <w:rPr>
                <w:rFonts w:eastAsia="Times New Roman" w:cs="Arial"/>
                <w:b/>
                <w:color w:val="000000"/>
              </w:rPr>
              <w:t>Nije navedena oblast</w:t>
            </w:r>
          </w:p>
        </w:tc>
        <w:tc>
          <w:tcPr>
            <w:tcW w:w="106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12</w:t>
            </w:r>
          </w:p>
        </w:tc>
        <w:tc>
          <w:tcPr>
            <w:tcW w:w="1496"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9</w:t>
            </w:r>
          </w:p>
        </w:tc>
      </w:tr>
      <w:tr w:rsidR="00135D51" w:rsidRPr="00135D51" w:rsidTr="00DF056F">
        <w:tc>
          <w:tcPr>
            <w:tcW w:w="6725" w:type="dxa"/>
            <w:shd w:val="clear" w:color="auto" w:fill="12D9EE"/>
          </w:tcPr>
          <w:p w:rsidR="00135D51" w:rsidRPr="00135D51" w:rsidRDefault="00B11D81"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Ukupno</w:t>
            </w:r>
            <w:r w:rsidR="00135D51" w:rsidRPr="00135D51">
              <w:rPr>
                <w:rFonts w:eastAsia="Times New Roman" w:cs="Arial"/>
                <w:b/>
                <w:color w:val="000000"/>
              </w:rPr>
              <w:t xml:space="preserve"> </w:t>
            </w:r>
          </w:p>
        </w:tc>
        <w:tc>
          <w:tcPr>
            <w:tcW w:w="1068" w:type="dxa"/>
            <w:shd w:val="clear" w:color="auto" w:fill="12D9EE"/>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626</w:t>
            </w:r>
          </w:p>
        </w:tc>
        <w:tc>
          <w:tcPr>
            <w:tcW w:w="1496" w:type="dxa"/>
            <w:shd w:val="clear" w:color="auto" w:fill="12D9EE"/>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100</w:t>
            </w:r>
            <w:r w:rsidR="005858BC">
              <w:rPr>
                <w:rFonts w:eastAsia="Times New Roman" w:cs="Arial"/>
                <w:b/>
                <w:color w:val="000000"/>
              </w:rPr>
              <w:t>,</w:t>
            </w:r>
            <w:r w:rsidRPr="00135D51">
              <w:rPr>
                <w:rFonts w:eastAsia="Times New Roman" w:cs="Arial"/>
                <w:b/>
                <w:color w:val="000000"/>
              </w:rPr>
              <w:t>0</w:t>
            </w:r>
          </w:p>
        </w:tc>
      </w:tr>
    </w:tbl>
    <w:p w:rsidR="00135D51" w:rsidRPr="00135D51" w:rsidRDefault="00135D51" w:rsidP="00135D51">
      <w:pPr>
        <w:spacing w:before="0" w:after="200" w:line="276" w:lineRule="auto"/>
        <w:jc w:val="left"/>
        <w:rPr>
          <w:rFonts w:eastAsia="Times New Roman" w:cs="Arial"/>
          <w:b/>
        </w:rPr>
      </w:pPr>
    </w:p>
    <w:p w:rsidR="00135D51" w:rsidRDefault="00135D51" w:rsidP="00135D51">
      <w:pPr>
        <w:spacing w:before="0" w:after="200" w:line="276" w:lineRule="auto"/>
        <w:jc w:val="left"/>
        <w:rPr>
          <w:rFonts w:eastAsia="Times New Roman" w:cs="Arial"/>
          <w:b/>
          <w:lang w:val="sr-Latn-RS"/>
        </w:rPr>
      </w:pPr>
    </w:p>
    <w:p w:rsidR="009E22CC" w:rsidRDefault="009E22CC" w:rsidP="00135D51">
      <w:pPr>
        <w:spacing w:before="0" w:after="200" w:line="276" w:lineRule="auto"/>
        <w:jc w:val="left"/>
        <w:rPr>
          <w:rFonts w:eastAsia="Times New Roman" w:cs="Arial"/>
          <w:b/>
          <w:lang w:val="sr-Latn-RS"/>
        </w:rPr>
      </w:pPr>
    </w:p>
    <w:p w:rsidR="009E22CC" w:rsidRPr="009E22CC" w:rsidRDefault="009E22CC" w:rsidP="00135D51">
      <w:pPr>
        <w:spacing w:before="0" w:after="200" w:line="276" w:lineRule="auto"/>
        <w:jc w:val="left"/>
        <w:rPr>
          <w:rFonts w:eastAsia="Times New Roman" w:cs="Arial"/>
          <w:b/>
          <w:lang w:val="sr-Latn-RS"/>
        </w:rPr>
      </w:pPr>
    </w:p>
    <w:p w:rsidR="00DD41EF" w:rsidRDefault="00DD41EF" w:rsidP="00135D51">
      <w:pPr>
        <w:spacing w:before="0" w:after="200" w:line="276" w:lineRule="auto"/>
        <w:jc w:val="left"/>
        <w:rPr>
          <w:rFonts w:eastAsia="Times New Roman" w:cs="Arial"/>
          <w:b/>
          <w:color w:val="000000"/>
          <w:u w:val="single"/>
          <w:lang w:val="sr-Latn-RS"/>
        </w:rPr>
      </w:pPr>
      <w:r w:rsidRPr="00DD41EF">
        <w:rPr>
          <w:rFonts w:eastAsia="Times New Roman" w:cs="Arial"/>
          <w:b/>
          <w:color w:val="000000"/>
          <w:u w:val="single"/>
        </w:rPr>
        <w:lastRenderedPageBreak/>
        <w:t>Oblast rada i zapošljavanja</w:t>
      </w:r>
    </w:p>
    <w:p w:rsidR="0077072F" w:rsidRPr="0077072F" w:rsidRDefault="0077072F" w:rsidP="00135D51">
      <w:pPr>
        <w:spacing w:before="0" w:after="200" w:line="276" w:lineRule="auto"/>
        <w:jc w:val="left"/>
        <w:rPr>
          <w:rFonts w:eastAsia="Times New Roman" w:cs="Arial"/>
          <w:lang w:val="sr-Latn-RS"/>
        </w:rPr>
      </w:pPr>
      <w:r w:rsidRPr="0077072F">
        <w:rPr>
          <w:rFonts w:eastAsia="Times New Roman" w:cs="Arial"/>
        </w:rPr>
        <w:t>Napomena: Procentualne vrednosti su navedena lična svojstva i računate su u odnosu na broj podnosilaca pritužbi za pritužbe u kojima je navedeno lično svojstvo, a ne u odnosu na ukupan broj pritužbi za datu oblast.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0"/>
        <w:gridCol w:w="1473"/>
        <w:gridCol w:w="896"/>
      </w:tblGrid>
      <w:tr w:rsidR="00135D51" w:rsidRPr="00135D51" w:rsidTr="00135D51">
        <w:tc>
          <w:tcPr>
            <w:tcW w:w="7070" w:type="dxa"/>
            <w:tcBorders>
              <w:left w:val="nil"/>
            </w:tcBorders>
            <w:shd w:val="clear" w:color="auto" w:fill="12D9EE"/>
          </w:tcPr>
          <w:p w:rsidR="00135D51" w:rsidRPr="00135D51" w:rsidRDefault="00DD41EF" w:rsidP="00135D51">
            <w:pPr>
              <w:spacing w:before="0" w:after="0" w:line="276" w:lineRule="auto"/>
              <w:jc w:val="left"/>
              <w:rPr>
                <w:rFonts w:eastAsia="Times New Roman" w:cs="Arial"/>
                <w:b/>
              </w:rPr>
            </w:pPr>
            <w:r w:rsidRPr="00DD41EF">
              <w:rPr>
                <w:rFonts w:eastAsia="Times New Roman" w:cs="Arial"/>
                <w:b/>
              </w:rPr>
              <w:t>Podnosioci pritužbi u oblasti rada i zapošljavanja</w:t>
            </w:r>
          </w:p>
        </w:tc>
        <w:tc>
          <w:tcPr>
            <w:tcW w:w="1498" w:type="dxa"/>
            <w:shd w:val="clear" w:color="auto" w:fill="12D9EE"/>
          </w:tcPr>
          <w:p w:rsidR="00135D51" w:rsidRPr="00135D51" w:rsidRDefault="00DF056F" w:rsidP="00135D51">
            <w:pPr>
              <w:spacing w:before="0" w:after="0" w:line="276" w:lineRule="auto"/>
              <w:jc w:val="center"/>
              <w:rPr>
                <w:rFonts w:eastAsia="Times New Roman" w:cs="Arial"/>
                <w:b/>
              </w:rPr>
            </w:pPr>
            <w:r>
              <w:rPr>
                <w:rFonts w:eastAsia="Times New Roman" w:cs="Arial"/>
                <w:b/>
                <w:lang w:val="sr-Latn-RS"/>
              </w:rPr>
              <w:t>broj</w:t>
            </w:r>
          </w:p>
        </w:tc>
        <w:tc>
          <w:tcPr>
            <w:tcW w:w="900" w:type="dxa"/>
            <w:tcBorders>
              <w:right w:val="nil"/>
            </w:tcBorders>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DD41EF" w:rsidRDefault="00DD41E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Pol</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35</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15</w:t>
            </w:r>
            <w:r w:rsidR="005858BC">
              <w:rPr>
                <w:rFonts w:eastAsia="Times New Roman" w:cs="Arial"/>
                <w:b/>
                <w:color w:val="000000"/>
              </w:rPr>
              <w:t>,</w:t>
            </w:r>
            <w:r w:rsidRPr="00135D51">
              <w:rPr>
                <w:rFonts w:eastAsia="Times New Roman" w:cs="Arial"/>
                <w:b/>
                <w:color w:val="000000"/>
              </w:rPr>
              <w:t>4</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34</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5</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w:t>
            </w:r>
            <w:r w:rsidR="00DD41EF">
              <w:rPr>
                <w:rFonts w:eastAsia="Times New Roman" w:cs="Arial"/>
                <w:b/>
                <w:lang w:val="sr-Latn-RS"/>
              </w:rPr>
              <w:t>2</w:t>
            </w:r>
            <w:r w:rsidRPr="00135D51">
              <w:rPr>
                <w:rFonts w:eastAsia="Times New Roman" w:cs="Arial"/>
                <w:b/>
              </w:rPr>
              <w:t xml:space="preserve">9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rPr>
                <w:rFonts w:eastAsia="Times New Roman" w:cs="Arial"/>
                <w:b/>
              </w:rPr>
            </w:pPr>
            <w:r w:rsidRPr="00DF056F">
              <w:rPr>
                <w:b/>
              </w:rPr>
              <w:t>Pravna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77072F">
              <w:rPr>
                <w:rFonts w:eastAsia="Times New Roman" w:cs="Arial"/>
                <w:b/>
                <w:color w:val="000000"/>
              </w:rPr>
              <w:t>Članstvo u političkim, sindikalnim i drugim organizacijama</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35</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15</w:t>
            </w:r>
            <w:r w:rsidR="005858BC">
              <w:rPr>
                <w:rFonts w:eastAsia="Times New Roman" w:cs="Arial"/>
                <w:b/>
                <w:color w:val="000000"/>
              </w:rPr>
              <w:t>,</w:t>
            </w:r>
            <w:r w:rsidRPr="00135D51">
              <w:rPr>
                <w:rFonts w:eastAsia="Times New Roman" w:cs="Arial"/>
                <w:b/>
                <w:color w:val="000000"/>
              </w:rPr>
              <w:t>4</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24</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 xml:space="preserve">  10</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14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rPr>
                <w:rFonts w:eastAsia="Times New Roman" w:cs="Arial"/>
                <w:b/>
              </w:rPr>
            </w:pPr>
            <w:r w:rsidRPr="00DF056F">
              <w:rPr>
                <w:b/>
              </w:rPr>
              <w:t>Organizacije</w:t>
            </w:r>
            <w:r w:rsidR="00135D51" w:rsidRPr="00135D51">
              <w:rPr>
                <w:rFonts w:eastAsia="Times New Roman" w:cs="Arial"/>
                <w:b/>
              </w:rPr>
              <w:t xml:space="preserve">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77072F">
              <w:rPr>
                <w:rFonts w:eastAsia="Times New Roman" w:cs="Arial"/>
                <w:b/>
                <w:color w:val="000000"/>
              </w:rPr>
              <w:t>Nacionalna pripadnost ili etničko poreklo</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22</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14</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7</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 xml:space="preserve">7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Starosno doba</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23</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10</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22</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13</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9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77072F">
              <w:rPr>
                <w:rFonts w:eastAsia="Times New Roman" w:cs="Arial"/>
                <w:b/>
                <w:color w:val="000000"/>
              </w:rPr>
              <w:t>Verska ili politička ubeđenja</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14</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6</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13</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4</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9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77072F">
              <w:rPr>
                <w:rFonts w:eastAsia="Times New Roman" w:cs="Arial"/>
                <w:b/>
                <w:color w:val="000000"/>
              </w:rPr>
              <w:t>Bračni i porodični status</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35</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15</w:t>
            </w:r>
            <w:r w:rsidR="005858BC">
              <w:rPr>
                <w:rFonts w:eastAsia="Times New Roman" w:cs="Arial"/>
                <w:b/>
                <w:color w:val="000000"/>
              </w:rPr>
              <w:t>,</w:t>
            </w:r>
            <w:r w:rsidRPr="00135D51">
              <w:rPr>
                <w:rFonts w:eastAsia="Times New Roman" w:cs="Arial"/>
                <w:b/>
                <w:color w:val="000000"/>
              </w:rPr>
              <w:t>4</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32</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7</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25      </w:t>
            </w:r>
          </w:p>
        </w:tc>
        <w:tc>
          <w:tcPr>
            <w:tcW w:w="1498" w:type="dxa"/>
            <w:shd w:val="clear" w:color="auto" w:fill="auto"/>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 xml:space="preserve"> </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DF056F">
              <w:rPr>
                <w:b/>
              </w:rPr>
              <w:t>Državni organ</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lastRenderedPageBreak/>
              <w:t>Invaliditet</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lastRenderedPageBreak/>
              <w:t>14</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6</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lastRenderedPageBreak/>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13</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9</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4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DF056F">
              <w:rPr>
                <w:b/>
              </w:rPr>
              <w:t>Državni organ</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77072F">
              <w:rPr>
                <w:rFonts w:eastAsia="Times New Roman" w:cs="Arial"/>
                <w:b/>
                <w:color w:val="000000"/>
              </w:rPr>
              <w:t>Neko drugo lično svojstvo</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5</w:t>
            </w:r>
            <w:r w:rsidR="005858BC">
              <w:rPr>
                <w:rFonts w:eastAsia="Times New Roman" w:cs="Arial"/>
                <w:b/>
                <w:color w:val="000000"/>
              </w:rPr>
              <w:t>,</w:t>
            </w:r>
            <w:r w:rsidRPr="00135D51">
              <w:rPr>
                <w:rFonts w:eastAsia="Times New Roman" w:cs="Arial"/>
                <w:b/>
                <w:color w:val="000000"/>
              </w:rPr>
              <w:t>3</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 xml:space="preserve"> 7</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3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DD41EF"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Imovno stanje</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11</w:t>
            </w:r>
          </w:p>
        </w:tc>
        <w:tc>
          <w:tcPr>
            <w:tcW w:w="900" w:type="dxa"/>
            <w:tcBorders>
              <w:right w:val="nil"/>
            </w:tcBorders>
            <w:shd w:val="clear" w:color="auto" w:fill="C5EFF7"/>
            <w:vAlign w:val="bottom"/>
          </w:tcPr>
          <w:p w:rsidR="00135D51" w:rsidRPr="00135D51" w:rsidRDefault="00135D51" w:rsidP="00135D51">
            <w:pPr>
              <w:spacing w:before="0" w:after="0" w:line="276" w:lineRule="auto"/>
              <w:jc w:val="right"/>
              <w:rPr>
                <w:rFonts w:eastAsia="Times New Roman" w:cs="Arial"/>
                <w:b/>
                <w:color w:val="000000"/>
              </w:rPr>
            </w:pPr>
          </w:p>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4</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3</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8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77072F" w:rsidP="00135D51">
            <w:pPr>
              <w:autoSpaceDE w:val="0"/>
              <w:autoSpaceDN w:val="0"/>
              <w:adjustRightInd w:val="0"/>
              <w:spacing w:before="0" w:after="0" w:line="276" w:lineRule="auto"/>
              <w:jc w:val="left"/>
              <w:rPr>
                <w:rFonts w:eastAsia="Times New Roman" w:cs="Arial"/>
                <w:b/>
              </w:rPr>
            </w:pPr>
            <w:r>
              <w:rPr>
                <w:rFonts w:eastAsia="Times New Roman" w:cs="Arial"/>
                <w:b/>
                <w:color w:val="000000"/>
                <w:lang w:val="sr-Latn-RS"/>
              </w:rPr>
              <w:t>Zdravstveno stanje</w:t>
            </w:r>
            <w:r w:rsidR="00135D51" w:rsidRPr="00135D51">
              <w:rPr>
                <w:rFonts w:eastAsia="Times New Roman" w:cs="Arial"/>
                <w:b/>
                <w:color w:val="000000"/>
              </w:rPr>
              <w:t xml:space="preserve">  </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4</w:t>
            </w:r>
            <w:r w:rsidR="005858BC">
              <w:rPr>
                <w:rFonts w:eastAsia="Times New Roman" w:cs="Arial"/>
                <w:b/>
                <w:color w:val="000000"/>
              </w:rPr>
              <w:t>,</w:t>
            </w:r>
            <w:r w:rsidRPr="00135D51">
              <w:rPr>
                <w:rFonts w:eastAsia="Times New Roman" w:cs="Arial"/>
                <w:b/>
                <w:color w:val="000000"/>
              </w:rPr>
              <w:t>4</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4</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6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Preci</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7</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7</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7</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0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Osuđivanost</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3</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3</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0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Genetske osobenosti</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4</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1</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w:t>
            </w:r>
            <w:r w:rsidR="00DD41EF">
              <w:rPr>
                <w:rFonts w:eastAsia="Times New Roman" w:cs="Arial"/>
                <w:b/>
                <w:lang w:val="sr-Latn-RS"/>
              </w:rPr>
              <w:t xml:space="preserve"> </w:t>
            </w:r>
            <w:r w:rsidRPr="00135D51">
              <w:rPr>
                <w:rFonts w:eastAsia="Times New Roman" w:cs="Arial"/>
                <w:b/>
              </w:rPr>
              <w:t xml:space="preserve">0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Izgled</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4</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1</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0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Rodni identitet</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 xml:space="preserve"> 1</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sidRPr="00DF056F">
              <w:rPr>
                <w:b/>
              </w:rPr>
              <w:t>žene</w:t>
            </w:r>
            <w:r w:rsidRPr="00135D51">
              <w:rPr>
                <w:rFonts w:eastAsia="Times New Roman" w:cs="Arial"/>
                <w:b/>
              </w:rPr>
              <w:t xml:space="preserve">                                1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77072F" w:rsidRDefault="0077072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Seksualna orijentacija</w:t>
            </w:r>
          </w:p>
        </w:tc>
        <w:tc>
          <w:tcPr>
            <w:tcW w:w="1498"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900"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070" w:type="dxa"/>
            <w:tcBorders>
              <w:left w:val="nil"/>
            </w:tcBorders>
            <w:shd w:val="clear" w:color="auto" w:fill="auto"/>
          </w:tcPr>
          <w:p w:rsidR="00135D51" w:rsidRPr="00135D51" w:rsidRDefault="0077072F" w:rsidP="00135D51">
            <w:pPr>
              <w:autoSpaceDE w:val="0"/>
              <w:autoSpaceDN w:val="0"/>
              <w:adjustRightInd w:val="0"/>
              <w:spacing w:before="0" w:after="0" w:line="276" w:lineRule="auto"/>
              <w:jc w:val="left"/>
              <w:rPr>
                <w:rFonts w:eastAsia="Times New Roman" w:cs="Arial"/>
                <w:b/>
                <w:color w:val="000000"/>
              </w:rPr>
            </w:pPr>
            <w:r w:rsidRPr="00DF056F">
              <w:rPr>
                <w:b/>
              </w:rPr>
              <w:t>Državni organ</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lang w:val="sr-Latn-RS"/>
              </w:rPr>
              <w:t>muškarci</w:t>
            </w:r>
            <w:r w:rsidRPr="00135D51">
              <w:rPr>
                <w:rFonts w:eastAsia="Times New Roman" w:cs="Arial"/>
                <w:b/>
              </w:rPr>
              <w:t xml:space="preserve">                    </w:t>
            </w:r>
            <w:r w:rsidR="00DA6FC0">
              <w:rPr>
                <w:rFonts w:eastAsia="Times New Roman" w:cs="Arial"/>
                <w:b/>
              </w:rPr>
              <w:t xml:space="preserve"> </w:t>
            </w:r>
            <w:r w:rsidRPr="00135D51">
              <w:rPr>
                <w:rFonts w:eastAsia="Times New Roman" w:cs="Arial"/>
                <w:b/>
              </w:rPr>
              <w:t xml:space="preserve">   1</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D41EF">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D41EF">
              <w:rPr>
                <w:rFonts w:eastAsia="Times New Roman" w:cs="Arial"/>
                <w:b/>
              </w:rPr>
              <w:t xml:space="preserve">                            </w:t>
            </w:r>
            <w:r w:rsidR="00DD41EF" w:rsidRPr="00DF056F">
              <w:rPr>
                <w:b/>
              </w:rPr>
              <w:t>žene</w:t>
            </w:r>
            <w:r w:rsidRPr="00135D51">
              <w:rPr>
                <w:rFonts w:eastAsia="Times New Roman" w:cs="Arial"/>
                <w:b/>
              </w:rPr>
              <w:t xml:space="preserve">                                0   </w:t>
            </w:r>
          </w:p>
        </w:tc>
        <w:tc>
          <w:tcPr>
            <w:tcW w:w="1498"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900"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12D9EE"/>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DD41EF" w:rsidRDefault="00DD41EF"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Ukupno</w:t>
            </w:r>
          </w:p>
        </w:tc>
        <w:tc>
          <w:tcPr>
            <w:tcW w:w="1498" w:type="dxa"/>
            <w:shd w:val="clear" w:color="auto" w:fill="12D9EE"/>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227</w:t>
            </w:r>
          </w:p>
        </w:tc>
        <w:tc>
          <w:tcPr>
            <w:tcW w:w="900" w:type="dxa"/>
            <w:tcBorders>
              <w:right w:val="nil"/>
            </w:tcBorders>
            <w:shd w:val="clear" w:color="auto" w:fill="12D9EE"/>
            <w:vAlign w:val="bottom"/>
          </w:tcPr>
          <w:p w:rsidR="00135D51" w:rsidRPr="00135D51" w:rsidRDefault="00135D51" w:rsidP="00AC0428">
            <w:pPr>
              <w:spacing w:before="0" w:after="0" w:line="276" w:lineRule="auto"/>
              <w:jc w:val="right"/>
              <w:rPr>
                <w:rFonts w:eastAsia="Times New Roman" w:cs="Arial"/>
                <w:b/>
                <w:bCs/>
                <w:color w:val="000000"/>
              </w:rPr>
            </w:pPr>
            <w:r w:rsidRPr="00135D51">
              <w:rPr>
                <w:rFonts w:eastAsia="Times New Roman" w:cs="Arial"/>
                <w:b/>
                <w:bCs/>
                <w:color w:val="000000"/>
              </w:rPr>
              <w:t>100</w:t>
            </w:r>
            <w:r w:rsidR="005858BC">
              <w:rPr>
                <w:rFonts w:eastAsia="Times New Roman" w:cs="Arial"/>
                <w:b/>
                <w:bCs/>
                <w:color w:val="000000"/>
              </w:rPr>
              <w:t>,</w:t>
            </w:r>
            <w:r w:rsidRPr="00135D51">
              <w:rPr>
                <w:rFonts w:eastAsia="Times New Roman" w:cs="Arial"/>
                <w:b/>
                <w:bCs/>
                <w:color w:val="000000"/>
              </w:rPr>
              <w:t>0</w:t>
            </w:r>
          </w:p>
        </w:tc>
      </w:tr>
    </w:tbl>
    <w:p w:rsidR="00135D51" w:rsidRPr="00135D51" w:rsidRDefault="00135D51" w:rsidP="00135D51">
      <w:pPr>
        <w:spacing w:before="0" w:after="200" w:line="276" w:lineRule="auto"/>
        <w:jc w:val="left"/>
        <w:rPr>
          <w:rFonts w:eastAsia="Times New Roman" w:cs="Arial"/>
          <w:b/>
          <w:u w:val="single"/>
        </w:rPr>
      </w:pPr>
    </w:p>
    <w:p w:rsidR="00135D51" w:rsidRPr="00135D51" w:rsidRDefault="00135D51" w:rsidP="00135D51">
      <w:pPr>
        <w:spacing w:before="0" w:after="200" w:line="276" w:lineRule="auto"/>
        <w:jc w:val="left"/>
        <w:rPr>
          <w:rFonts w:eastAsia="Times New Roman" w:cs="Arial"/>
          <w:b/>
          <w:u w:val="single"/>
        </w:rPr>
      </w:pPr>
    </w:p>
    <w:p w:rsidR="00BE250B" w:rsidRDefault="00BE250B" w:rsidP="00135D51">
      <w:pPr>
        <w:spacing w:before="0" w:after="200" w:line="276" w:lineRule="auto"/>
        <w:jc w:val="left"/>
        <w:rPr>
          <w:rFonts w:eastAsia="Times New Roman" w:cs="Arial"/>
          <w:b/>
          <w:u w:val="single"/>
          <w:lang w:val="sr-Latn-RS"/>
        </w:rPr>
      </w:pPr>
      <w:r w:rsidRPr="00BE250B">
        <w:rPr>
          <w:rFonts w:eastAsia="Times New Roman" w:cs="Arial"/>
          <w:b/>
          <w:u w:val="single"/>
        </w:rPr>
        <w:t>Postupanje organa javne vlasti</w:t>
      </w:r>
    </w:p>
    <w:p w:rsidR="00135D51" w:rsidRPr="00135D51" w:rsidRDefault="00BE250B" w:rsidP="00135D51">
      <w:pPr>
        <w:spacing w:before="0" w:after="200" w:line="276" w:lineRule="auto"/>
        <w:jc w:val="left"/>
        <w:rPr>
          <w:rFonts w:eastAsia="Times New Roman" w:cs="Arial"/>
        </w:rPr>
      </w:pPr>
      <w:r w:rsidRPr="00BE250B">
        <w:rPr>
          <w:rFonts w:eastAsia="Times New Roman" w:cs="Arial"/>
        </w:rPr>
        <w:t>Napomena: Procentualne vrednosti sy navedena lična svojstva i računate su u odnosu na broj podnosilaca pritužbi za pritužbe u kojima je navedeno lično svojstvo, a ne u odnosu na ukupan broj pritužbi za datu oblast</w:t>
      </w:r>
      <w:r w:rsidR="00135D51" w:rsidRPr="00135D51">
        <w:rPr>
          <w:rFonts w:eastAsia="Times New Roman" w:cs="Arial"/>
        </w:rPr>
        <w:t>.</w:t>
      </w:r>
    </w:p>
    <w:p w:rsidR="00135D51" w:rsidRPr="00D90821" w:rsidRDefault="00135D51" w:rsidP="00135D51">
      <w:pPr>
        <w:spacing w:before="0" w:after="200" w:line="276" w:lineRule="auto"/>
        <w:jc w:val="left"/>
        <w:rPr>
          <w:rFonts w:eastAsia="Times New Roman" w:cs="Arial"/>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955"/>
        <w:gridCol w:w="1501"/>
      </w:tblGrid>
      <w:tr w:rsidR="00135D51" w:rsidRPr="00135D51" w:rsidTr="00135D51">
        <w:tc>
          <w:tcPr>
            <w:tcW w:w="7070" w:type="dxa"/>
            <w:tcBorders>
              <w:left w:val="nil"/>
            </w:tcBorders>
            <w:shd w:val="clear" w:color="auto" w:fill="12D9EE"/>
          </w:tcPr>
          <w:p w:rsidR="00135D51" w:rsidRPr="00135D51" w:rsidRDefault="00BE250B" w:rsidP="00135D51">
            <w:pPr>
              <w:spacing w:before="0" w:after="0" w:line="276" w:lineRule="auto"/>
              <w:jc w:val="left"/>
              <w:rPr>
                <w:rFonts w:eastAsia="Times New Roman" w:cs="Arial"/>
                <w:b/>
              </w:rPr>
            </w:pPr>
            <w:r w:rsidRPr="00BE250B">
              <w:rPr>
                <w:rFonts w:eastAsia="Times New Roman" w:cs="Arial"/>
                <w:b/>
              </w:rPr>
              <w:t>Lična svojstva u pritužbama u oblasti postupanja organa javne vlasti</w:t>
            </w:r>
          </w:p>
        </w:tc>
        <w:tc>
          <w:tcPr>
            <w:tcW w:w="970" w:type="dxa"/>
            <w:shd w:val="clear" w:color="auto" w:fill="12D9EE"/>
          </w:tcPr>
          <w:p w:rsidR="00135D51" w:rsidRPr="00135D51" w:rsidRDefault="00BE250B" w:rsidP="00135D51">
            <w:pPr>
              <w:spacing w:before="0" w:after="0" w:line="276" w:lineRule="auto"/>
              <w:jc w:val="center"/>
              <w:rPr>
                <w:rFonts w:eastAsia="Times New Roman" w:cs="Arial"/>
                <w:b/>
              </w:rPr>
            </w:pPr>
            <w:r>
              <w:rPr>
                <w:rFonts w:eastAsia="Times New Roman" w:cs="Arial"/>
                <w:b/>
                <w:lang w:val="sr-Latn-RS"/>
              </w:rPr>
              <w:t>bro</w:t>
            </w:r>
            <w:r w:rsidR="00135D51" w:rsidRPr="00135D51">
              <w:rPr>
                <w:rFonts w:eastAsia="Times New Roman" w:cs="Arial"/>
                <w:b/>
              </w:rPr>
              <w:t>ј</w:t>
            </w:r>
          </w:p>
        </w:tc>
        <w:tc>
          <w:tcPr>
            <w:tcW w:w="1536" w:type="dxa"/>
            <w:tcBorders>
              <w:right w:val="nil"/>
            </w:tcBorders>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BE250B">
              <w:rPr>
                <w:rFonts w:eastAsia="Times New Roman" w:cs="Arial"/>
                <w:b/>
                <w:color w:val="000000"/>
              </w:rPr>
              <w:t>Nacionalna pripadnost ili etničko poreklo</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14</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10</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10</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8</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2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Pol</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15</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11</w:t>
            </w:r>
            <w:r w:rsidR="005858BC">
              <w:rPr>
                <w:rFonts w:eastAsia="Times New Roman" w:cs="Arial"/>
                <w:b/>
                <w:color w:val="000000"/>
              </w:rPr>
              <w:t>,</w:t>
            </w:r>
            <w:r w:rsidRPr="00135D51">
              <w:rPr>
                <w:rFonts w:eastAsia="Times New Roman" w:cs="Arial"/>
                <w:b/>
                <w:color w:val="000000"/>
              </w:rPr>
              <w:t>5</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7</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4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rPr>
            </w:pPr>
            <w:r w:rsidRPr="00DF056F">
              <w:rPr>
                <w:b/>
              </w:rPr>
              <w:t>Pravna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rPr>
            </w:pPr>
            <w:r w:rsidRPr="00DF056F">
              <w:rPr>
                <w:b/>
              </w:rPr>
              <w:t>Organizacije</w:t>
            </w:r>
            <w:r w:rsidR="00135D51" w:rsidRPr="00135D51">
              <w:rPr>
                <w:rFonts w:eastAsia="Times New Roman" w:cs="Arial"/>
                <w:b/>
              </w:rPr>
              <w:t xml:space="preserve">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Osuđivanost</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14</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10</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14</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13</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1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Imovno stanje</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8</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3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E250B" w:rsidP="00BE250B">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Neko drugo lično svojstvo</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lastRenderedPageBreak/>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6</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3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Starosno doba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10</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2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Verska ili politička ubeđenja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6</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9</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Zdravstveno stanje</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13</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10</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2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Bračni i porodični status</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6</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7</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4</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3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rPr>
            </w:pPr>
            <w:r w:rsidRPr="00DF056F">
              <w:rPr>
                <w:b/>
              </w:rPr>
              <w:t>Pravna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Invaliditet</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6</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4</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Državljanstvo</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A6FC0">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3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BE250B" w:rsidP="00135D51">
            <w:pPr>
              <w:autoSpaceDE w:val="0"/>
              <w:autoSpaceDN w:val="0"/>
              <w:adjustRightInd w:val="0"/>
              <w:spacing w:before="0" w:after="0" w:line="276" w:lineRule="auto"/>
              <w:jc w:val="left"/>
              <w:rPr>
                <w:rFonts w:eastAsia="Times New Roman" w:cs="Arial"/>
                <w:b/>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Genetske osobenosti</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5</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2</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Preci</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5</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lastRenderedPageBreak/>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2</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w:t>
            </w:r>
            <w:r w:rsidR="00BE250B">
              <w:rPr>
                <w:rFonts w:eastAsia="Times New Roman" w:cs="Arial"/>
                <w:b/>
                <w:lang w:val="sr-Latn-RS"/>
              </w:rPr>
              <w:t>0</w:t>
            </w:r>
            <w:r w:rsidRPr="00135D51">
              <w:rPr>
                <w:rFonts w:eastAsia="Times New Roman" w:cs="Arial"/>
                <w:b/>
              </w:rPr>
              <w:t xml:space="preserve">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BE250B" w:rsidP="00135D51">
            <w:pPr>
              <w:autoSpaceDE w:val="0"/>
              <w:autoSpaceDN w:val="0"/>
              <w:adjustRightInd w:val="0"/>
              <w:spacing w:before="0" w:after="0" w:line="276" w:lineRule="auto"/>
              <w:jc w:val="left"/>
              <w:rPr>
                <w:rFonts w:eastAsia="Times New Roman" w:cs="Arial"/>
                <w:b/>
                <w:color w:val="000000"/>
              </w:rPr>
            </w:pPr>
            <w:r w:rsidRPr="00BE250B">
              <w:rPr>
                <w:rFonts w:eastAsia="Times New Roman" w:cs="Arial"/>
                <w:b/>
                <w:color w:val="000000"/>
              </w:rPr>
              <w:t>Članstvo u političkim, sindikalnim i drugim organizacijama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Jezik</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Rasa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0</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1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Rođenje</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0</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070" w:type="dxa"/>
            <w:tcBorders>
              <w:left w:val="nil"/>
            </w:tcBorders>
            <w:shd w:val="clear" w:color="auto" w:fill="auto"/>
          </w:tcPr>
          <w:p w:rsidR="00135D51" w:rsidRPr="00135D51" w:rsidRDefault="00A91073"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lang w:val="sr-Latn-RS"/>
              </w:rPr>
              <w:t>muškarci</w:t>
            </w:r>
            <w:r w:rsidRPr="00135D51">
              <w:rPr>
                <w:rFonts w:eastAsia="Times New Roman" w:cs="Arial"/>
                <w:b/>
              </w:rPr>
              <w:t xml:space="preserve">                       0</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BE250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BE250B">
              <w:rPr>
                <w:rFonts w:eastAsia="Times New Roman" w:cs="Arial"/>
                <w:b/>
              </w:rPr>
              <w:t xml:space="preserve">                            </w:t>
            </w:r>
            <w:r w:rsidR="00BE250B">
              <w:rPr>
                <w:rFonts w:eastAsia="Times New Roman" w:cs="Arial"/>
                <w:b/>
                <w:lang w:val="sr-Latn-RS"/>
              </w:rPr>
              <w:t>žene</w:t>
            </w:r>
            <w:r w:rsidRPr="00135D51">
              <w:rPr>
                <w:rFonts w:eastAsia="Times New Roman" w:cs="Arial"/>
                <w:b/>
              </w:rPr>
              <w:t xml:space="preserve">                               1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12D9EE"/>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BE250B" w:rsidRDefault="00BE250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Ukupno</w:t>
            </w:r>
          </w:p>
        </w:tc>
        <w:tc>
          <w:tcPr>
            <w:tcW w:w="970" w:type="dxa"/>
            <w:shd w:val="clear" w:color="auto" w:fill="12D9EE"/>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131</w:t>
            </w:r>
          </w:p>
        </w:tc>
        <w:tc>
          <w:tcPr>
            <w:tcW w:w="1536" w:type="dxa"/>
            <w:tcBorders>
              <w:right w:val="nil"/>
            </w:tcBorders>
            <w:shd w:val="clear" w:color="auto" w:fill="12D9EE"/>
            <w:vAlign w:val="bottom"/>
          </w:tcPr>
          <w:p w:rsidR="00135D51" w:rsidRPr="00135D51" w:rsidRDefault="00135D51" w:rsidP="00AC0428">
            <w:pPr>
              <w:spacing w:before="0" w:after="0" w:line="276" w:lineRule="auto"/>
              <w:jc w:val="right"/>
              <w:rPr>
                <w:rFonts w:eastAsia="Times New Roman" w:cs="Arial"/>
                <w:b/>
                <w:bCs/>
                <w:color w:val="000000"/>
              </w:rPr>
            </w:pPr>
            <w:r w:rsidRPr="00135D51">
              <w:rPr>
                <w:rFonts w:eastAsia="Times New Roman" w:cs="Arial"/>
                <w:b/>
                <w:bCs/>
                <w:color w:val="000000"/>
              </w:rPr>
              <w:t>100</w:t>
            </w:r>
            <w:r w:rsidR="005858BC">
              <w:rPr>
                <w:rFonts w:eastAsia="Times New Roman" w:cs="Arial"/>
                <w:b/>
                <w:bCs/>
                <w:color w:val="000000"/>
              </w:rPr>
              <w:t>,</w:t>
            </w:r>
            <w:r w:rsidRPr="00135D51">
              <w:rPr>
                <w:rFonts w:eastAsia="Times New Roman" w:cs="Arial"/>
                <w:b/>
                <w:bCs/>
                <w:color w:val="000000"/>
              </w:rPr>
              <w:t>0</w:t>
            </w:r>
          </w:p>
        </w:tc>
      </w:tr>
    </w:tbl>
    <w:p w:rsidR="00135D51" w:rsidRPr="00135D51" w:rsidRDefault="00135D51" w:rsidP="00135D51">
      <w:pPr>
        <w:spacing w:before="0" w:after="200" w:line="276" w:lineRule="auto"/>
        <w:jc w:val="left"/>
        <w:rPr>
          <w:rFonts w:eastAsia="Times New Roman" w:cs="Arial"/>
          <w:b/>
        </w:rPr>
      </w:pPr>
    </w:p>
    <w:p w:rsidR="009E22CC" w:rsidRDefault="009E22CC" w:rsidP="00135D51">
      <w:pPr>
        <w:spacing w:before="0" w:after="200" w:line="276" w:lineRule="auto"/>
        <w:jc w:val="left"/>
        <w:rPr>
          <w:rFonts w:eastAsia="Times New Roman" w:cs="Arial"/>
          <w:b/>
          <w:lang w:val="sr-Latn-RS"/>
        </w:rPr>
      </w:pPr>
    </w:p>
    <w:p w:rsidR="009E22CC" w:rsidRPr="009E22CC" w:rsidRDefault="009E22CC" w:rsidP="00135D51">
      <w:pPr>
        <w:spacing w:before="0" w:after="200" w:line="276" w:lineRule="auto"/>
        <w:jc w:val="left"/>
        <w:rPr>
          <w:rFonts w:eastAsia="Times New Roman" w:cs="Arial"/>
          <w:b/>
          <w:lang w:val="sr-Latn-RS"/>
        </w:rPr>
      </w:pPr>
    </w:p>
    <w:p w:rsidR="002161F1" w:rsidRDefault="002161F1" w:rsidP="00135D51">
      <w:pPr>
        <w:spacing w:before="0" w:after="200" w:line="276" w:lineRule="auto"/>
        <w:jc w:val="left"/>
        <w:rPr>
          <w:rFonts w:eastAsia="Times New Roman" w:cs="Arial"/>
          <w:b/>
          <w:u w:val="single"/>
          <w:lang w:val="sr-Latn-RS"/>
        </w:rPr>
      </w:pPr>
      <w:r w:rsidRPr="002161F1">
        <w:rPr>
          <w:rFonts w:eastAsia="Times New Roman" w:cs="Arial"/>
          <w:b/>
          <w:u w:val="single"/>
        </w:rPr>
        <w:t>Podnosioci pritužbi u oblasti javnog informisanja i medija</w:t>
      </w:r>
    </w:p>
    <w:p w:rsidR="002161F1" w:rsidRPr="002161F1" w:rsidRDefault="002161F1" w:rsidP="00135D51">
      <w:pPr>
        <w:spacing w:before="0" w:after="200" w:line="276" w:lineRule="auto"/>
        <w:jc w:val="left"/>
        <w:rPr>
          <w:rFonts w:eastAsia="Times New Roman" w:cs="Arial"/>
          <w:lang w:val="sr-Latn-RS"/>
        </w:rPr>
      </w:pPr>
      <w:r w:rsidRPr="002161F1">
        <w:rPr>
          <w:rFonts w:eastAsia="Times New Roman" w:cs="Arial"/>
        </w:rPr>
        <w:t>Napomena: Procentualne vrednosti za navedena lična svojstva računate su u odnosu na broj podnosilaca pritužbi za pritužbe u kojima je navedeno lično svojstvo, a ne u odnosu na ukupan broj pritužbi za datu oblast.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955"/>
        <w:gridCol w:w="1501"/>
      </w:tblGrid>
      <w:tr w:rsidR="00135D51" w:rsidRPr="00135D51" w:rsidTr="00135D51">
        <w:tc>
          <w:tcPr>
            <w:tcW w:w="7070" w:type="dxa"/>
            <w:tcBorders>
              <w:left w:val="nil"/>
            </w:tcBorders>
            <w:shd w:val="clear" w:color="auto" w:fill="12D9EE"/>
          </w:tcPr>
          <w:p w:rsidR="00135D51" w:rsidRPr="00135D51" w:rsidRDefault="002161F1" w:rsidP="00135D51">
            <w:pPr>
              <w:spacing w:before="0" w:after="0" w:line="276" w:lineRule="auto"/>
              <w:jc w:val="left"/>
              <w:rPr>
                <w:rFonts w:eastAsia="Times New Roman" w:cs="Arial"/>
                <w:b/>
              </w:rPr>
            </w:pPr>
            <w:r w:rsidRPr="002161F1">
              <w:rPr>
                <w:rFonts w:eastAsia="Times New Roman" w:cs="Arial"/>
                <w:b/>
              </w:rPr>
              <w:t>Podnosioci pritužbi u oblasti javnog informisanja i medija</w:t>
            </w:r>
          </w:p>
        </w:tc>
        <w:tc>
          <w:tcPr>
            <w:tcW w:w="970" w:type="dxa"/>
            <w:shd w:val="clear" w:color="auto" w:fill="12D9EE"/>
          </w:tcPr>
          <w:p w:rsidR="00135D51" w:rsidRPr="002161F1" w:rsidRDefault="002161F1" w:rsidP="00135D51">
            <w:pPr>
              <w:spacing w:before="0" w:after="0" w:line="276" w:lineRule="auto"/>
              <w:jc w:val="center"/>
              <w:rPr>
                <w:rFonts w:eastAsia="Times New Roman" w:cs="Arial"/>
                <w:b/>
                <w:lang w:val="sr-Latn-RS"/>
              </w:rPr>
            </w:pPr>
            <w:r>
              <w:rPr>
                <w:rFonts w:eastAsia="Times New Roman" w:cs="Arial"/>
                <w:b/>
                <w:lang w:val="sr-Latn-RS"/>
              </w:rPr>
              <w:t>broj</w:t>
            </w:r>
          </w:p>
        </w:tc>
        <w:tc>
          <w:tcPr>
            <w:tcW w:w="1536" w:type="dxa"/>
            <w:tcBorders>
              <w:right w:val="nil"/>
            </w:tcBorders>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135D51" w:rsidRPr="00135D51" w:rsidTr="00135D51">
        <w:tc>
          <w:tcPr>
            <w:tcW w:w="7070" w:type="dxa"/>
            <w:tcBorders>
              <w:top w:val="single" w:sz="4" w:space="0" w:color="auto"/>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Seksualna orijentacija</w:t>
            </w:r>
          </w:p>
        </w:tc>
        <w:tc>
          <w:tcPr>
            <w:tcW w:w="970" w:type="dxa"/>
            <w:tcBorders>
              <w:top w:val="single" w:sz="4" w:space="0" w:color="auto"/>
            </w:tcBorders>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15</w:t>
            </w:r>
          </w:p>
        </w:tc>
        <w:tc>
          <w:tcPr>
            <w:tcW w:w="1536" w:type="dxa"/>
            <w:tcBorders>
              <w:top w:val="single" w:sz="4" w:space="0" w:color="auto"/>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48</w:t>
            </w:r>
            <w:r w:rsidR="005858BC">
              <w:rPr>
                <w:rFonts w:eastAsia="Times New Roman" w:cs="Arial"/>
                <w:b/>
                <w:color w:val="000000"/>
              </w:rPr>
              <w:t>,</w:t>
            </w:r>
            <w:r w:rsidRPr="00135D51">
              <w:rPr>
                <w:rFonts w:eastAsia="Times New Roman" w:cs="Arial"/>
                <w:b/>
                <w:color w:val="000000"/>
              </w:rPr>
              <w:t>4</w:t>
            </w:r>
          </w:p>
        </w:tc>
      </w:tr>
      <w:tr w:rsidR="00135D51" w:rsidRPr="00135D51" w:rsidTr="002913D5">
        <w:trPr>
          <w:trHeight w:val="629"/>
        </w:trPr>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15</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Nacionalna pripadnost ili etničko poreklo</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16</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lang w:val="sr-Latn-RS"/>
              </w:rPr>
              <w:t>muškarci</w:t>
            </w:r>
            <w:r w:rsidRPr="00135D51">
              <w:rPr>
                <w:rFonts w:eastAsia="Times New Roman" w:cs="Arial"/>
                <w:b/>
                <w:color w:val="000000"/>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lang w:val="sr-Latn-RS"/>
              </w:rPr>
              <w:t>žene</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lastRenderedPageBreak/>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Članstvo u političkim, sindikalnim i drugim organizacijama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lang w:val="sr-Latn-RS"/>
              </w:rPr>
              <w:t>muškarci</w:t>
            </w:r>
            <w:r w:rsidRPr="00135D51">
              <w:rPr>
                <w:rFonts w:eastAsia="Times New Roman" w:cs="Arial"/>
                <w:b/>
                <w:color w:val="000000"/>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color w:val="000000"/>
                <w:lang w:val="sr-Latn-RS"/>
              </w:rPr>
              <w:t xml:space="preserve">   </w:t>
            </w:r>
            <w:r w:rsidR="00D95CFB">
              <w:rPr>
                <w:rFonts w:eastAsia="Times New Roman" w:cs="Arial"/>
                <w:b/>
                <w:lang w:val="sr-Latn-RS"/>
              </w:rPr>
              <w:t>žene</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0</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D95CFB" w:rsidRDefault="00D95CF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Invaliditet</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070" w:type="dxa"/>
            <w:tcBorders>
              <w:left w:val="nil"/>
            </w:tcBorders>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color w:val="000000"/>
                <w:lang w:val="sr-Latn-RS"/>
              </w:rPr>
              <w:t xml:space="preserve">   </w:t>
            </w:r>
            <w:r w:rsidR="00D95CFB">
              <w:rPr>
                <w:rFonts w:eastAsia="Times New Roman" w:cs="Arial"/>
                <w:b/>
                <w:lang w:val="sr-Latn-RS"/>
              </w:rPr>
              <w:t>muškarci</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00D95CFB">
              <w:rPr>
                <w:rFonts w:eastAsia="Times New Roman" w:cs="Arial"/>
                <w:b/>
                <w:lang w:val="sr-Latn-RS"/>
              </w:rPr>
              <w:t>žene</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0</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D95CFB" w:rsidRDefault="00D95CF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Pol</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lang w:val="sr-Latn-RS"/>
              </w:rPr>
              <w:t>muškarci</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lang w:val="sr-Latn-RS"/>
              </w:rPr>
              <w:t>žene</w:t>
            </w:r>
            <w:r w:rsidR="00D95CFB" w:rsidRPr="00135D51">
              <w:rPr>
                <w:rFonts w:eastAsia="Times New Roman" w:cs="Arial"/>
                <w:b/>
                <w:color w:val="000000"/>
              </w:rPr>
              <w:t xml:space="preserve">  </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w:t>
            </w:r>
            <w:r w:rsidR="00D95CFB">
              <w:rPr>
                <w:rFonts w:eastAsia="Times New Roman" w:cs="Arial"/>
                <w:b/>
                <w:color w:val="000000"/>
                <w:lang w:val="sr-Latn-RS"/>
              </w:rPr>
              <w:t xml:space="preserve"> </w:t>
            </w:r>
            <w:r w:rsidRPr="00135D51">
              <w:rPr>
                <w:rFonts w:eastAsia="Times New Roman" w:cs="Arial"/>
                <w:b/>
                <w:color w:val="000000"/>
              </w:rPr>
              <w:t xml:space="preserve"> 2</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D95CFB" w:rsidRDefault="00D95CF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Starosno doba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95CFB">
              <w:rPr>
                <w:rFonts w:eastAsia="Times New Roman" w:cs="Arial"/>
                <w:b/>
                <w:lang w:val="sr-Latn-RS"/>
              </w:rPr>
              <w:t>muškarci</w:t>
            </w:r>
            <w:r w:rsidRPr="00135D51">
              <w:rPr>
                <w:rFonts w:eastAsia="Times New Roman" w:cs="Arial"/>
                <w:b/>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95CFB">
              <w:rPr>
                <w:rFonts w:eastAsia="Times New Roman" w:cs="Arial"/>
                <w:b/>
                <w:lang w:val="sr-Latn-RS"/>
              </w:rPr>
              <w:t>žene</w:t>
            </w:r>
            <w:r w:rsidR="00D95CFB" w:rsidRPr="00135D51">
              <w:rPr>
                <w:rFonts w:eastAsia="Times New Roman" w:cs="Arial"/>
                <w:b/>
                <w:color w:val="000000"/>
              </w:rPr>
              <w:t xml:space="preserve">  </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D95CFB"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Verska ili politička ubeđenja</w:t>
            </w:r>
          </w:p>
        </w:tc>
        <w:tc>
          <w:tcPr>
            <w:tcW w:w="97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2</w:t>
            </w:r>
          </w:p>
        </w:tc>
      </w:tr>
      <w:tr w:rsidR="00135D51" w:rsidRPr="00135D51" w:rsidTr="00135D51">
        <w:tc>
          <w:tcPr>
            <w:tcW w:w="7070" w:type="dxa"/>
            <w:tcBorders>
              <w:left w:val="nil"/>
            </w:tcBorders>
            <w:shd w:val="clear" w:color="auto" w:fill="auto"/>
          </w:tcPr>
          <w:p w:rsidR="00135D51" w:rsidRPr="00135D51" w:rsidRDefault="00D95CFB" w:rsidP="00135D51">
            <w:pPr>
              <w:autoSpaceDE w:val="0"/>
              <w:autoSpaceDN w:val="0"/>
              <w:adjustRightInd w:val="0"/>
              <w:spacing w:before="0" w:after="0" w:line="276" w:lineRule="auto"/>
              <w:rPr>
                <w:rFonts w:eastAsia="Times New Roman" w:cs="Arial"/>
                <w:b/>
              </w:rPr>
            </w:pPr>
            <w:r w:rsidRPr="00DF056F">
              <w:rPr>
                <w:b/>
              </w:rPr>
              <w:t>Fizička lica</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95CFB">
              <w:rPr>
                <w:rFonts w:eastAsia="Times New Roman" w:cs="Arial"/>
                <w:b/>
                <w:lang w:val="sr-Latn-RS"/>
              </w:rPr>
              <w:t>muškarci</w:t>
            </w:r>
            <w:r w:rsidRPr="00135D51">
              <w:rPr>
                <w:rFonts w:eastAsia="Times New Roman" w:cs="Arial"/>
                <w:b/>
              </w:rPr>
              <w:t xml:space="preserve">                  1</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auto"/>
          </w:tcPr>
          <w:p w:rsidR="00135D51" w:rsidRPr="00135D51" w:rsidRDefault="00135D51" w:rsidP="00D95CFB">
            <w:pPr>
              <w:autoSpaceDE w:val="0"/>
              <w:autoSpaceDN w:val="0"/>
              <w:adjustRightInd w:val="0"/>
              <w:spacing w:before="0" w:after="0" w:line="276" w:lineRule="auto"/>
              <w:jc w:val="left"/>
              <w:rPr>
                <w:rFonts w:eastAsia="Times New Roman" w:cs="Arial"/>
                <w:b/>
              </w:rPr>
            </w:pPr>
            <w:r w:rsidRPr="00135D51">
              <w:rPr>
                <w:rFonts w:eastAsia="Times New Roman" w:cs="Arial"/>
                <w:b/>
              </w:rPr>
              <w:t xml:space="preserve">                                   </w:t>
            </w:r>
            <w:r w:rsidR="00D95CFB">
              <w:rPr>
                <w:rFonts w:eastAsia="Times New Roman" w:cs="Arial"/>
                <w:b/>
                <w:lang w:val="sr-Latn-RS"/>
              </w:rPr>
              <w:t>žene</w:t>
            </w:r>
            <w:r w:rsidR="00D95CFB" w:rsidRPr="00135D51">
              <w:rPr>
                <w:rFonts w:eastAsia="Times New Roman" w:cs="Arial"/>
                <w:b/>
                <w:color w:val="000000"/>
              </w:rPr>
              <w:t xml:space="preserve">  </w:t>
            </w:r>
            <w:r w:rsidRPr="00135D51">
              <w:rPr>
                <w:rFonts w:eastAsia="Times New Roman" w:cs="Arial"/>
                <w:b/>
              </w:rPr>
              <w:t xml:space="preserve">                        0   </w:t>
            </w:r>
          </w:p>
        </w:tc>
        <w:tc>
          <w:tcPr>
            <w:tcW w:w="97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536" w:type="dxa"/>
            <w:tcBorders>
              <w:right w:val="nil"/>
            </w:tcBorders>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070" w:type="dxa"/>
            <w:tcBorders>
              <w:left w:val="nil"/>
            </w:tcBorders>
            <w:shd w:val="clear" w:color="auto" w:fill="12D9EE"/>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D95CFB" w:rsidRDefault="00D95CF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Ukupno</w:t>
            </w:r>
          </w:p>
        </w:tc>
        <w:tc>
          <w:tcPr>
            <w:tcW w:w="970" w:type="dxa"/>
            <w:shd w:val="clear" w:color="auto" w:fill="12D9EE"/>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28</w:t>
            </w:r>
          </w:p>
        </w:tc>
        <w:tc>
          <w:tcPr>
            <w:tcW w:w="1536" w:type="dxa"/>
            <w:tcBorders>
              <w:right w:val="nil"/>
            </w:tcBorders>
            <w:shd w:val="clear" w:color="auto" w:fill="12D9EE"/>
            <w:vAlign w:val="bottom"/>
          </w:tcPr>
          <w:p w:rsidR="00135D51" w:rsidRPr="00135D51" w:rsidRDefault="00135D51" w:rsidP="00AC0428">
            <w:pPr>
              <w:spacing w:before="0" w:after="0" w:line="276" w:lineRule="auto"/>
              <w:jc w:val="right"/>
              <w:rPr>
                <w:rFonts w:eastAsia="Times New Roman" w:cs="Arial"/>
                <w:b/>
                <w:bCs/>
                <w:color w:val="000000"/>
              </w:rPr>
            </w:pPr>
            <w:r w:rsidRPr="00135D51">
              <w:rPr>
                <w:rFonts w:eastAsia="Times New Roman" w:cs="Arial"/>
                <w:b/>
                <w:bCs/>
                <w:color w:val="000000"/>
              </w:rPr>
              <w:t>100</w:t>
            </w:r>
            <w:r w:rsidR="005858BC">
              <w:rPr>
                <w:rFonts w:eastAsia="Times New Roman" w:cs="Arial"/>
                <w:b/>
                <w:bCs/>
                <w:color w:val="000000"/>
              </w:rPr>
              <w:t>,</w:t>
            </w:r>
            <w:r w:rsidRPr="00135D51">
              <w:rPr>
                <w:rFonts w:eastAsia="Times New Roman" w:cs="Arial"/>
                <w:b/>
                <w:bCs/>
                <w:color w:val="000000"/>
              </w:rPr>
              <w:t>0</w:t>
            </w:r>
          </w:p>
        </w:tc>
      </w:tr>
    </w:tbl>
    <w:p w:rsidR="00135D51" w:rsidRPr="00135D51" w:rsidRDefault="00135D51" w:rsidP="00135D51">
      <w:pPr>
        <w:spacing w:before="0" w:after="200" w:line="276" w:lineRule="auto"/>
        <w:jc w:val="left"/>
        <w:rPr>
          <w:rFonts w:eastAsia="Times New Roman" w:cs="Arial"/>
          <w:b/>
        </w:rPr>
      </w:pPr>
    </w:p>
    <w:p w:rsidR="00135D51" w:rsidRDefault="00135D51" w:rsidP="00135D51">
      <w:pPr>
        <w:spacing w:before="0" w:after="200" w:line="276" w:lineRule="auto"/>
        <w:jc w:val="left"/>
        <w:rPr>
          <w:rFonts w:eastAsia="Times New Roman" w:cs="Arial"/>
          <w:b/>
          <w:u w:val="single"/>
          <w:lang w:val="sr-Latn-RS"/>
        </w:rPr>
      </w:pPr>
    </w:p>
    <w:p w:rsidR="009E22CC" w:rsidRDefault="009E22CC" w:rsidP="00135D51">
      <w:pPr>
        <w:spacing w:before="0" w:after="200" w:line="276" w:lineRule="auto"/>
        <w:jc w:val="left"/>
        <w:rPr>
          <w:rFonts w:eastAsia="Times New Roman" w:cs="Arial"/>
          <w:b/>
          <w:u w:val="single"/>
          <w:lang w:val="sr-Latn-RS"/>
        </w:rPr>
      </w:pPr>
    </w:p>
    <w:p w:rsidR="009E22CC" w:rsidRDefault="009E22CC" w:rsidP="00135D51">
      <w:pPr>
        <w:spacing w:before="0" w:after="200" w:line="276" w:lineRule="auto"/>
        <w:jc w:val="left"/>
        <w:rPr>
          <w:rFonts w:eastAsia="Times New Roman" w:cs="Arial"/>
          <w:b/>
          <w:u w:val="single"/>
          <w:lang w:val="sr-Latn-RS"/>
        </w:rPr>
      </w:pPr>
    </w:p>
    <w:p w:rsidR="002E1F26" w:rsidRDefault="002E1F26" w:rsidP="00135D51">
      <w:pPr>
        <w:spacing w:before="0" w:after="200" w:line="276" w:lineRule="auto"/>
        <w:jc w:val="left"/>
        <w:rPr>
          <w:rFonts w:eastAsia="Times New Roman" w:cs="Arial"/>
          <w:b/>
          <w:u w:val="single"/>
          <w:lang w:val="sr-Latn-RS"/>
        </w:rPr>
      </w:pPr>
    </w:p>
    <w:p w:rsidR="002E1F26" w:rsidRDefault="002E1F26" w:rsidP="00135D51">
      <w:pPr>
        <w:spacing w:before="0" w:after="200" w:line="276" w:lineRule="auto"/>
        <w:jc w:val="left"/>
        <w:rPr>
          <w:rFonts w:eastAsia="Times New Roman" w:cs="Arial"/>
          <w:b/>
          <w:u w:val="single"/>
          <w:lang w:val="sr-Latn-RS"/>
        </w:rPr>
      </w:pPr>
    </w:p>
    <w:p w:rsidR="002E1F26" w:rsidRDefault="002E1F26" w:rsidP="00135D51">
      <w:pPr>
        <w:spacing w:before="0" w:after="200" w:line="276" w:lineRule="auto"/>
        <w:jc w:val="left"/>
        <w:rPr>
          <w:rFonts w:eastAsia="Times New Roman" w:cs="Arial"/>
          <w:b/>
          <w:u w:val="single"/>
          <w:lang w:val="sr-Latn-RS"/>
        </w:rPr>
      </w:pPr>
    </w:p>
    <w:p w:rsidR="002E1F26" w:rsidRPr="009E22CC" w:rsidRDefault="002E1F26" w:rsidP="00135D51">
      <w:pPr>
        <w:spacing w:before="0" w:after="200" w:line="276" w:lineRule="auto"/>
        <w:jc w:val="left"/>
        <w:rPr>
          <w:rFonts w:eastAsia="Times New Roman" w:cs="Arial"/>
          <w:b/>
          <w:u w:val="single"/>
          <w:lang w:val="sr-Latn-RS"/>
        </w:rPr>
      </w:pPr>
    </w:p>
    <w:p w:rsidR="0012188E" w:rsidRDefault="0012188E" w:rsidP="00135D51">
      <w:pPr>
        <w:spacing w:before="0" w:after="200" w:line="276" w:lineRule="auto"/>
        <w:jc w:val="left"/>
        <w:rPr>
          <w:rFonts w:eastAsia="Times New Roman" w:cs="Arial"/>
          <w:b/>
          <w:u w:val="single"/>
          <w:lang w:val="sr-Latn-RS"/>
        </w:rPr>
      </w:pPr>
      <w:r w:rsidRPr="0012188E">
        <w:rPr>
          <w:rFonts w:eastAsia="Times New Roman" w:cs="Arial"/>
          <w:b/>
          <w:u w:val="single"/>
        </w:rPr>
        <w:lastRenderedPageBreak/>
        <w:t>Pružanje usluga i/ili korišćenje javnih površina i objekata</w:t>
      </w:r>
    </w:p>
    <w:p w:rsidR="0012188E" w:rsidRPr="0012188E" w:rsidRDefault="0012188E" w:rsidP="00135D51">
      <w:pPr>
        <w:spacing w:before="0" w:after="200" w:line="276" w:lineRule="auto"/>
        <w:jc w:val="left"/>
        <w:rPr>
          <w:rFonts w:eastAsia="Times New Roman" w:cs="Arial"/>
          <w:sz w:val="8"/>
          <w:lang w:val="sr-Latn-RS"/>
        </w:rPr>
      </w:pPr>
      <w:r w:rsidRPr="0012188E">
        <w:rPr>
          <w:rFonts w:eastAsia="Times New Roman" w:cs="Arial"/>
        </w:rPr>
        <w:t>Napomena: Procentualne vrednosti za navedena lična svojstva računate su u odnosu na broj podnosilaca pritužbi za pritužbe u kojima je navedeno lično svojstvo, a ne u odnosu na ukupan broj pritužbi za datu oblast.</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318"/>
        <w:gridCol w:w="974"/>
        <w:gridCol w:w="997"/>
      </w:tblGrid>
      <w:tr w:rsidR="00135D51" w:rsidRPr="00135D51" w:rsidTr="00135D51">
        <w:tc>
          <w:tcPr>
            <w:tcW w:w="7578" w:type="dxa"/>
            <w:shd w:val="clear" w:color="auto" w:fill="12D9EE"/>
          </w:tcPr>
          <w:p w:rsidR="00135D51" w:rsidRPr="00135D51" w:rsidRDefault="0012188E" w:rsidP="00135D51">
            <w:pPr>
              <w:spacing w:before="0" w:after="0" w:line="276" w:lineRule="auto"/>
              <w:jc w:val="left"/>
              <w:rPr>
                <w:rFonts w:eastAsia="Times New Roman" w:cs="Arial"/>
                <w:b/>
              </w:rPr>
            </w:pPr>
            <w:r w:rsidRPr="0012188E">
              <w:rPr>
                <w:rFonts w:eastAsia="Times New Roman" w:cs="Arial"/>
                <w:b/>
              </w:rPr>
              <w:t>Podnosioci pritužbi u oblasti pružanja usluga i/ili korišćenja javnih površina i objekata</w:t>
            </w:r>
          </w:p>
        </w:tc>
        <w:tc>
          <w:tcPr>
            <w:tcW w:w="990" w:type="dxa"/>
            <w:shd w:val="clear" w:color="auto" w:fill="12D9EE"/>
          </w:tcPr>
          <w:p w:rsidR="00135D51" w:rsidRPr="00135D51" w:rsidRDefault="0012188E" w:rsidP="0012188E">
            <w:pPr>
              <w:spacing w:before="0" w:after="0" w:line="276" w:lineRule="auto"/>
              <w:jc w:val="center"/>
              <w:rPr>
                <w:rFonts w:eastAsia="Times New Roman" w:cs="Arial"/>
                <w:b/>
              </w:rPr>
            </w:pPr>
            <w:r>
              <w:rPr>
                <w:rFonts w:eastAsia="Times New Roman" w:cs="Arial"/>
                <w:b/>
                <w:lang w:val="sr-Latn-RS"/>
              </w:rPr>
              <w:t>broj</w:t>
            </w:r>
          </w:p>
        </w:tc>
        <w:tc>
          <w:tcPr>
            <w:tcW w:w="1008"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Invaliditet</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rPr>
            </w:pPr>
            <w:r w:rsidRPr="00135D51">
              <w:rPr>
                <w:rFonts w:eastAsia="Times New Roman" w:cs="Arial"/>
                <w:b/>
              </w:rPr>
              <w:t>18</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31</w:t>
            </w:r>
            <w:r w:rsidR="005858BC">
              <w:rPr>
                <w:rFonts w:eastAsia="Times New Roman" w:cs="Arial"/>
                <w:b/>
                <w:color w:val="000000"/>
              </w:rPr>
              <w:t>,</w:t>
            </w:r>
            <w:r w:rsidRPr="00135D51">
              <w:rPr>
                <w:rFonts w:eastAsia="Times New Roman" w:cs="Arial"/>
                <w:b/>
                <w:color w:val="000000"/>
              </w:rPr>
              <w:t>7</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14</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12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2188E" w:rsidP="00135D51">
            <w:pPr>
              <w:spacing w:before="0" w:after="0" w:line="276" w:lineRule="auto"/>
              <w:jc w:val="left"/>
              <w:rPr>
                <w:rFonts w:eastAsia="Times New Roman" w:cs="Arial"/>
                <w:b/>
              </w:rPr>
            </w:pPr>
            <w:r w:rsidRPr="00DF056F">
              <w:rPr>
                <w:b/>
              </w:rPr>
              <w:t>Organizacije</w:t>
            </w:r>
          </w:p>
        </w:tc>
        <w:tc>
          <w:tcPr>
            <w:tcW w:w="990" w:type="dxa"/>
            <w:shd w:val="clear" w:color="auto" w:fill="auto"/>
            <w:vAlign w:val="bottom"/>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3</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2188E" w:rsidP="00135D51">
            <w:pPr>
              <w:spacing w:before="0" w:after="0" w:line="276" w:lineRule="auto"/>
              <w:jc w:val="left"/>
              <w:rPr>
                <w:rFonts w:eastAsia="Times New Roman" w:cs="Arial"/>
                <w:b/>
              </w:rPr>
            </w:pPr>
            <w:r w:rsidRPr="00DF056F">
              <w:rPr>
                <w:b/>
              </w:rPr>
              <w:t>Pravna lica</w:t>
            </w:r>
          </w:p>
        </w:tc>
        <w:tc>
          <w:tcPr>
            <w:tcW w:w="990" w:type="dxa"/>
            <w:shd w:val="clear" w:color="auto" w:fill="auto"/>
            <w:vAlign w:val="bottom"/>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Nacionalna pripadnost ili etničko poreklo</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10</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4</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EC2562" w:rsidRDefault="00EC2562" w:rsidP="00135D51">
            <w:pPr>
              <w:spacing w:before="0" w:after="0" w:line="276" w:lineRule="auto"/>
              <w:jc w:val="left"/>
              <w:rPr>
                <w:rFonts w:eastAsia="Times New Roman" w:cs="Arial"/>
                <w:b/>
                <w:lang w:val="sr-Latn-RS"/>
              </w:rPr>
            </w:pPr>
            <w:r>
              <w:rPr>
                <w:rFonts w:eastAsia="Times New Roman" w:cs="Arial"/>
                <w:b/>
                <w:lang w:val="sr-Latn-RS"/>
              </w:rPr>
              <w:t>Grupa lica</w:t>
            </w:r>
          </w:p>
        </w:tc>
        <w:tc>
          <w:tcPr>
            <w:tcW w:w="990" w:type="dxa"/>
            <w:shd w:val="clear" w:color="auto" w:fill="auto"/>
            <w:vAlign w:val="bottom"/>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Članstvo u političkim, sindikalnim i drugim organizacijama</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3</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2188E" w:rsidP="00135D51">
            <w:pPr>
              <w:spacing w:before="0" w:after="0" w:line="276" w:lineRule="auto"/>
              <w:jc w:val="left"/>
              <w:rPr>
                <w:rFonts w:eastAsia="Times New Roman" w:cs="Arial"/>
                <w:b/>
              </w:rPr>
            </w:pPr>
            <w:r w:rsidRPr="00DF056F">
              <w:rPr>
                <w:b/>
              </w:rPr>
              <w:t>Organizacije</w:t>
            </w:r>
          </w:p>
        </w:tc>
        <w:tc>
          <w:tcPr>
            <w:tcW w:w="990" w:type="dxa"/>
            <w:shd w:val="clear" w:color="auto" w:fill="auto"/>
            <w:vAlign w:val="bottom"/>
          </w:tcPr>
          <w:p w:rsidR="00135D51" w:rsidRPr="00135D51" w:rsidRDefault="00135D51" w:rsidP="00135D51">
            <w:pPr>
              <w:spacing w:before="0" w:after="0" w:line="276" w:lineRule="auto"/>
              <w:jc w:val="right"/>
              <w:rPr>
                <w:rFonts w:eastAsia="Times New Roman" w:cs="Arial"/>
                <w:b/>
              </w:rPr>
            </w:pPr>
            <w:r w:rsidRPr="00135D51">
              <w:rPr>
                <w:rFonts w:eastAsia="Times New Roman" w:cs="Arial"/>
                <w:b/>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Pol</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578" w:type="dxa"/>
            <w:shd w:val="clear" w:color="auto" w:fill="auto"/>
          </w:tcPr>
          <w:p w:rsidR="00135D51" w:rsidRPr="00135D51" w:rsidRDefault="00EC2562"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4</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auto"/>
          </w:tcPr>
          <w:p w:rsidR="00135D51" w:rsidRPr="00135D51" w:rsidRDefault="00EC2562" w:rsidP="00135D51">
            <w:pPr>
              <w:autoSpaceDE w:val="0"/>
              <w:autoSpaceDN w:val="0"/>
              <w:adjustRightInd w:val="0"/>
              <w:spacing w:before="0" w:after="0" w:line="276" w:lineRule="auto"/>
              <w:jc w:val="left"/>
              <w:rPr>
                <w:rFonts w:eastAsia="Times New Roman" w:cs="Arial"/>
                <w:b/>
                <w:color w:val="000000"/>
              </w:rPr>
            </w:pPr>
            <w:r>
              <w:rPr>
                <w:rFonts w:eastAsia="Times New Roman" w:cs="Arial"/>
                <w:b/>
                <w:lang w:val="sr-Latn-RS"/>
              </w:rPr>
              <w:t>Grupa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bCs/>
                <w:color w:val="000000"/>
              </w:rPr>
            </w:pPr>
            <w:r w:rsidRPr="00135D51">
              <w:rPr>
                <w:rFonts w:eastAsia="Times New Roman" w:cs="Arial"/>
                <w:b/>
                <w:bCs/>
                <w:color w:val="000000"/>
              </w:rPr>
              <w:t> </w:t>
            </w: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Starosno doba</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9</w:t>
            </w:r>
            <w:r w:rsidR="005858BC">
              <w:rPr>
                <w:rFonts w:eastAsia="Times New Roman" w:cs="Arial"/>
                <w:b/>
                <w:color w:val="000000"/>
              </w:rPr>
              <w:t>,</w:t>
            </w:r>
            <w:r w:rsidRPr="00135D51">
              <w:rPr>
                <w:rFonts w:eastAsia="Times New Roman" w:cs="Arial"/>
                <w:b/>
                <w:color w:val="000000"/>
              </w:rPr>
              <w:t>1</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4</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Državljanstvo</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5</w:t>
            </w:r>
            <w:r w:rsidR="005858BC">
              <w:rPr>
                <w:rFonts w:eastAsia="Times New Roman" w:cs="Arial"/>
                <w:b/>
                <w:color w:val="000000"/>
              </w:rPr>
              <w:t>,</w:t>
            </w:r>
            <w:r w:rsidRPr="00135D51">
              <w:rPr>
                <w:rFonts w:eastAsia="Times New Roman" w:cs="Arial"/>
                <w:b/>
                <w:color w:val="000000"/>
              </w:rPr>
              <w:t>5</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Imovno stanje</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lastRenderedPageBreak/>
              <w:t xml:space="preserve">                        </w:t>
            </w:r>
            <w:r w:rsidR="00EC2562">
              <w:rPr>
                <w:rFonts w:eastAsia="Times New Roman" w:cs="Arial"/>
                <w:b/>
                <w:lang w:val="sr-Latn-RS"/>
              </w:rPr>
              <w:t>muškarci</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Jezik</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w:t>
            </w:r>
            <w:r w:rsidR="00DA6FC0">
              <w:rPr>
                <w:rFonts w:eastAsia="Times New Roman" w:cs="Arial"/>
                <w:b/>
                <w:color w:val="000000"/>
              </w:rPr>
              <w:t xml:space="preserve"> </w:t>
            </w:r>
            <w:r w:rsidRPr="00135D51">
              <w:rPr>
                <w:rFonts w:eastAsia="Times New Roman" w:cs="Arial"/>
                <w:b/>
                <w:color w:val="000000"/>
              </w:rPr>
              <w:t xml:space="preserve">    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DA6FC0">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Rodni identitet</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сс6</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EC2562" w:rsidP="00135D51">
            <w:pPr>
              <w:autoSpaceDE w:val="0"/>
              <w:autoSpaceDN w:val="0"/>
              <w:adjustRightInd w:val="0"/>
              <w:spacing w:before="0" w:after="0" w:line="276" w:lineRule="auto"/>
              <w:jc w:val="left"/>
              <w:rPr>
                <w:rFonts w:eastAsia="Times New Roman" w:cs="Arial"/>
                <w:b/>
                <w:color w:val="000000"/>
              </w:rPr>
            </w:pPr>
            <w:r w:rsidRPr="00DF056F">
              <w:rPr>
                <w:b/>
              </w:rPr>
              <w:t>Pravna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Seksualna orijentacija</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Zdravstveno stanje</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Bračni i porodični status</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12188E">
              <w:rPr>
                <w:rFonts w:eastAsia="Times New Roman" w:cs="Arial"/>
                <w:b/>
                <w:color w:val="000000"/>
              </w:rPr>
              <w:t>Neko drugo lično svojstvo</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578" w:type="dxa"/>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Rođenje</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Jezik</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5858BC">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EC2562">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muškarci</w:t>
            </w:r>
            <w:r w:rsidR="00EC2562">
              <w:rPr>
                <w:rFonts w:eastAsia="Times New Roman" w:cs="Arial"/>
                <w:b/>
                <w:color w:val="000000"/>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EC2562">
              <w:rPr>
                <w:rFonts w:eastAsia="Times New Roman" w:cs="Arial"/>
                <w:b/>
                <w:lang w:val="sr-Latn-RS"/>
              </w:rPr>
              <w:t>žene</w:t>
            </w:r>
            <w:r w:rsidRPr="00135D51">
              <w:rPr>
                <w:rFonts w:eastAsia="Times New Roman" w:cs="Arial"/>
                <w:b/>
                <w:color w:val="000000"/>
              </w:rPr>
              <w:t xml:space="preserve">                  </w:t>
            </w:r>
            <w:r w:rsidR="00EC2562">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12D9EE"/>
          </w:tcPr>
          <w:p w:rsidR="00135D51" w:rsidRPr="0012188E" w:rsidRDefault="0012188E"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Ukupno</w:t>
            </w:r>
          </w:p>
        </w:tc>
        <w:tc>
          <w:tcPr>
            <w:tcW w:w="990" w:type="dxa"/>
            <w:shd w:val="clear" w:color="auto" w:fill="12D9EE"/>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55</w:t>
            </w:r>
          </w:p>
        </w:tc>
        <w:tc>
          <w:tcPr>
            <w:tcW w:w="1008" w:type="dxa"/>
            <w:shd w:val="clear" w:color="auto" w:fill="12D9EE"/>
            <w:vAlign w:val="bottom"/>
          </w:tcPr>
          <w:p w:rsidR="00135D51" w:rsidRPr="00135D51" w:rsidRDefault="00135D51" w:rsidP="00AC0428">
            <w:pPr>
              <w:spacing w:before="0" w:after="0" w:line="276" w:lineRule="auto"/>
              <w:jc w:val="right"/>
              <w:rPr>
                <w:rFonts w:eastAsia="Times New Roman" w:cs="Arial"/>
                <w:b/>
                <w:bCs/>
                <w:color w:val="000000"/>
              </w:rPr>
            </w:pPr>
            <w:r w:rsidRPr="00135D51">
              <w:rPr>
                <w:rFonts w:eastAsia="Times New Roman" w:cs="Arial"/>
                <w:b/>
                <w:bCs/>
                <w:color w:val="000000"/>
              </w:rPr>
              <w:t>100</w:t>
            </w:r>
            <w:r w:rsidR="005858BC">
              <w:rPr>
                <w:rFonts w:eastAsia="Times New Roman" w:cs="Arial"/>
                <w:b/>
                <w:bCs/>
                <w:color w:val="000000"/>
              </w:rPr>
              <w:t>,</w:t>
            </w:r>
            <w:r w:rsidRPr="00135D51">
              <w:rPr>
                <w:rFonts w:eastAsia="Times New Roman" w:cs="Arial"/>
                <w:b/>
                <w:bCs/>
                <w:color w:val="000000"/>
              </w:rPr>
              <w:t>0</w:t>
            </w:r>
          </w:p>
        </w:tc>
      </w:tr>
    </w:tbl>
    <w:p w:rsidR="00135D51" w:rsidRPr="00135D51" w:rsidRDefault="00135D51" w:rsidP="00135D51">
      <w:pPr>
        <w:spacing w:before="0" w:after="200" w:line="276" w:lineRule="auto"/>
        <w:jc w:val="left"/>
        <w:rPr>
          <w:rFonts w:eastAsia="Times New Roman" w:cs="Arial"/>
          <w:b/>
        </w:rPr>
      </w:pPr>
    </w:p>
    <w:p w:rsidR="00F45C7B" w:rsidRDefault="00F45C7B" w:rsidP="00135D51">
      <w:pPr>
        <w:spacing w:before="0" w:after="200" w:line="276" w:lineRule="auto"/>
        <w:jc w:val="left"/>
        <w:rPr>
          <w:rFonts w:eastAsia="Times New Roman" w:cs="Arial"/>
          <w:b/>
          <w:u w:val="single"/>
          <w:lang w:val="sr-Latn-RS"/>
        </w:rPr>
      </w:pPr>
      <w:r w:rsidRPr="00F45C7B">
        <w:rPr>
          <w:rFonts w:eastAsia="Times New Roman" w:cs="Arial"/>
          <w:b/>
          <w:u w:val="single"/>
        </w:rPr>
        <w:t>Obrazovanje i stručno usavršavanje</w:t>
      </w:r>
    </w:p>
    <w:p w:rsidR="00F45C7B" w:rsidRPr="00F45C7B" w:rsidRDefault="00F45C7B" w:rsidP="00135D51">
      <w:pPr>
        <w:spacing w:before="0" w:after="200" w:line="276" w:lineRule="auto"/>
        <w:jc w:val="left"/>
        <w:rPr>
          <w:rFonts w:eastAsia="Times New Roman" w:cs="Arial"/>
          <w:lang w:val="sr-Latn-RS"/>
        </w:rPr>
      </w:pPr>
      <w:r w:rsidRPr="00F45C7B">
        <w:rPr>
          <w:rFonts w:eastAsia="Times New Roman" w:cs="Arial"/>
        </w:rPr>
        <w:t>Napomena: Procentualne vrednosti za navedena lična svojstva računate su u odnosu na broj podnosilaca pritužbi za pritužbe u kojima je navedeno lično svojstvo, a ne u odnosu na ukupan broj pritužbi za datu oblast.</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318"/>
        <w:gridCol w:w="974"/>
        <w:gridCol w:w="997"/>
      </w:tblGrid>
      <w:tr w:rsidR="00135D51" w:rsidRPr="00135D51" w:rsidTr="00135D51">
        <w:tc>
          <w:tcPr>
            <w:tcW w:w="7578" w:type="dxa"/>
            <w:shd w:val="clear" w:color="auto" w:fill="12D9EE"/>
          </w:tcPr>
          <w:p w:rsidR="00135D51" w:rsidRPr="00135D51" w:rsidRDefault="00F45C7B" w:rsidP="00135D51">
            <w:pPr>
              <w:spacing w:before="0" w:after="0" w:line="276" w:lineRule="auto"/>
              <w:jc w:val="left"/>
              <w:rPr>
                <w:rFonts w:eastAsia="Times New Roman" w:cs="Arial"/>
                <w:b/>
              </w:rPr>
            </w:pPr>
            <w:r w:rsidRPr="00F45C7B">
              <w:rPr>
                <w:rFonts w:eastAsia="Times New Roman" w:cs="Arial"/>
                <w:b/>
              </w:rPr>
              <w:t>Podnosioci pritužbi u oblasti obrazovanja i stručnog usavršavanja</w:t>
            </w:r>
          </w:p>
        </w:tc>
        <w:tc>
          <w:tcPr>
            <w:tcW w:w="990" w:type="dxa"/>
            <w:shd w:val="clear" w:color="auto" w:fill="12D9EE"/>
          </w:tcPr>
          <w:p w:rsidR="00135D51" w:rsidRPr="00135D51" w:rsidRDefault="00F45C7B" w:rsidP="00F45C7B">
            <w:pPr>
              <w:spacing w:before="0" w:after="0" w:line="276" w:lineRule="auto"/>
              <w:jc w:val="center"/>
              <w:rPr>
                <w:rFonts w:eastAsia="Times New Roman" w:cs="Arial"/>
                <w:b/>
              </w:rPr>
            </w:pPr>
            <w:r>
              <w:rPr>
                <w:rFonts w:eastAsia="Times New Roman" w:cs="Arial"/>
                <w:b/>
                <w:lang w:val="sr-Latn-RS"/>
              </w:rPr>
              <w:t>broj</w:t>
            </w:r>
          </w:p>
        </w:tc>
        <w:tc>
          <w:tcPr>
            <w:tcW w:w="1008" w:type="dxa"/>
            <w:shd w:val="clear" w:color="auto" w:fill="12D9EE"/>
          </w:tcPr>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Invaliditet</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24</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36</w:t>
            </w:r>
            <w:r w:rsidR="005858BC">
              <w:rPr>
                <w:rFonts w:eastAsia="Times New Roman" w:cs="Arial"/>
                <w:b/>
                <w:color w:val="000000"/>
              </w:rPr>
              <w:t>,</w:t>
            </w:r>
            <w:r w:rsidRPr="00135D51">
              <w:rPr>
                <w:rFonts w:eastAsia="Times New Roman" w:cs="Arial"/>
                <w:b/>
                <w:color w:val="000000"/>
              </w:rPr>
              <w:t>9</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16</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3</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13</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Grupa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Starosno doba</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20</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30</w:t>
            </w:r>
            <w:r w:rsidR="005858BC">
              <w:rPr>
                <w:rFonts w:eastAsia="Times New Roman" w:cs="Arial"/>
                <w:b/>
                <w:color w:val="000000"/>
              </w:rPr>
              <w:t>,</w:t>
            </w:r>
            <w:r w:rsidRPr="00135D51">
              <w:rPr>
                <w:rFonts w:eastAsia="Times New Roman" w:cs="Arial"/>
                <w:b/>
                <w:color w:val="000000"/>
              </w:rPr>
              <w:t>8</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4</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8</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Grupa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Nacionalna pripadnost ili etničko poreklo</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7</w:t>
            </w:r>
            <w:r w:rsidR="00B25B2F">
              <w:rPr>
                <w:rFonts w:eastAsia="Times New Roman" w:cs="Arial"/>
                <w:b/>
                <w:color w:val="000000"/>
              </w:rPr>
              <w:t>,</w:t>
            </w:r>
            <w:r w:rsidRPr="00135D51">
              <w:rPr>
                <w:rFonts w:eastAsia="Times New Roman" w:cs="Arial"/>
                <w:b/>
                <w:color w:val="000000"/>
              </w:rPr>
              <w:t>7</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Zdravstveno stanje</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4</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6</w:t>
            </w:r>
            <w:r w:rsidR="00B25B2F">
              <w:rPr>
                <w:rFonts w:eastAsia="Times New Roman" w:cs="Arial"/>
                <w:b/>
                <w:color w:val="000000"/>
              </w:rPr>
              <w:t>,</w:t>
            </w:r>
            <w:r w:rsidRPr="00135D51">
              <w:rPr>
                <w:rFonts w:eastAsia="Times New Roman" w:cs="Arial"/>
                <w:b/>
                <w:color w:val="000000"/>
              </w:rPr>
              <w:t>2</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Organizacije</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Imovno stanje</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4</w:t>
            </w:r>
            <w:r w:rsidR="00B25B2F">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3</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Pr>
                <w:rFonts w:eastAsia="Times New Roman" w:cs="Arial"/>
                <w:b/>
                <w:color w:val="000000"/>
                <w:lang w:val="sr-Latn-RS"/>
              </w:rPr>
              <w:t>Pol</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4</w:t>
            </w:r>
            <w:r w:rsidR="00B25B2F">
              <w:rPr>
                <w:rFonts w:eastAsia="Times New Roman" w:cs="Arial"/>
                <w:b/>
                <w:color w:val="000000"/>
              </w:rPr>
              <w:t>,</w:t>
            </w:r>
            <w:r w:rsidRPr="00135D51">
              <w:rPr>
                <w:rFonts w:eastAsia="Times New Roman" w:cs="Arial"/>
                <w:b/>
                <w:color w:val="000000"/>
              </w:rPr>
              <w:t>6</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Grupa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lastRenderedPageBreak/>
              <w:t>Neko drugo lično svojstvo</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lastRenderedPageBreak/>
              <w:t>2</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3</w:t>
            </w:r>
            <w:r w:rsidR="00B25B2F">
              <w:rPr>
                <w:rFonts w:eastAsia="Times New Roman" w:cs="Arial"/>
                <w:b/>
                <w:color w:val="000000"/>
              </w:rPr>
              <w:t>,</w:t>
            </w:r>
            <w:r w:rsidRPr="00135D51">
              <w:rPr>
                <w:rFonts w:eastAsia="Times New Roman" w:cs="Arial"/>
                <w:b/>
                <w:color w:val="000000"/>
              </w:rPr>
              <w:t>1</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lastRenderedPageBreak/>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2</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Bračni i porodični status</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B25B2F">
              <w:rPr>
                <w:rFonts w:eastAsia="Times New Roman" w:cs="Arial"/>
                <w:b/>
                <w:color w:val="000000"/>
              </w:rPr>
              <w:t>,</w:t>
            </w:r>
            <w:r w:rsidRPr="00135D51">
              <w:rPr>
                <w:rFonts w:eastAsia="Times New Roman" w:cs="Arial"/>
                <w:b/>
                <w:color w:val="000000"/>
              </w:rPr>
              <w:t>5</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Jezik</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B25B2F">
              <w:rPr>
                <w:rFonts w:eastAsia="Times New Roman" w:cs="Arial"/>
                <w:b/>
                <w:color w:val="000000"/>
              </w:rPr>
              <w:t>,</w:t>
            </w:r>
            <w:r w:rsidRPr="00135D51">
              <w:rPr>
                <w:rFonts w:eastAsia="Times New Roman" w:cs="Arial"/>
                <w:b/>
                <w:color w:val="000000"/>
              </w:rPr>
              <w:t>5</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Seksualna orijentacija</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135D51">
            <w:pPr>
              <w:spacing w:before="0" w:after="0" w:line="276" w:lineRule="auto"/>
              <w:jc w:val="right"/>
              <w:rPr>
                <w:rFonts w:eastAsia="Times New Roman" w:cs="Arial"/>
                <w:b/>
                <w:color w:val="000000"/>
              </w:rPr>
            </w:pPr>
          </w:p>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B25B2F">
              <w:rPr>
                <w:rFonts w:eastAsia="Times New Roman" w:cs="Arial"/>
                <w:b/>
                <w:color w:val="000000"/>
              </w:rPr>
              <w:t>,</w:t>
            </w:r>
            <w:r w:rsidRPr="00135D51">
              <w:rPr>
                <w:rFonts w:eastAsia="Times New Roman" w:cs="Arial"/>
                <w:b/>
                <w:color w:val="000000"/>
              </w:rPr>
              <w:t>5</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C5EFF7"/>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135D51" w:rsidRDefault="0012188E" w:rsidP="00135D51">
            <w:pPr>
              <w:autoSpaceDE w:val="0"/>
              <w:autoSpaceDN w:val="0"/>
              <w:adjustRightInd w:val="0"/>
              <w:spacing w:before="0" w:after="0" w:line="276" w:lineRule="auto"/>
              <w:jc w:val="left"/>
              <w:rPr>
                <w:rFonts w:eastAsia="Times New Roman" w:cs="Arial"/>
                <w:b/>
                <w:color w:val="000000"/>
              </w:rPr>
            </w:pPr>
            <w:r w:rsidRPr="00D95CFB">
              <w:rPr>
                <w:rFonts w:eastAsia="Times New Roman" w:cs="Arial"/>
                <w:b/>
                <w:color w:val="000000"/>
              </w:rPr>
              <w:t>Verska ili politička ubeđenja</w:t>
            </w:r>
          </w:p>
        </w:tc>
        <w:tc>
          <w:tcPr>
            <w:tcW w:w="990" w:type="dxa"/>
            <w:shd w:val="clear" w:color="auto" w:fill="C5EFF7"/>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C5EFF7"/>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w:t>
            </w:r>
            <w:r w:rsidR="00B25B2F">
              <w:rPr>
                <w:rFonts w:eastAsia="Times New Roman" w:cs="Arial"/>
                <w:b/>
                <w:color w:val="000000"/>
              </w:rPr>
              <w:t>,</w:t>
            </w:r>
            <w:r w:rsidRPr="00135D51">
              <w:rPr>
                <w:rFonts w:eastAsia="Times New Roman" w:cs="Arial"/>
                <w:b/>
                <w:color w:val="000000"/>
              </w:rPr>
              <w:t>5</w:t>
            </w:r>
          </w:p>
        </w:tc>
      </w:tr>
      <w:tr w:rsidR="00135D51" w:rsidRPr="00135D51" w:rsidTr="00135D51">
        <w:tc>
          <w:tcPr>
            <w:tcW w:w="7578" w:type="dxa"/>
            <w:shd w:val="clear" w:color="auto" w:fill="auto"/>
          </w:tcPr>
          <w:p w:rsidR="00135D51" w:rsidRPr="00135D51" w:rsidRDefault="00F45C7B" w:rsidP="00135D51">
            <w:pPr>
              <w:autoSpaceDE w:val="0"/>
              <w:autoSpaceDN w:val="0"/>
              <w:adjustRightInd w:val="0"/>
              <w:spacing w:before="0" w:after="0" w:line="276" w:lineRule="auto"/>
              <w:jc w:val="left"/>
              <w:rPr>
                <w:rFonts w:eastAsia="Times New Roman" w:cs="Arial"/>
                <w:b/>
                <w:color w:val="000000"/>
              </w:rPr>
            </w:pPr>
            <w:r w:rsidRPr="00DF056F">
              <w:rPr>
                <w:b/>
              </w:rPr>
              <w:t>Fizička lica</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muškarci</w:t>
            </w:r>
            <w:r w:rsidRPr="00135D51">
              <w:rPr>
                <w:rFonts w:eastAsia="Times New Roman" w:cs="Arial"/>
                <w:b/>
                <w:color w:val="000000"/>
              </w:rPr>
              <w:t xml:space="preserve">                     1</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AC0428">
            <w:pPr>
              <w:autoSpaceDE w:val="0"/>
              <w:autoSpaceDN w:val="0"/>
              <w:adjustRightInd w:val="0"/>
              <w:spacing w:before="0" w:after="0" w:line="276" w:lineRule="auto"/>
              <w:jc w:val="left"/>
              <w:rPr>
                <w:rFonts w:eastAsia="Times New Roman" w:cs="Arial"/>
                <w:b/>
                <w:color w:val="000000"/>
              </w:rPr>
            </w:pPr>
            <w:r w:rsidRPr="00135D51">
              <w:rPr>
                <w:rFonts w:eastAsia="Times New Roman" w:cs="Arial"/>
                <w:b/>
                <w:color w:val="000000"/>
              </w:rPr>
              <w:t xml:space="preserve">                        </w:t>
            </w:r>
            <w:r w:rsidR="00F45C7B">
              <w:rPr>
                <w:rFonts w:eastAsia="Times New Roman" w:cs="Arial"/>
                <w:b/>
                <w:lang w:val="sr-Latn-RS"/>
              </w:rPr>
              <w:t>žene</w:t>
            </w:r>
            <w:r w:rsidRPr="00135D51">
              <w:rPr>
                <w:rFonts w:eastAsia="Times New Roman" w:cs="Arial"/>
                <w:b/>
                <w:color w:val="000000"/>
              </w:rPr>
              <w:t xml:space="preserve">                   </w:t>
            </w:r>
            <w:r w:rsidR="00F45C7B">
              <w:rPr>
                <w:rFonts w:eastAsia="Times New Roman" w:cs="Arial"/>
                <w:b/>
                <w:color w:val="000000"/>
                <w:lang w:val="sr-Latn-RS"/>
              </w:rPr>
              <w:t xml:space="preserve">         </w:t>
            </w:r>
            <w:r w:rsidRPr="00135D51">
              <w:rPr>
                <w:rFonts w:eastAsia="Times New Roman" w:cs="Arial"/>
                <w:b/>
                <w:color w:val="000000"/>
              </w:rPr>
              <w:t xml:space="preserve"> 0</w:t>
            </w: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auto"/>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tc>
        <w:tc>
          <w:tcPr>
            <w:tcW w:w="990" w:type="dxa"/>
            <w:shd w:val="clear" w:color="auto" w:fill="auto"/>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tc>
        <w:tc>
          <w:tcPr>
            <w:tcW w:w="1008" w:type="dxa"/>
            <w:shd w:val="clear" w:color="auto" w:fill="auto"/>
            <w:vAlign w:val="bottom"/>
          </w:tcPr>
          <w:p w:rsidR="00135D51" w:rsidRPr="00135D51" w:rsidRDefault="00135D51" w:rsidP="00135D51">
            <w:pPr>
              <w:spacing w:before="0" w:after="0" w:line="276" w:lineRule="auto"/>
              <w:jc w:val="right"/>
              <w:rPr>
                <w:rFonts w:eastAsia="Times New Roman" w:cs="Arial"/>
                <w:b/>
                <w:color w:val="000000"/>
              </w:rPr>
            </w:pPr>
          </w:p>
        </w:tc>
      </w:tr>
      <w:tr w:rsidR="00135D51" w:rsidRPr="00135D51" w:rsidTr="00135D51">
        <w:tc>
          <w:tcPr>
            <w:tcW w:w="7578" w:type="dxa"/>
            <w:shd w:val="clear" w:color="auto" w:fill="12D9EE"/>
          </w:tcPr>
          <w:p w:rsidR="00135D51" w:rsidRPr="00135D51" w:rsidRDefault="00135D51" w:rsidP="00135D51">
            <w:pPr>
              <w:autoSpaceDE w:val="0"/>
              <w:autoSpaceDN w:val="0"/>
              <w:adjustRightInd w:val="0"/>
              <w:spacing w:before="0" w:after="0" w:line="276" w:lineRule="auto"/>
              <w:jc w:val="left"/>
              <w:rPr>
                <w:rFonts w:eastAsia="Times New Roman" w:cs="Arial"/>
                <w:b/>
                <w:color w:val="000000"/>
              </w:rPr>
            </w:pPr>
          </w:p>
          <w:p w:rsidR="00135D51" w:rsidRPr="00F45C7B" w:rsidRDefault="00F45C7B" w:rsidP="00135D51">
            <w:pPr>
              <w:autoSpaceDE w:val="0"/>
              <w:autoSpaceDN w:val="0"/>
              <w:adjustRightInd w:val="0"/>
              <w:spacing w:before="0" w:after="0" w:line="276" w:lineRule="auto"/>
              <w:jc w:val="left"/>
              <w:rPr>
                <w:rFonts w:eastAsia="Times New Roman" w:cs="Arial"/>
                <w:b/>
                <w:color w:val="000000"/>
                <w:lang w:val="sr-Latn-RS"/>
              </w:rPr>
            </w:pPr>
            <w:r>
              <w:rPr>
                <w:rFonts w:eastAsia="Times New Roman" w:cs="Arial"/>
                <w:b/>
                <w:color w:val="000000"/>
                <w:lang w:val="sr-Latn-RS"/>
              </w:rPr>
              <w:t>Ukupno</w:t>
            </w:r>
          </w:p>
        </w:tc>
        <w:tc>
          <w:tcPr>
            <w:tcW w:w="990" w:type="dxa"/>
            <w:shd w:val="clear" w:color="auto" w:fill="12D9EE"/>
            <w:vAlign w:val="bottom"/>
          </w:tcPr>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p>
          <w:p w:rsidR="00135D51" w:rsidRPr="00135D51" w:rsidRDefault="00135D51"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65</w:t>
            </w:r>
          </w:p>
        </w:tc>
        <w:tc>
          <w:tcPr>
            <w:tcW w:w="1008" w:type="dxa"/>
            <w:shd w:val="clear" w:color="auto" w:fill="12D9EE"/>
            <w:vAlign w:val="bottom"/>
          </w:tcPr>
          <w:p w:rsidR="00135D51" w:rsidRPr="00135D51" w:rsidRDefault="00135D51" w:rsidP="00135D51">
            <w:pPr>
              <w:spacing w:before="0" w:after="0" w:line="276" w:lineRule="auto"/>
              <w:jc w:val="right"/>
              <w:rPr>
                <w:rFonts w:eastAsia="Times New Roman" w:cs="Arial"/>
                <w:b/>
                <w:bCs/>
                <w:color w:val="000000"/>
              </w:rPr>
            </w:pPr>
          </w:p>
          <w:p w:rsidR="00135D51" w:rsidRPr="00135D51" w:rsidRDefault="00135D51" w:rsidP="00AC0428">
            <w:pPr>
              <w:spacing w:before="0" w:after="0" w:line="276" w:lineRule="auto"/>
              <w:jc w:val="right"/>
              <w:rPr>
                <w:rFonts w:eastAsia="Times New Roman" w:cs="Arial"/>
                <w:b/>
                <w:bCs/>
                <w:color w:val="000000"/>
              </w:rPr>
            </w:pPr>
            <w:r w:rsidRPr="00135D51">
              <w:rPr>
                <w:rFonts w:eastAsia="Times New Roman" w:cs="Arial"/>
                <w:b/>
                <w:bCs/>
                <w:color w:val="000000"/>
              </w:rPr>
              <w:t>100</w:t>
            </w:r>
            <w:r w:rsidR="00B25B2F">
              <w:rPr>
                <w:rFonts w:eastAsia="Times New Roman" w:cs="Arial"/>
                <w:b/>
                <w:bCs/>
                <w:color w:val="000000"/>
              </w:rPr>
              <w:t>,</w:t>
            </w:r>
            <w:r w:rsidRPr="00135D51">
              <w:rPr>
                <w:rFonts w:eastAsia="Times New Roman" w:cs="Arial"/>
                <w:b/>
                <w:bCs/>
                <w:color w:val="000000"/>
              </w:rPr>
              <w:t>0</w:t>
            </w:r>
          </w:p>
        </w:tc>
      </w:tr>
    </w:tbl>
    <w:p w:rsidR="00135D51" w:rsidRDefault="00135D51" w:rsidP="00135D51">
      <w:pPr>
        <w:spacing w:before="0" w:after="200" w:line="276" w:lineRule="auto"/>
        <w:jc w:val="left"/>
        <w:rPr>
          <w:rFonts w:eastAsia="Times New Roman" w:cs="Arial"/>
          <w:b/>
        </w:rPr>
      </w:pPr>
    </w:p>
    <w:p w:rsidR="00D90821" w:rsidRDefault="00D90821" w:rsidP="00135D51">
      <w:pPr>
        <w:spacing w:before="0" w:after="200" w:line="276" w:lineRule="auto"/>
        <w:jc w:val="left"/>
        <w:rPr>
          <w:rFonts w:eastAsia="Times New Roman" w:cs="Arial"/>
          <w:b/>
          <w:sz w:val="10"/>
          <w:lang w:val="sr-Latn-RS"/>
        </w:rPr>
      </w:pPr>
    </w:p>
    <w:p w:rsidR="00135D51" w:rsidRPr="00135D51" w:rsidRDefault="00C540BC" w:rsidP="00135D51">
      <w:pPr>
        <w:spacing w:before="0" w:after="200" w:line="276" w:lineRule="auto"/>
        <w:jc w:val="left"/>
        <w:outlineLvl w:val="0"/>
        <w:rPr>
          <w:rFonts w:eastAsia="Times New Roman" w:cs="Arial"/>
          <w:b/>
        </w:rPr>
      </w:pPr>
      <w:r w:rsidRPr="00C540BC">
        <w:rPr>
          <w:rFonts w:eastAsia="Times New Roman" w:cs="Arial"/>
          <w:b/>
        </w:rPr>
        <w:t>Protiv koga su pritužbe podnete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060"/>
        <w:gridCol w:w="1146"/>
        <w:gridCol w:w="1083"/>
      </w:tblGrid>
      <w:tr w:rsidR="00135D51" w:rsidRPr="00135D51" w:rsidTr="00C540BC">
        <w:tc>
          <w:tcPr>
            <w:tcW w:w="7060"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C540BC" w:rsidRDefault="00C540BC" w:rsidP="00C540BC">
            <w:pPr>
              <w:spacing w:before="0" w:after="200" w:line="276" w:lineRule="auto"/>
              <w:jc w:val="left"/>
              <w:outlineLvl w:val="0"/>
              <w:rPr>
                <w:rFonts w:eastAsia="Times New Roman" w:cs="Arial"/>
                <w:b/>
                <w:lang w:val="sr-Latn-RS"/>
              </w:rPr>
            </w:pPr>
            <w:r w:rsidRPr="00C540BC">
              <w:rPr>
                <w:rFonts w:eastAsia="Times New Roman" w:cs="Arial"/>
                <w:b/>
              </w:rPr>
              <w:t>Protiv koga su pritužbe podnete</w:t>
            </w:r>
          </w:p>
        </w:tc>
        <w:tc>
          <w:tcPr>
            <w:tcW w:w="1146" w:type="dxa"/>
            <w:shd w:val="clear" w:color="auto" w:fill="12D9EE"/>
          </w:tcPr>
          <w:p w:rsidR="00135D51" w:rsidRPr="00135D51" w:rsidRDefault="00135D51" w:rsidP="00135D51">
            <w:pPr>
              <w:spacing w:before="0" w:after="0" w:line="276" w:lineRule="auto"/>
              <w:jc w:val="center"/>
              <w:rPr>
                <w:rFonts w:eastAsia="Times New Roman" w:cs="Arial"/>
                <w:b/>
              </w:rPr>
            </w:pPr>
          </w:p>
          <w:p w:rsidR="00135D51" w:rsidRPr="00C540BC" w:rsidRDefault="00C540BC" w:rsidP="00135D51">
            <w:pPr>
              <w:spacing w:before="0" w:after="0" w:line="276" w:lineRule="auto"/>
              <w:jc w:val="center"/>
              <w:rPr>
                <w:rFonts w:eastAsia="Times New Roman" w:cs="Arial"/>
                <w:b/>
                <w:lang w:val="sr-Latn-RS"/>
              </w:rPr>
            </w:pPr>
            <w:r>
              <w:rPr>
                <w:rFonts w:eastAsia="Times New Roman" w:cs="Arial"/>
                <w:b/>
                <w:lang w:val="sr-Latn-RS"/>
              </w:rPr>
              <w:t>broj</w:t>
            </w:r>
          </w:p>
        </w:tc>
        <w:tc>
          <w:tcPr>
            <w:tcW w:w="1083" w:type="dxa"/>
            <w:shd w:val="clear" w:color="auto" w:fill="12D9EE"/>
          </w:tcPr>
          <w:p w:rsidR="00135D51" w:rsidRPr="00135D51" w:rsidRDefault="00135D51" w:rsidP="00135D51">
            <w:pPr>
              <w:spacing w:before="0" w:after="0" w:line="276" w:lineRule="auto"/>
              <w:jc w:val="center"/>
              <w:rPr>
                <w:rFonts w:eastAsia="Times New Roman" w:cs="Arial"/>
                <w:b/>
              </w:rPr>
            </w:pPr>
          </w:p>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C540BC" w:rsidRPr="00135D51" w:rsidTr="009E22CC">
        <w:trPr>
          <w:trHeight w:hRule="exact" w:val="454"/>
        </w:trPr>
        <w:tc>
          <w:tcPr>
            <w:tcW w:w="7060" w:type="dxa"/>
          </w:tcPr>
          <w:p w:rsidR="00C540BC" w:rsidRPr="00C540BC" w:rsidRDefault="00C540BC" w:rsidP="00556A31">
            <w:pPr>
              <w:rPr>
                <w:b/>
              </w:rPr>
            </w:pPr>
            <w:r w:rsidRPr="00C540BC">
              <w:rPr>
                <w:b/>
              </w:rPr>
              <w:t>Državni organ</w:t>
            </w:r>
          </w:p>
        </w:tc>
        <w:tc>
          <w:tcPr>
            <w:tcW w:w="1146" w:type="dxa"/>
            <w:vAlign w:val="bottom"/>
          </w:tcPr>
          <w:p w:rsidR="00C540BC" w:rsidRPr="00135D51" w:rsidRDefault="00C540BC"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242</w:t>
            </w:r>
          </w:p>
        </w:tc>
        <w:tc>
          <w:tcPr>
            <w:tcW w:w="1083" w:type="dxa"/>
            <w:vAlign w:val="bottom"/>
          </w:tcPr>
          <w:p w:rsidR="00C540BC" w:rsidRPr="00135D51" w:rsidRDefault="00C540BC"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38</w:t>
            </w:r>
            <w:r>
              <w:rPr>
                <w:rFonts w:eastAsia="Times New Roman" w:cs="Arial"/>
                <w:b/>
                <w:color w:val="000000"/>
              </w:rPr>
              <w:t>,</w:t>
            </w:r>
            <w:r w:rsidRPr="00135D51">
              <w:rPr>
                <w:rFonts w:eastAsia="Times New Roman" w:cs="Arial"/>
                <w:b/>
                <w:color w:val="000000"/>
              </w:rPr>
              <w:t>9</w:t>
            </w:r>
          </w:p>
        </w:tc>
      </w:tr>
      <w:tr w:rsidR="00C540BC" w:rsidRPr="00135D51" w:rsidTr="009E22CC">
        <w:trPr>
          <w:trHeight w:hRule="exact" w:val="454"/>
        </w:trPr>
        <w:tc>
          <w:tcPr>
            <w:tcW w:w="7060" w:type="dxa"/>
          </w:tcPr>
          <w:p w:rsidR="00C540BC" w:rsidRPr="00C540BC" w:rsidRDefault="00C540BC" w:rsidP="00556A31">
            <w:pPr>
              <w:rPr>
                <w:b/>
              </w:rPr>
            </w:pPr>
            <w:r w:rsidRPr="00C540BC">
              <w:rPr>
                <w:b/>
              </w:rPr>
              <w:t>Pravna lica</w:t>
            </w:r>
          </w:p>
        </w:tc>
        <w:tc>
          <w:tcPr>
            <w:tcW w:w="1146" w:type="dxa"/>
            <w:vAlign w:val="bottom"/>
          </w:tcPr>
          <w:p w:rsidR="00C540BC" w:rsidRPr="00135D51" w:rsidRDefault="00C540BC"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190</w:t>
            </w:r>
          </w:p>
        </w:tc>
        <w:tc>
          <w:tcPr>
            <w:tcW w:w="1083" w:type="dxa"/>
            <w:vAlign w:val="bottom"/>
          </w:tcPr>
          <w:p w:rsidR="00C540BC" w:rsidRPr="00135D51" w:rsidRDefault="00C540BC"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30</w:t>
            </w:r>
            <w:r>
              <w:rPr>
                <w:rFonts w:eastAsia="Times New Roman" w:cs="Arial"/>
                <w:b/>
                <w:color w:val="000000"/>
              </w:rPr>
              <w:t>,</w:t>
            </w:r>
            <w:r w:rsidRPr="00135D51">
              <w:rPr>
                <w:rFonts w:eastAsia="Times New Roman" w:cs="Arial"/>
                <w:b/>
                <w:color w:val="000000"/>
              </w:rPr>
              <w:t>5</w:t>
            </w:r>
          </w:p>
        </w:tc>
      </w:tr>
      <w:tr w:rsidR="00C540BC" w:rsidRPr="00135D51" w:rsidTr="009E22CC">
        <w:trPr>
          <w:trHeight w:hRule="exact" w:val="454"/>
        </w:trPr>
        <w:tc>
          <w:tcPr>
            <w:tcW w:w="7060" w:type="dxa"/>
          </w:tcPr>
          <w:p w:rsidR="00C540BC" w:rsidRPr="00C540BC" w:rsidRDefault="00C540BC" w:rsidP="00556A31">
            <w:pPr>
              <w:rPr>
                <w:b/>
              </w:rPr>
            </w:pPr>
            <w:r w:rsidRPr="00C540BC">
              <w:rPr>
                <w:b/>
              </w:rPr>
              <w:t>Fizičko lice</w:t>
            </w:r>
          </w:p>
        </w:tc>
        <w:tc>
          <w:tcPr>
            <w:tcW w:w="1146" w:type="dxa"/>
            <w:vAlign w:val="bottom"/>
          </w:tcPr>
          <w:p w:rsidR="00C540BC" w:rsidRPr="00135D51" w:rsidRDefault="00C540BC"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126</w:t>
            </w:r>
          </w:p>
        </w:tc>
        <w:tc>
          <w:tcPr>
            <w:tcW w:w="1083" w:type="dxa"/>
            <w:vAlign w:val="bottom"/>
          </w:tcPr>
          <w:p w:rsidR="00C540BC" w:rsidRPr="00135D51" w:rsidRDefault="00C540BC"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20</w:t>
            </w:r>
            <w:r>
              <w:rPr>
                <w:rFonts w:eastAsia="Times New Roman" w:cs="Arial"/>
                <w:b/>
                <w:color w:val="000000"/>
              </w:rPr>
              <w:t>,</w:t>
            </w:r>
            <w:r w:rsidRPr="00135D51">
              <w:rPr>
                <w:rFonts w:eastAsia="Times New Roman" w:cs="Arial"/>
                <w:b/>
                <w:color w:val="000000"/>
              </w:rPr>
              <w:t>3</w:t>
            </w:r>
          </w:p>
        </w:tc>
      </w:tr>
      <w:tr w:rsidR="00C540BC" w:rsidRPr="00135D51" w:rsidTr="009E22CC">
        <w:trPr>
          <w:trHeight w:hRule="exact" w:val="454"/>
        </w:trPr>
        <w:tc>
          <w:tcPr>
            <w:tcW w:w="7060" w:type="dxa"/>
          </w:tcPr>
          <w:p w:rsidR="00C540BC" w:rsidRPr="00C540BC" w:rsidRDefault="00C540BC" w:rsidP="00556A31">
            <w:pPr>
              <w:rPr>
                <w:b/>
              </w:rPr>
            </w:pPr>
            <w:r w:rsidRPr="00C540BC">
              <w:rPr>
                <w:b/>
              </w:rPr>
              <w:t>Organ / Institucija</w:t>
            </w:r>
          </w:p>
        </w:tc>
        <w:tc>
          <w:tcPr>
            <w:tcW w:w="1146" w:type="dxa"/>
            <w:vAlign w:val="bottom"/>
          </w:tcPr>
          <w:p w:rsidR="00C540BC" w:rsidRPr="00135D51" w:rsidRDefault="00C540BC"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34</w:t>
            </w:r>
          </w:p>
        </w:tc>
        <w:tc>
          <w:tcPr>
            <w:tcW w:w="1083" w:type="dxa"/>
            <w:vAlign w:val="bottom"/>
          </w:tcPr>
          <w:p w:rsidR="00C540BC" w:rsidRPr="00135D51" w:rsidRDefault="00C540BC"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w:t>
            </w:r>
            <w:r>
              <w:rPr>
                <w:rFonts w:eastAsia="Times New Roman" w:cs="Arial"/>
                <w:b/>
                <w:color w:val="000000"/>
              </w:rPr>
              <w:t>,</w:t>
            </w:r>
            <w:r w:rsidRPr="00135D51">
              <w:rPr>
                <w:rFonts w:eastAsia="Times New Roman" w:cs="Arial"/>
                <w:b/>
                <w:color w:val="000000"/>
              </w:rPr>
              <w:t>5</w:t>
            </w:r>
          </w:p>
        </w:tc>
      </w:tr>
      <w:tr w:rsidR="00C540BC" w:rsidRPr="00135D51" w:rsidTr="009E22CC">
        <w:trPr>
          <w:trHeight w:hRule="exact" w:val="454"/>
        </w:trPr>
        <w:tc>
          <w:tcPr>
            <w:tcW w:w="7060" w:type="dxa"/>
          </w:tcPr>
          <w:p w:rsidR="00C540BC" w:rsidRPr="00C540BC" w:rsidRDefault="00C540BC" w:rsidP="00556A31">
            <w:pPr>
              <w:rPr>
                <w:b/>
              </w:rPr>
            </w:pPr>
            <w:r w:rsidRPr="00C540BC">
              <w:rPr>
                <w:b/>
              </w:rPr>
              <w:t>Grupa lica</w:t>
            </w:r>
          </w:p>
        </w:tc>
        <w:tc>
          <w:tcPr>
            <w:tcW w:w="1146" w:type="dxa"/>
            <w:vAlign w:val="bottom"/>
          </w:tcPr>
          <w:p w:rsidR="00C540BC" w:rsidRPr="00135D51" w:rsidRDefault="00C540BC"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18</w:t>
            </w:r>
          </w:p>
        </w:tc>
        <w:tc>
          <w:tcPr>
            <w:tcW w:w="1083" w:type="dxa"/>
            <w:vAlign w:val="bottom"/>
          </w:tcPr>
          <w:p w:rsidR="00C540BC" w:rsidRPr="00135D51" w:rsidRDefault="00C540BC"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2</w:t>
            </w:r>
            <w:r>
              <w:rPr>
                <w:rFonts w:eastAsia="Times New Roman" w:cs="Arial"/>
                <w:b/>
                <w:color w:val="000000"/>
              </w:rPr>
              <w:t>,</w:t>
            </w:r>
            <w:r w:rsidRPr="00135D51">
              <w:rPr>
                <w:rFonts w:eastAsia="Times New Roman" w:cs="Arial"/>
                <w:b/>
                <w:color w:val="000000"/>
              </w:rPr>
              <w:t>9</w:t>
            </w:r>
          </w:p>
        </w:tc>
      </w:tr>
      <w:tr w:rsidR="00C540BC" w:rsidRPr="00135D51" w:rsidTr="009E22CC">
        <w:trPr>
          <w:trHeight w:hRule="exact" w:val="454"/>
        </w:trPr>
        <w:tc>
          <w:tcPr>
            <w:tcW w:w="7060" w:type="dxa"/>
          </w:tcPr>
          <w:p w:rsidR="00C540BC" w:rsidRPr="00C540BC" w:rsidRDefault="00C540BC" w:rsidP="00556A31">
            <w:pPr>
              <w:rPr>
                <w:b/>
              </w:rPr>
            </w:pPr>
            <w:r w:rsidRPr="00C540BC">
              <w:rPr>
                <w:b/>
              </w:rPr>
              <w:t>Organizacije</w:t>
            </w:r>
          </w:p>
        </w:tc>
        <w:tc>
          <w:tcPr>
            <w:tcW w:w="1146" w:type="dxa"/>
            <w:vAlign w:val="bottom"/>
          </w:tcPr>
          <w:p w:rsidR="00C540BC" w:rsidRPr="00135D51" w:rsidRDefault="00C540BC"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12</w:t>
            </w:r>
          </w:p>
        </w:tc>
        <w:tc>
          <w:tcPr>
            <w:tcW w:w="1083" w:type="dxa"/>
            <w:vAlign w:val="bottom"/>
          </w:tcPr>
          <w:p w:rsidR="00C540BC" w:rsidRPr="00135D51" w:rsidRDefault="00C540BC"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1</w:t>
            </w:r>
            <w:r>
              <w:rPr>
                <w:rFonts w:eastAsia="Times New Roman" w:cs="Arial"/>
                <w:b/>
                <w:color w:val="000000"/>
              </w:rPr>
              <w:t>,</w:t>
            </w:r>
            <w:r w:rsidRPr="00135D51">
              <w:rPr>
                <w:rFonts w:eastAsia="Times New Roman" w:cs="Arial"/>
                <w:b/>
                <w:color w:val="000000"/>
              </w:rPr>
              <w:t>9</w:t>
            </w:r>
          </w:p>
        </w:tc>
      </w:tr>
      <w:tr w:rsidR="00135D51" w:rsidRPr="00135D51" w:rsidTr="00C540BC">
        <w:tc>
          <w:tcPr>
            <w:tcW w:w="7060" w:type="dxa"/>
            <w:shd w:val="clear" w:color="auto" w:fill="12D9EE"/>
          </w:tcPr>
          <w:p w:rsidR="00135D51" w:rsidRPr="00135D51" w:rsidRDefault="00135D51" w:rsidP="00135D51">
            <w:pPr>
              <w:spacing w:before="0" w:after="0" w:line="276" w:lineRule="auto"/>
              <w:jc w:val="left"/>
              <w:rPr>
                <w:rFonts w:eastAsia="Times New Roman" w:cs="Arial"/>
                <w:b/>
                <w:highlight w:val="yellow"/>
              </w:rPr>
            </w:pPr>
            <w:r w:rsidRPr="00135D51">
              <w:rPr>
                <w:rFonts w:eastAsia="Times New Roman" w:cs="Arial"/>
                <w:b/>
                <w:highlight w:val="yellow"/>
              </w:rPr>
              <w:t xml:space="preserve">  </w:t>
            </w:r>
          </w:p>
          <w:p w:rsidR="00135D51" w:rsidRPr="00135D51" w:rsidRDefault="00C540BC" w:rsidP="00135D51">
            <w:pPr>
              <w:spacing w:before="0" w:after="0" w:line="276" w:lineRule="auto"/>
              <w:jc w:val="left"/>
              <w:rPr>
                <w:rFonts w:eastAsia="Times New Roman" w:cs="Arial"/>
                <w:b/>
                <w:highlight w:val="yellow"/>
              </w:rPr>
            </w:pPr>
            <w:r>
              <w:rPr>
                <w:rFonts w:eastAsia="Times New Roman" w:cs="Arial"/>
                <w:b/>
                <w:lang w:val="sr-Latn-RS"/>
              </w:rPr>
              <w:t>Ukupno</w:t>
            </w:r>
            <w:r w:rsidR="00135D51" w:rsidRPr="00135D51">
              <w:rPr>
                <w:rFonts w:eastAsia="Times New Roman" w:cs="Arial"/>
                <w:b/>
              </w:rPr>
              <w:t xml:space="preserve">                               </w:t>
            </w:r>
          </w:p>
        </w:tc>
        <w:tc>
          <w:tcPr>
            <w:tcW w:w="1146" w:type="dxa"/>
            <w:shd w:val="clear" w:color="auto" w:fill="12D9EE"/>
          </w:tcPr>
          <w:p w:rsidR="00135D51" w:rsidRPr="00135D51" w:rsidRDefault="00135D51" w:rsidP="00135D51">
            <w:pPr>
              <w:spacing w:before="0" w:after="0" w:line="276" w:lineRule="auto"/>
              <w:jc w:val="right"/>
              <w:rPr>
                <w:rFonts w:eastAsia="Times New Roman" w:cs="Arial"/>
                <w:b/>
                <w:highlight w:val="yellow"/>
              </w:rPr>
            </w:pPr>
          </w:p>
          <w:p w:rsidR="00135D51" w:rsidRPr="00135D51" w:rsidRDefault="00135D51" w:rsidP="00135D51">
            <w:pPr>
              <w:spacing w:before="0" w:after="0" w:line="276" w:lineRule="auto"/>
              <w:jc w:val="right"/>
              <w:rPr>
                <w:rFonts w:eastAsia="Times New Roman" w:cs="Arial"/>
                <w:b/>
                <w:highlight w:val="yellow"/>
              </w:rPr>
            </w:pPr>
            <w:r w:rsidRPr="00135D51">
              <w:rPr>
                <w:rFonts w:eastAsia="Times New Roman" w:cs="Arial"/>
                <w:b/>
              </w:rPr>
              <w:t>622</w:t>
            </w:r>
          </w:p>
        </w:tc>
        <w:tc>
          <w:tcPr>
            <w:tcW w:w="1083" w:type="dxa"/>
            <w:shd w:val="clear" w:color="auto" w:fill="12D9EE"/>
          </w:tcPr>
          <w:p w:rsidR="00135D51" w:rsidRPr="00135D51" w:rsidRDefault="00135D51" w:rsidP="00135D51">
            <w:pPr>
              <w:spacing w:before="0" w:after="0" w:line="276" w:lineRule="auto"/>
              <w:jc w:val="right"/>
              <w:rPr>
                <w:rFonts w:eastAsia="Times New Roman" w:cs="Arial"/>
                <w:b/>
                <w:highlight w:val="yellow"/>
              </w:rPr>
            </w:pPr>
          </w:p>
          <w:p w:rsidR="00135D51" w:rsidRPr="00135D51" w:rsidRDefault="00135D51" w:rsidP="00AC0428">
            <w:pPr>
              <w:spacing w:before="0" w:after="0" w:line="276" w:lineRule="auto"/>
              <w:jc w:val="right"/>
              <w:rPr>
                <w:rFonts w:eastAsia="Times New Roman" w:cs="Arial"/>
                <w:b/>
                <w:highlight w:val="yellow"/>
              </w:rPr>
            </w:pPr>
            <w:r w:rsidRPr="00135D51">
              <w:rPr>
                <w:rFonts w:eastAsia="Times New Roman" w:cs="Arial"/>
                <w:b/>
              </w:rPr>
              <w:t>100</w:t>
            </w:r>
            <w:r w:rsidR="00B25B2F">
              <w:rPr>
                <w:rFonts w:eastAsia="Times New Roman" w:cs="Arial"/>
                <w:b/>
              </w:rPr>
              <w:t>,</w:t>
            </w:r>
            <w:r w:rsidRPr="00135D51">
              <w:rPr>
                <w:rFonts w:eastAsia="Times New Roman" w:cs="Arial"/>
                <w:b/>
              </w:rPr>
              <w:t>0</w:t>
            </w:r>
          </w:p>
        </w:tc>
      </w:tr>
    </w:tbl>
    <w:p w:rsidR="00135D51" w:rsidRDefault="00C540BC" w:rsidP="00135D51">
      <w:pPr>
        <w:spacing w:before="0" w:after="200" w:line="276" w:lineRule="auto"/>
        <w:jc w:val="left"/>
        <w:rPr>
          <w:rFonts w:eastAsia="Times New Roman" w:cs="Arial"/>
          <w:b/>
          <w:lang w:val="sr-Latn-RS"/>
        </w:rPr>
      </w:pPr>
      <w:r w:rsidRPr="00C540BC">
        <w:rPr>
          <w:rFonts w:eastAsia="Times New Roman" w:cs="Arial"/>
          <w:b/>
        </w:rPr>
        <w:t>***U 4 pritužbe nije ustanovljeno lice koje vrši diskriminaciju.</w:t>
      </w:r>
    </w:p>
    <w:p w:rsidR="002E1F26" w:rsidRPr="002E1F26" w:rsidRDefault="002E1F26" w:rsidP="00135D51">
      <w:pPr>
        <w:spacing w:before="0" w:after="200" w:line="276" w:lineRule="auto"/>
        <w:jc w:val="left"/>
        <w:rPr>
          <w:rFonts w:eastAsia="Times New Roman" w:cs="Arial"/>
          <w:b/>
          <w:lang w:val="sr-Latn-RS"/>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229"/>
        <w:gridCol w:w="1060"/>
      </w:tblGrid>
      <w:tr w:rsidR="00C540BC" w:rsidRPr="00135D51" w:rsidTr="0089534F">
        <w:trPr>
          <w:trHeight w:val="454"/>
        </w:trPr>
        <w:tc>
          <w:tcPr>
            <w:tcW w:w="8229" w:type="dxa"/>
          </w:tcPr>
          <w:p w:rsidR="00C540BC" w:rsidRPr="00C540BC" w:rsidRDefault="00C540BC" w:rsidP="00556A31">
            <w:pPr>
              <w:rPr>
                <w:b/>
              </w:rPr>
            </w:pPr>
            <w:r w:rsidRPr="00C540BC">
              <w:rPr>
                <w:b/>
              </w:rPr>
              <w:t xml:space="preserve">Broj predmeta s jednim diskriminatorom   </w:t>
            </w:r>
          </w:p>
        </w:tc>
        <w:tc>
          <w:tcPr>
            <w:tcW w:w="1060"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590</w:t>
            </w:r>
          </w:p>
        </w:tc>
      </w:tr>
      <w:tr w:rsidR="00C540BC" w:rsidRPr="00135D51" w:rsidTr="0089534F">
        <w:trPr>
          <w:trHeight w:val="454"/>
        </w:trPr>
        <w:tc>
          <w:tcPr>
            <w:tcW w:w="8229" w:type="dxa"/>
          </w:tcPr>
          <w:p w:rsidR="00C540BC" w:rsidRPr="00C540BC" w:rsidRDefault="00C540BC" w:rsidP="00556A31">
            <w:pPr>
              <w:rPr>
                <w:b/>
              </w:rPr>
            </w:pPr>
            <w:r w:rsidRPr="00C540BC">
              <w:rPr>
                <w:b/>
              </w:rPr>
              <w:t xml:space="preserve">Broj predmeta s više diskriminatora              </w:t>
            </w:r>
          </w:p>
        </w:tc>
        <w:tc>
          <w:tcPr>
            <w:tcW w:w="1060"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32</w:t>
            </w:r>
          </w:p>
        </w:tc>
      </w:tr>
      <w:tr w:rsidR="00C540BC" w:rsidRPr="00135D51" w:rsidTr="0089534F">
        <w:trPr>
          <w:trHeight w:val="454"/>
        </w:trPr>
        <w:tc>
          <w:tcPr>
            <w:tcW w:w="8229" w:type="dxa"/>
          </w:tcPr>
          <w:p w:rsidR="00C540BC" w:rsidRPr="00C540BC" w:rsidRDefault="00C540BC" w:rsidP="00556A31">
            <w:pPr>
              <w:rPr>
                <w:b/>
              </w:rPr>
            </w:pPr>
            <w:r w:rsidRPr="00C540BC">
              <w:rPr>
                <w:b/>
              </w:rPr>
              <w:t xml:space="preserve">Ukupno                                                              </w:t>
            </w:r>
          </w:p>
        </w:tc>
        <w:tc>
          <w:tcPr>
            <w:tcW w:w="1060"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 xml:space="preserve"> 622</w:t>
            </w:r>
          </w:p>
        </w:tc>
      </w:tr>
    </w:tbl>
    <w:p w:rsidR="0089534F" w:rsidRDefault="0089534F" w:rsidP="00135D51">
      <w:pPr>
        <w:spacing w:before="0" w:after="200" w:line="276" w:lineRule="auto"/>
        <w:jc w:val="left"/>
        <w:outlineLvl w:val="0"/>
        <w:rPr>
          <w:rFonts w:eastAsia="Times New Roman" w:cs="Arial"/>
          <w:b/>
          <w:lang w:val="sr-Latn-RS"/>
        </w:rPr>
      </w:pPr>
    </w:p>
    <w:p w:rsidR="0089534F" w:rsidRDefault="0089534F" w:rsidP="00135D51">
      <w:pPr>
        <w:spacing w:before="0" w:after="200" w:line="276" w:lineRule="auto"/>
        <w:jc w:val="left"/>
        <w:outlineLvl w:val="0"/>
        <w:rPr>
          <w:rFonts w:eastAsia="Times New Roman" w:cs="Arial"/>
          <w:b/>
          <w:lang w:val="sr-Latn-RS"/>
        </w:rPr>
      </w:pPr>
    </w:p>
    <w:p w:rsidR="00135D51" w:rsidRPr="00135D51" w:rsidRDefault="00C540BC" w:rsidP="00135D51">
      <w:pPr>
        <w:spacing w:before="0" w:after="200" w:line="276" w:lineRule="auto"/>
        <w:jc w:val="left"/>
        <w:outlineLvl w:val="0"/>
        <w:rPr>
          <w:rFonts w:eastAsia="Times New Roman" w:cs="Arial"/>
          <w:b/>
        </w:rPr>
      </w:pPr>
      <w:r w:rsidRPr="00C540BC">
        <w:rPr>
          <w:rFonts w:eastAsia="Times New Roman" w:cs="Arial"/>
          <w:b/>
        </w:rPr>
        <w:t xml:space="preserve">Broj pritužbi po regionima                                                           </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058"/>
        <w:gridCol w:w="1147"/>
        <w:gridCol w:w="1084"/>
      </w:tblGrid>
      <w:tr w:rsidR="00135D51" w:rsidRPr="00135D51" w:rsidTr="00C540BC">
        <w:tc>
          <w:tcPr>
            <w:tcW w:w="7058"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C540BC" w:rsidP="00135D51">
            <w:pPr>
              <w:spacing w:before="0" w:after="0" w:line="276" w:lineRule="auto"/>
              <w:jc w:val="left"/>
              <w:rPr>
                <w:rFonts w:eastAsia="Times New Roman" w:cs="Arial"/>
                <w:b/>
              </w:rPr>
            </w:pPr>
            <w:r w:rsidRPr="00C540BC">
              <w:rPr>
                <w:rFonts w:eastAsia="Times New Roman" w:cs="Arial"/>
                <w:b/>
              </w:rPr>
              <w:t xml:space="preserve">Broj pritužbi po regionima                                                           </w:t>
            </w:r>
          </w:p>
        </w:tc>
        <w:tc>
          <w:tcPr>
            <w:tcW w:w="1147" w:type="dxa"/>
            <w:shd w:val="clear" w:color="auto" w:fill="12D9EE"/>
          </w:tcPr>
          <w:p w:rsidR="00135D51" w:rsidRPr="00135D51" w:rsidRDefault="00135D51" w:rsidP="00135D51">
            <w:pPr>
              <w:spacing w:before="0" w:after="0" w:line="276" w:lineRule="auto"/>
              <w:jc w:val="center"/>
              <w:rPr>
                <w:rFonts w:eastAsia="Times New Roman" w:cs="Arial"/>
                <w:b/>
              </w:rPr>
            </w:pPr>
          </w:p>
          <w:p w:rsidR="00135D51" w:rsidRPr="00C540BC" w:rsidRDefault="00C540BC" w:rsidP="00135D51">
            <w:pPr>
              <w:spacing w:before="0" w:after="0" w:line="276" w:lineRule="auto"/>
              <w:jc w:val="center"/>
              <w:rPr>
                <w:rFonts w:eastAsia="Times New Roman" w:cs="Arial"/>
                <w:b/>
                <w:lang w:val="sr-Latn-RS"/>
              </w:rPr>
            </w:pPr>
            <w:r>
              <w:rPr>
                <w:rFonts w:eastAsia="Times New Roman" w:cs="Arial"/>
                <w:b/>
                <w:lang w:val="sr-Latn-RS"/>
              </w:rPr>
              <w:t>broj</w:t>
            </w:r>
          </w:p>
        </w:tc>
        <w:tc>
          <w:tcPr>
            <w:tcW w:w="1084" w:type="dxa"/>
            <w:shd w:val="clear" w:color="auto" w:fill="12D9EE"/>
          </w:tcPr>
          <w:p w:rsidR="00135D51" w:rsidRPr="00135D51" w:rsidRDefault="00135D51" w:rsidP="00135D51">
            <w:pPr>
              <w:spacing w:before="0" w:after="0" w:line="276" w:lineRule="auto"/>
              <w:jc w:val="center"/>
              <w:rPr>
                <w:rFonts w:eastAsia="Times New Roman" w:cs="Arial"/>
                <w:b/>
              </w:rPr>
            </w:pPr>
          </w:p>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C540BC" w:rsidRPr="00135D51" w:rsidTr="00C540BC">
        <w:tc>
          <w:tcPr>
            <w:tcW w:w="7058" w:type="dxa"/>
            <w:vAlign w:val="bottom"/>
          </w:tcPr>
          <w:p w:rsidR="00C540BC" w:rsidRPr="00C540BC" w:rsidRDefault="00C540BC" w:rsidP="00C540BC">
            <w:pPr>
              <w:jc w:val="left"/>
              <w:rPr>
                <w:b/>
              </w:rPr>
            </w:pPr>
            <w:r w:rsidRPr="00C540BC">
              <w:rPr>
                <w:b/>
              </w:rPr>
              <w:t>Beogradski region</w:t>
            </w:r>
          </w:p>
        </w:tc>
        <w:tc>
          <w:tcPr>
            <w:tcW w:w="1147"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186</w:t>
            </w:r>
          </w:p>
        </w:tc>
        <w:tc>
          <w:tcPr>
            <w:tcW w:w="1084" w:type="dxa"/>
            <w:vAlign w:val="bottom"/>
          </w:tcPr>
          <w:p w:rsidR="00C540BC" w:rsidRPr="00135D51" w:rsidRDefault="00C540BC" w:rsidP="00AC0428">
            <w:pPr>
              <w:spacing w:before="0" w:after="0" w:line="276" w:lineRule="auto"/>
              <w:jc w:val="right"/>
              <w:rPr>
                <w:rFonts w:eastAsia="Times New Roman" w:cs="Arial"/>
                <w:b/>
                <w:color w:val="000000"/>
              </w:rPr>
            </w:pPr>
            <w:r w:rsidRPr="00135D51">
              <w:rPr>
                <w:rFonts w:eastAsia="Times New Roman" w:cs="Arial"/>
                <w:b/>
                <w:color w:val="000000"/>
              </w:rPr>
              <w:t>29</w:t>
            </w:r>
            <w:r>
              <w:rPr>
                <w:rFonts w:eastAsia="Times New Roman" w:cs="Arial"/>
                <w:b/>
                <w:color w:val="000000"/>
              </w:rPr>
              <w:t>,</w:t>
            </w:r>
            <w:r w:rsidRPr="00135D51">
              <w:rPr>
                <w:rFonts w:eastAsia="Times New Roman" w:cs="Arial"/>
                <w:b/>
                <w:color w:val="000000"/>
              </w:rPr>
              <w:t>7</w:t>
            </w:r>
          </w:p>
        </w:tc>
      </w:tr>
      <w:tr w:rsidR="00C540BC" w:rsidRPr="00135D51" w:rsidTr="00C540BC">
        <w:tc>
          <w:tcPr>
            <w:tcW w:w="7058" w:type="dxa"/>
            <w:vAlign w:val="bottom"/>
          </w:tcPr>
          <w:p w:rsidR="00C540BC" w:rsidRPr="00C540BC" w:rsidRDefault="00C540BC" w:rsidP="00C540BC">
            <w:pPr>
              <w:jc w:val="left"/>
              <w:rPr>
                <w:b/>
              </w:rPr>
            </w:pPr>
            <w:r w:rsidRPr="00C540BC">
              <w:rPr>
                <w:b/>
              </w:rPr>
              <w:t>Region Vojvodine</w:t>
            </w:r>
          </w:p>
        </w:tc>
        <w:tc>
          <w:tcPr>
            <w:tcW w:w="1147"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80</w:t>
            </w:r>
          </w:p>
        </w:tc>
        <w:tc>
          <w:tcPr>
            <w:tcW w:w="1084" w:type="dxa"/>
            <w:vAlign w:val="bottom"/>
          </w:tcPr>
          <w:p w:rsidR="00C540BC" w:rsidRPr="00135D51" w:rsidRDefault="00C540BC" w:rsidP="00AC0428">
            <w:pPr>
              <w:spacing w:before="0" w:after="0" w:line="276" w:lineRule="auto"/>
              <w:jc w:val="right"/>
              <w:rPr>
                <w:rFonts w:eastAsia="Times New Roman" w:cs="Arial"/>
                <w:b/>
                <w:color w:val="000000"/>
              </w:rPr>
            </w:pPr>
            <w:r w:rsidRPr="00135D51">
              <w:rPr>
                <w:rFonts w:eastAsia="Times New Roman" w:cs="Arial"/>
                <w:b/>
                <w:color w:val="000000"/>
              </w:rPr>
              <w:t>12</w:t>
            </w:r>
            <w:r>
              <w:rPr>
                <w:rFonts w:eastAsia="Times New Roman" w:cs="Arial"/>
                <w:b/>
                <w:color w:val="000000"/>
              </w:rPr>
              <w:t>,</w:t>
            </w:r>
            <w:r w:rsidRPr="00135D51">
              <w:rPr>
                <w:rFonts w:eastAsia="Times New Roman" w:cs="Arial"/>
                <w:b/>
                <w:color w:val="000000"/>
              </w:rPr>
              <w:t>8</w:t>
            </w:r>
          </w:p>
        </w:tc>
      </w:tr>
      <w:tr w:rsidR="00C540BC" w:rsidRPr="00135D51" w:rsidTr="00C540BC">
        <w:tc>
          <w:tcPr>
            <w:tcW w:w="7058" w:type="dxa"/>
            <w:vAlign w:val="bottom"/>
          </w:tcPr>
          <w:p w:rsidR="00C540BC" w:rsidRPr="00C540BC" w:rsidRDefault="00C540BC" w:rsidP="00C540BC">
            <w:pPr>
              <w:jc w:val="left"/>
              <w:rPr>
                <w:b/>
              </w:rPr>
            </w:pPr>
            <w:r w:rsidRPr="00C540BC">
              <w:rPr>
                <w:b/>
              </w:rPr>
              <w:t>Region Šumadije i zapadne Srbije</w:t>
            </w:r>
          </w:p>
        </w:tc>
        <w:tc>
          <w:tcPr>
            <w:tcW w:w="1147"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77</w:t>
            </w:r>
          </w:p>
        </w:tc>
        <w:tc>
          <w:tcPr>
            <w:tcW w:w="1084" w:type="dxa"/>
            <w:vAlign w:val="bottom"/>
          </w:tcPr>
          <w:p w:rsidR="00C540BC" w:rsidRPr="00135D51" w:rsidRDefault="00C540BC" w:rsidP="00AC0428">
            <w:pPr>
              <w:spacing w:before="0" w:after="0" w:line="276" w:lineRule="auto"/>
              <w:jc w:val="right"/>
              <w:rPr>
                <w:rFonts w:eastAsia="Times New Roman" w:cs="Arial"/>
                <w:b/>
                <w:color w:val="000000"/>
              </w:rPr>
            </w:pPr>
            <w:r w:rsidRPr="00135D51">
              <w:rPr>
                <w:rFonts w:eastAsia="Times New Roman" w:cs="Arial"/>
                <w:b/>
                <w:color w:val="000000"/>
              </w:rPr>
              <w:t>12</w:t>
            </w:r>
            <w:r>
              <w:rPr>
                <w:rFonts w:eastAsia="Times New Roman" w:cs="Arial"/>
                <w:b/>
                <w:color w:val="000000"/>
              </w:rPr>
              <w:t>,</w:t>
            </w:r>
            <w:r w:rsidRPr="00135D51">
              <w:rPr>
                <w:rFonts w:eastAsia="Times New Roman" w:cs="Arial"/>
                <w:b/>
                <w:color w:val="000000"/>
              </w:rPr>
              <w:t>3</w:t>
            </w:r>
          </w:p>
        </w:tc>
      </w:tr>
      <w:tr w:rsidR="00C540BC" w:rsidRPr="00135D51" w:rsidTr="00C540BC">
        <w:tc>
          <w:tcPr>
            <w:tcW w:w="7058" w:type="dxa"/>
            <w:vAlign w:val="bottom"/>
          </w:tcPr>
          <w:p w:rsidR="00C540BC" w:rsidRPr="00C540BC" w:rsidRDefault="00C540BC" w:rsidP="00C540BC">
            <w:pPr>
              <w:jc w:val="left"/>
              <w:rPr>
                <w:b/>
              </w:rPr>
            </w:pPr>
            <w:r w:rsidRPr="00C540BC">
              <w:rPr>
                <w:b/>
              </w:rPr>
              <w:t>Region južne i istočne Srbije</w:t>
            </w:r>
          </w:p>
        </w:tc>
        <w:tc>
          <w:tcPr>
            <w:tcW w:w="1147"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73</w:t>
            </w:r>
          </w:p>
        </w:tc>
        <w:tc>
          <w:tcPr>
            <w:tcW w:w="1084" w:type="dxa"/>
            <w:vAlign w:val="bottom"/>
          </w:tcPr>
          <w:p w:rsidR="00C540BC" w:rsidRPr="00135D51" w:rsidRDefault="00C540BC" w:rsidP="00AC0428">
            <w:pPr>
              <w:spacing w:before="0" w:after="0" w:line="276" w:lineRule="auto"/>
              <w:jc w:val="right"/>
              <w:rPr>
                <w:rFonts w:eastAsia="Times New Roman" w:cs="Arial"/>
                <w:b/>
                <w:color w:val="000000"/>
              </w:rPr>
            </w:pPr>
            <w:r w:rsidRPr="00135D51">
              <w:rPr>
                <w:rFonts w:eastAsia="Times New Roman" w:cs="Arial"/>
                <w:b/>
                <w:color w:val="000000"/>
              </w:rPr>
              <w:t>11</w:t>
            </w:r>
            <w:r>
              <w:rPr>
                <w:rFonts w:eastAsia="Times New Roman" w:cs="Arial"/>
                <w:b/>
                <w:color w:val="000000"/>
              </w:rPr>
              <w:t>,</w:t>
            </w:r>
            <w:r w:rsidRPr="00135D51">
              <w:rPr>
                <w:rFonts w:eastAsia="Times New Roman" w:cs="Arial"/>
                <w:b/>
                <w:color w:val="000000"/>
              </w:rPr>
              <w:t>7</w:t>
            </w:r>
          </w:p>
        </w:tc>
      </w:tr>
      <w:tr w:rsidR="00C540BC" w:rsidRPr="00135D51" w:rsidTr="00C540BC">
        <w:tc>
          <w:tcPr>
            <w:tcW w:w="7058" w:type="dxa"/>
            <w:vAlign w:val="bottom"/>
          </w:tcPr>
          <w:p w:rsidR="00C540BC" w:rsidRPr="00C540BC" w:rsidRDefault="00C540BC" w:rsidP="00C540BC">
            <w:pPr>
              <w:jc w:val="left"/>
              <w:rPr>
                <w:b/>
              </w:rPr>
            </w:pPr>
            <w:r w:rsidRPr="00C540BC">
              <w:rPr>
                <w:b/>
              </w:rPr>
              <w:t>Region Kosova i Metohije</w:t>
            </w:r>
          </w:p>
        </w:tc>
        <w:tc>
          <w:tcPr>
            <w:tcW w:w="1147"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19</w:t>
            </w:r>
          </w:p>
        </w:tc>
        <w:tc>
          <w:tcPr>
            <w:tcW w:w="1084" w:type="dxa"/>
            <w:vAlign w:val="bottom"/>
          </w:tcPr>
          <w:p w:rsidR="00C540BC" w:rsidRPr="00135D51" w:rsidRDefault="00C540BC" w:rsidP="00AC0428">
            <w:pPr>
              <w:spacing w:before="0" w:after="0" w:line="276" w:lineRule="auto"/>
              <w:jc w:val="right"/>
              <w:rPr>
                <w:rFonts w:eastAsia="Times New Roman" w:cs="Arial"/>
                <w:b/>
                <w:color w:val="000000"/>
              </w:rPr>
            </w:pPr>
            <w:r w:rsidRPr="00135D51">
              <w:rPr>
                <w:rFonts w:eastAsia="Times New Roman" w:cs="Arial"/>
                <w:b/>
                <w:color w:val="000000"/>
              </w:rPr>
              <w:t>3</w:t>
            </w:r>
            <w:r>
              <w:rPr>
                <w:rFonts w:eastAsia="Times New Roman" w:cs="Arial"/>
                <w:b/>
                <w:color w:val="000000"/>
              </w:rPr>
              <w:t>,</w:t>
            </w:r>
            <w:r w:rsidRPr="00135D51">
              <w:rPr>
                <w:rFonts w:eastAsia="Times New Roman" w:cs="Arial"/>
                <w:b/>
                <w:color w:val="000000"/>
              </w:rPr>
              <w:t>0</w:t>
            </w:r>
          </w:p>
        </w:tc>
      </w:tr>
      <w:tr w:rsidR="00C540BC" w:rsidRPr="00135D51" w:rsidTr="00C540BC">
        <w:tc>
          <w:tcPr>
            <w:tcW w:w="7058" w:type="dxa"/>
            <w:vAlign w:val="bottom"/>
          </w:tcPr>
          <w:p w:rsidR="00C540BC" w:rsidRPr="00C540BC" w:rsidRDefault="00C540BC" w:rsidP="00C540BC">
            <w:pPr>
              <w:jc w:val="left"/>
              <w:rPr>
                <w:b/>
              </w:rPr>
            </w:pPr>
            <w:r w:rsidRPr="00C540BC">
              <w:rPr>
                <w:b/>
              </w:rPr>
              <w:t>Nepoznati region*</w:t>
            </w:r>
          </w:p>
        </w:tc>
        <w:tc>
          <w:tcPr>
            <w:tcW w:w="1147" w:type="dxa"/>
          </w:tcPr>
          <w:p w:rsidR="00C540BC" w:rsidRPr="00135D51" w:rsidRDefault="00C540BC" w:rsidP="00135D51">
            <w:pPr>
              <w:spacing w:before="0" w:after="0" w:line="276" w:lineRule="auto"/>
              <w:jc w:val="right"/>
              <w:rPr>
                <w:rFonts w:eastAsia="Times New Roman" w:cs="Arial"/>
                <w:b/>
              </w:rPr>
            </w:pPr>
          </w:p>
          <w:p w:rsidR="00C540BC" w:rsidRPr="00135D51" w:rsidRDefault="00C540BC" w:rsidP="00135D51">
            <w:pPr>
              <w:spacing w:before="0" w:after="0" w:line="276" w:lineRule="auto"/>
              <w:jc w:val="right"/>
              <w:rPr>
                <w:rFonts w:eastAsia="Times New Roman" w:cs="Arial"/>
                <w:b/>
              </w:rPr>
            </w:pPr>
            <w:r w:rsidRPr="00135D51">
              <w:rPr>
                <w:rFonts w:eastAsia="Times New Roman" w:cs="Arial"/>
                <w:b/>
              </w:rPr>
              <w:t>191</w:t>
            </w:r>
          </w:p>
        </w:tc>
        <w:tc>
          <w:tcPr>
            <w:tcW w:w="1084" w:type="dxa"/>
            <w:vAlign w:val="bottom"/>
          </w:tcPr>
          <w:p w:rsidR="00C540BC" w:rsidRPr="00135D51" w:rsidRDefault="00C540BC" w:rsidP="00AC0428">
            <w:pPr>
              <w:spacing w:before="0" w:after="0" w:line="276" w:lineRule="auto"/>
              <w:jc w:val="right"/>
              <w:rPr>
                <w:rFonts w:eastAsia="Times New Roman" w:cs="Arial"/>
                <w:b/>
                <w:color w:val="000000"/>
              </w:rPr>
            </w:pPr>
            <w:r w:rsidRPr="00135D51">
              <w:rPr>
                <w:rFonts w:eastAsia="Times New Roman" w:cs="Arial"/>
                <w:b/>
                <w:color w:val="000000"/>
              </w:rPr>
              <w:t>30</w:t>
            </w:r>
            <w:r>
              <w:rPr>
                <w:rFonts w:eastAsia="Times New Roman" w:cs="Arial"/>
                <w:b/>
                <w:color w:val="000000"/>
              </w:rPr>
              <w:t>,</w:t>
            </w:r>
            <w:r w:rsidRPr="00135D51">
              <w:rPr>
                <w:rFonts w:eastAsia="Times New Roman" w:cs="Arial"/>
                <w:b/>
                <w:color w:val="000000"/>
              </w:rPr>
              <w:t>5</w:t>
            </w:r>
          </w:p>
        </w:tc>
      </w:tr>
      <w:tr w:rsidR="00135D51" w:rsidRPr="00135D51" w:rsidTr="00C540BC">
        <w:tc>
          <w:tcPr>
            <w:tcW w:w="7058"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C540BC" w:rsidP="00135D51">
            <w:pPr>
              <w:spacing w:before="0" w:after="0" w:line="276" w:lineRule="auto"/>
              <w:jc w:val="left"/>
              <w:rPr>
                <w:rFonts w:eastAsia="Times New Roman" w:cs="Arial"/>
                <w:b/>
              </w:rPr>
            </w:pPr>
            <w:r w:rsidRPr="00C540BC">
              <w:rPr>
                <w:rFonts w:eastAsia="Times New Roman" w:cs="Arial"/>
                <w:b/>
              </w:rPr>
              <w:t>Ukupan broj pritužbi</w:t>
            </w:r>
          </w:p>
        </w:tc>
        <w:tc>
          <w:tcPr>
            <w:tcW w:w="1147" w:type="dxa"/>
            <w:shd w:val="clear" w:color="auto" w:fill="12D9EE"/>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626</w:t>
            </w:r>
          </w:p>
        </w:tc>
        <w:tc>
          <w:tcPr>
            <w:tcW w:w="1084" w:type="dxa"/>
            <w:shd w:val="clear" w:color="auto" w:fill="12D9EE"/>
            <w:vAlign w:val="bottom"/>
          </w:tcPr>
          <w:p w:rsidR="00135D51" w:rsidRPr="00135D51" w:rsidRDefault="00135D51" w:rsidP="00AC0428">
            <w:pPr>
              <w:spacing w:before="0" w:after="0" w:line="276" w:lineRule="auto"/>
              <w:jc w:val="right"/>
              <w:rPr>
                <w:rFonts w:eastAsia="Times New Roman" w:cs="Arial"/>
                <w:b/>
                <w:color w:val="000000"/>
              </w:rPr>
            </w:pPr>
            <w:r w:rsidRPr="00135D51">
              <w:rPr>
                <w:rFonts w:eastAsia="Times New Roman" w:cs="Arial"/>
                <w:b/>
                <w:color w:val="000000"/>
              </w:rPr>
              <w:t>100</w:t>
            </w:r>
            <w:r w:rsidR="00B25B2F">
              <w:rPr>
                <w:rFonts w:eastAsia="Times New Roman" w:cs="Arial"/>
                <w:b/>
                <w:color w:val="000000"/>
              </w:rPr>
              <w:t>,</w:t>
            </w:r>
            <w:r w:rsidRPr="00135D51">
              <w:rPr>
                <w:rFonts w:eastAsia="Times New Roman" w:cs="Arial"/>
                <w:b/>
                <w:color w:val="000000"/>
              </w:rPr>
              <w:t>0</w:t>
            </w:r>
          </w:p>
        </w:tc>
      </w:tr>
    </w:tbl>
    <w:p w:rsidR="00135D51" w:rsidRPr="00135D51" w:rsidRDefault="00C540BC" w:rsidP="00135D51">
      <w:pPr>
        <w:spacing w:before="0" w:after="200" w:line="276" w:lineRule="auto"/>
        <w:jc w:val="left"/>
        <w:rPr>
          <w:rFonts w:eastAsia="Times New Roman" w:cs="Arial"/>
          <w:b/>
        </w:rPr>
      </w:pPr>
      <w:r w:rsidRPr="00C540BC">
        <w:rPr>
          <w:rFonts w:eastAsia="Times New Roman" w:cs="Arial"/>
          <w:b/>
        </w:rPr>
        <w:t xml:space="preserve">*Region je nepoznat kada je pritužba poslata elektronskom poštom, a podnosilac ne naznači opštinu prebivališta   </w:t>
      </w:r>
      <w:r w:rsidR="00135D51" w:rsidRPr="00135D51">
        <w:rPr>
          <w:rFonts w:eastAsia="Times New Roman" w:cs="Arial"/>
          <w:b/>
        </w:rPr>
        <w:t>.</w:t>
      </w:r>
    </w:p>
    <w:p w:rsidR="00135D51" w:rsidRPr="00135D51" w:rsidRDefault="00C540BC" w:rsidP="00135D51">
      <w:pPr>
        <w:spacing w:before="0" w:after="200" w:line="276" w:lineRule="auto"/>
        <w:ind w:right="142"/>
        <w:jc w:val="left"/>
        <w:outlineLvl w:val="0"/>
        <w:rPr>
          <w:rFonts w:eastAsia="Times New Roman" w:cs="Arial"/>
          <w:b/>
        </w:rPr>
      </w:pPr>
      <w:r w:rsidRPr="00C540BC">
        <w:rPr>
          <w:rFonts w:eastAsia="Times New Roman" w:cs="Arial"/>
          <w:b/>
        </w:rPr>
        <w:t xml:space="preserve">Ishodi postupaka                 </w:t>
      </w:r>
    </w:p>
    <w:tbl>
      <w:tblPr>
        <w:tblW w:w="932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88"/>
        <w:gridCol w:w="20"/>
        <w:gridCol w:w="1114"/>
      </w:tblGrid>
      <w:tr w:rsidR="00E84E97" w:rsidRPr="00135D51" w:rsidTr="00E84E97">
        <w:tc>
          <w:tcPr>
            <w:tcW w:w="8208" w:type="dxa"/>
            <w:gridSpan w:val="2"/>
            <w:shd w:val="clear" w:color="auto" w:fill="12D9EE"/>
          </w:tcPr>
          <w:p w:rsidR="00E84E97" w:rsidRPr="00E84E97" w:rsidRDefault="00E84E97" w:rsidP="00556A31">
            <w:pPr>
              <w:rPr>
                <w:b/>
              </w:rPr>
            </w:pPr>
            <w:r w:rsidRPr="00E84E97">
              <w:rPr>
                <w:b/>
              </w:rPr>
              <w:t>Ishodi postupaka po pritužbama</w:t>
            </w:r>
          </w:p>
        </w:tc>
        <w:tc>
          <w:tcPr>
            <w:tcW w:w="1114" w:type="dxa"/>
            <w:shd w:val="clear" w:color="auto" w:fill="12D9EE"/>
          </w:tcPr>
          <w:p w:rsidR="00E84E97" w:rsidRPr="00135D51" w:rsidRDefault="00E84E97" w:rsidP="00135D51">
            <w:pPr>
              <w:spacing w:before="0" w:after="0" w:line="276" w:lineRule="auto"/>
              <w:ind w:right="142"/>
              <w:jc w:val="left"/>
              <w:rPr>
                <w:rFonts w:eastAsia="Times New Roman" w:cs="Arial"/>
                <w:b/>
              </w:rPr>
            </w:pPr>
          </w:p>
          <w:p w:rsidR="00E84E97" w:rsidRPr="00135D51" w:rsidRDefault="00E84E97" w:rsidP="00135D51">
            <w:pPr>
              <w:spacing w:before="0" w:after="0" w:line="276" w:lineRule="auto"/>
              <w:ind w:right="142"/>
              <w:jc w:val="center"/>
              <w:rPr>
                <w:rFonts w:eastAsia="Times New Roman" w:cs="Arial"/>
                <w:b/>
              </w:rPr>
            </w:pPr>
            <w:r w:rsidRPr="00135D51">
              <w:rPr>
                <w:rFonts w:eastAsia="Times New Roman" w:cs="Arial"/>
                <w:b/>
              </w:rPr>
              <w:t>2016.</w:t>
            </w:r>
          </w:p>
        </w:tc>
      </w:tr>
      <w:tr w:rsidR="00E84E97" w:rsidRPr="00135D51" w:rsidTr="00E84E97">
        <w:tc>
          <w:tcPr>
            <w:tcW w:w="8208" w:type="dxa"/>
            <w:gridSpan w:val="2"/>
          </w:tcPr>
          <w:p w:rsidR="00E84E97" w:rsidRPr="00E84E97" w:rsidRDefault="00E84E97" w:rsidP="00556A31">
            <w:pPr>
              <w:rPr>
                <w:b/>
              </w:rPr>
            </w:pPr>
            <w:r w:rsidRPr="00E84E97">
              <w:rPr>
                <w:b/>
              </w:rPr>
              <w:t>Podnet predlog Ustavnom sudu</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1</w:t>
            </w:r>
          </w:p>
        </w:tc>
      </w:tr>
      <w:tr w:rsidR="00E84E97" w:rsidRPr="00135D51" w:rsidTr="00E84E97">
        <w:tc>
          <w:tcPr>
            <w:tcW w:w="8208" w:type="dxa"/>
            <w:gridSpan w:val="2"/>
          </w:tcPr>
          <w:p w:rsidR="00E84E97" w:rsidRPr="00E84E97" w:rsidRDefault="00E84E97" w:rsidP="00556A31">
            <w:pPr>
              <w:rPr>
                <w:b/>
              </w:rPr>
            </w:pPr>
            <w:r w:rsidRPr="00E84E97">
              <w:rPr>
                <w:b/>
              </w:rPr>
              <w:t>Pokrenut prekršajni postupak</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1</w:t>
            </w:r>
          </w:p>
        </w:tc>
      </w:tr>
      <w:tr w:rsidR="00E84E97" w:rsidRPr="00135D51" w:rsidTr="00E84E97">
        <w:tc>
          <w:tcPr>
            <w:tcW w:w="8208" w:type="dxa"/>
            <w:gridSpan w:val="2"/>
          </w:tcPr>
          <w:p w:rsidR="00E84E97" w:rsidRPr="00E84E97" w:rsidRDefault="00E84E97" w:rsidP="00556A31">
            <w:pPr>
              <w:rPr>
                <w:b/>
              </w:rPr>
            </w:pPr>
            <w:r w:rsidRPr="00E84E97">
              <w:rPr>
                <w:b/>
              </w:rPr>
              <w:t xml:space="preserve">Podneta krivična prijava </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3</w:t>
            </w:r>
          </w:p>
        </w:tc>
      </w:tr>
      <w:tr w:rsidR="00E84E97" w:rsidRPr="00135D51" w:rsidTr="00E84E97">
        <w:tc>
          <w:tcPr>
            <w:tcW w:w="8208" w:type="dxa"/>
            <w:gridSpan w:val="2"/>
          </w:tcPr>
          <w:p w:rsidR="00E84E97" w:rsidRPr="00E84E97" w:rsidRDefault="00E84E97" w:rsidP="00556A31">
            <w:pPr>
              <w:rPr>
                <w:b/>
              </w:rPr>
            </w:pPr>
            <w:r w:rsidRPr="00E84E97">
              <w:rPr>
                <w:b/>
              </w:rPr>
              <w:t>Nenadležnost</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68</w:t>
            </w:r>
          </w:p>
        </w:tc>
      </w:tr>
      <w:tr w:rsidR="00E84E97" w:rsidRPr="00135D51" w:rsidTr="00E84E97">
        <w:tc>
          <w:tcPr>
            <w:tcW w:w="8208" w:type="dxa"/>
            <w:gridSpan w:val="2"/>
          </w:tcPr>
          <w:p w:rsidR="00E84E97" w:rsidRPr="00E84E97" w:rsidRDefault="00E84E97" w:rsidP="00556A31">
            <w:pPr>
              <w:rPr>
                <w:b/>
              </w:rPr>
            </w:pPr>
            <w:r w:rsidRPr="00E84E97">
              <w:rPr>
                <w:b/>
              </w:rPr>
              <w:t>Nepotpunost (nedostaci)</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128</w:t>
            </w:r>
          </w:p>
        </w:tc>
      </w:tr>
      <w:tr w:rsidR="00E84E97" w:rsidRPr="00135D51" w:rsidTr="00E84E97">
        <w:tc>
          <w:tcPr>
            <w:tcW w:w="8208" w:type="dxa"/>
            <w:gridSpan w:val="2"/>
          </w:tcPr>
          <w:p w:rsidR="00E84E97" w:rsidRPr="00E84E97" w:rsidRDefault="00E84E97" w:rsidP="00556A31">
            <w:pPr>
              <w:rPr>
                <w:b/>
              </w:rPr>
            </w:pPr>
            <w:r w:rsidRPr="00E84E97">
              <w:rPr>
                <w:b/>
              </w:rPr>
              <w:lastRenderedPageBreak/>
              <w:t>Nema povrede prava</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276</w:t>
            </w:r>
          </w:p>
        </w:tc>
      </w:tr>
      <w:tr w:rsidR="00E84E97" w:rsidRPr="00135D51" w:rsidTr="00E84E97">
        <w:tc>
          <w:tcPr>
            <w:tcW w:w="8208" w:type="dxa"/>
            <w:gridSpan w:val="2"/>
          </w:tcPr>
          <w:p w:rsidR="00E84E97" w:rsidRPr="00E84E97" w:rsidRDefault="00E84E97" w:rsidP="00556A31">
            <w:pPr>
              <w:rPr>
                <w:b/>
              </w:rPr>
            </w:pPr>
            <w:r w:rsidRPr="00E84E97">
              <w:rPr>
                <w:b/>
              </w:rPr>
              <w:t>Vodi se ili je okončan sudski postupak</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18</w:t>
            </w:r>
          </w:p>
        </w:tc>
      </w:tr>
      <w:tr w:rsidR="00E84E97" w:rsidRPr="00135D51" w:rsidTr="00E84E97">
        <w:tc>
          <w:tcPr>
            <w:tcW w:w="8208" w:type="dxa"/>
            <w:gridSpan w:val="2"/>
          </w:tcPr>
          <w:p w:rsidR="00E84E97" w:rsidRPr="00E84E97" w:rsidRDefault="00E84E97" w:rsidP="00556A31">
            <w:pPr>
              <w:rPr>
                <w:b/>
              </w:rPr>
            </w:pPr>
            <w:r w:rsidRPr="00E84E97">
              <w:rPr>
                <w:b/>
              </w:rPr>
              <w:t>Već je postupano, ali nisu ponuđeni novi dokazi</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7</w:t>
            </w:r>
          </w:p>
        </w:tc>
      </w:tr>
      <w:tr w:rsidR="00E84E97" w:rsidRPr="00135D51" w:rsidTr="00E84E97">
        <w:tc>
          <w:tcPr>
            <w:tcW w:w="8208" w:type="dxa"/>
            <w:gridSpan w:val="2"/>
          </w:tcPr>
          <w:p w:rsidR="00E84E97" w:rsidRPr="00E84E97" w:rsidRDefault="00E84E97" w:rsidP="00556A31">
            <w:pPr>
              <w:rPr>
                <w:b/>
              </w:rPr>
            </w:pPr>
            <w:r w:rsidRPr="00E84E97">
              <w:rPr>
                <w:b/>
              </w:rPr>
              <w:t>Zbog proteka vremena nije bilo moguće postići svrhu postupanja</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4</w:t>
            </w:r>
          </w:p>
        </w:tc>
      </w:tr>
      <w:tr w:rsidR="00E84E97" w:rsidRPr="00135D51" w:rsidTr="00E84E97">
        <w:tc>
          <w:tcPr>
            <w:tcW w:w="8208" w:type="dxa"/>
            <w:gridSpan w:val="2"/>
          </w:tcPr>
          <w:p w:rsidR="00E84E97" w:rsidRPr="00E84E97" w:rsidRDefault="00E84E97" w:rsidP="00556A31">
            <w:pPr>
              <w:rPr>
                <w:b/>
              </w:rPr>
            </w:pPr>
            <w:r w:rsidRPr="00E84E97">
              <w:rPr>
                <w:b/>
              </w:rPr>
              <w:t>Povučena pritužba</w:t>
            </w:r>
          </w:p>
        </w:tc>
        <w:tc>
          <w:tcPr>
            <w:tcW w:w="1114" w:type="dxa"/>
          </w:tcPr>
          <w:p w:rsidR="00E84E97" w:rsidRPr="00135D51" w:rsidRDefault="00E84E97" w:rsidP="00135D51">
            <w:pPr>
              <w:spacing w:before="0" w:after="0" w:line="276" w:lineRule="auto"/>
              <w:ind w:right="142"/>
              <w:jc w:val="right"/>
              <w:rPr>
                <w:rFonts w:eastAsia="Times New Roman" w:cs="Arial"/>
                <w:b/>
              </w:rPr>
            </w:pPr>
          </w:p>
          <w:p w:rsidR="00E84E97" w:rsidRPr="00135D51" w:rsidRDefault="00E84E97" w:rsidP="00135D51">
            <w:pPr>
              <w:spacing w:before="0" w:after="0" w:line="276" w:lineRule="auto"/>
              <w:ind w:right="142"/>
              <w:jc w:val="right"/>
              <w:rPr>
                <w:rFonts w:eastAsia="Times New Roman" w:cs="Arial"/>
                <w:b/>
              </w:rPr>
            </w:pPr>
            <w:r w:rsidRPr="00135D51">
              <w:rPr>
                <w:rFonts w:eastAsia="Times New Roman" w:cs="Arial"/>
                <w:b/>
              </w:rPr>
              <w:t>13</w:t>
            </w:r>
          </w:p>
        </w:tc>
      </w:tr>
      <w:tr w:rsidR="00E84E97" w:rsidRPr="00135D51" w:rsidTr="00E84E97">
        <w:trPr>
          <w:trHeight w:val="529"/>
        </w:trPr>
        <w:tc>
          <w:tcPr>
            <w:tcW w:w="8188" w:type="dxa"/>
            <w:shd w:val="clear" w:color="auto" w:fill="auto"/>
          </w:tcPr>
          <w:p w:rsidR="00E84E97" w:rsidRPr="00E84E97" w:rsidRDefault="00E84E97" w:rsidP="00556A31">
            <w:pPr>
              <w:rPr>
                <w:b/>
              </w:rPr>
            </w:pPr>
            <w:r w:rsidRPr="00E84E97">
              <w:rPr>
                <w:b/>
              </w:rPr>
              <w:t>Pritužbe u kojima je doneto mišljenje</w:t>
            </w:r>
          </w:p>
        </w:tc>
        <w:tc>
          <w:tcPr>
            <w:tcW w:w="1134" w:type="dxa"/>
            <w:gridSpan w:val="2"/>
            <w:shd w:val="clear" w:color="auto" w:fill="auto"/>
            <w:vAlign w:val="bottom"/>
          </w:tcPr>
          <w:p w:rsidR="00E84E97" w:rsidRPr="00E84E97" w:rsidRDefault="00E84E97" w:rsidP="00135D51">
            <w:pPr>
              <w:spacing w:before="0" w:after="0" w:line="276" w:lineRule="auto"/>
              <w:ind w:right="142"/>
              <w:jc w:val="right"/>
              <w:rPr>
                <w:rFonts w:eastAsia="Times New Roman" w:cs="Arial"/>
                <w:b/>
                <w:color w:val="000000"/>
              </w:rPr>
            </w:pPr>
            <w:r w:rsidRPr="00E84E97">
              <w:rPr>
                <w:rFonts w:eastAsia="Times New Roman" w:cs="Arial"/>
                <w:b/>
                <w:color w:val="000000"/>
              </w:rPr>
              <w:t>51</w:t>
            </w:r>
          </w:p>
        </w:tc>
      </w:tr>
      <w:tr w:rsidR="00E84E97" w:rsidRPr="00135D51" w:rsidTr="00E84E97">
        <w:trPr>
          <w:trHeight w:val="256"/>
        </w:trPr>
        <w:tc>
          <w:tcPr>
            <w:tcW w:w="8188" w:type="dxa"/>
            <w:shd w:val="clear" w:color="auto" w:fill="auto"/>
          </w:tcPr>
          <w:p w:rsidR="00E84E97" w:rsidRPr="00E84E97" w:rsidRDefault="00E84E97" w:rsidP="00556A31">
            <w:pPr>
              <w:rPr>
                <w:b/>
              </w:rPr>
            </w:pPr>
            <w:r w:rsidRPr="00E84E97">
              <w:rPr>
                <w:b/>
                <w:lang w:val="sr-Latn-RS"/>
              </w:rPr>
              <w:t xml:space="preserve"> </w:t>
            </w:r>
            <w:r w:rsidRPr="00E84E97">
              <w:rPr>
                <w:b/>
              </w:rPr>
              <w:t xml:space="preserve"> </w:t>
            </w:r>
            <w:r w:rsidRPr="00E84E97">
              <w:rPr>
                <w:b/>
                <w:lang w:val="sr-Latn-RS"/>
              </w:rPr>
              <w:t xml:space="preserve">              </w:t>
            </w:r>
            <w:r w:rsidRPr="00E84E97">
              <w:rPr>
                <w:b/>
              </w:rPr>
              <w:t>mišljenje s preporukom</w:t>
            </w:r>
          </w:p>
        </w:tc>
        <w:tc>
          <w:tcPr>
            <w:tcW w:w="1134" w:type="dxa"/>
            <w:gridSpan w:val="2"/>
            <w:shd w:val="clear" w:color="auto" w:fill="auto"/>
            <w:vAlign w:val="bottom"/>
          </w:tcPr>
          <w:p w:rsidR="00E84E97" w:rsidRPr="00135D51" w:rsidRDefault="00E84E97" w:rsidP="00135D51">
            <w:pPr>
              <w:spacing w:before="0" w:after="0" w:line="276" w:lineRule="auto"/>
              <w:ind w:right="142"/>
              <w:jc w:val="right"/>
              <w:rPr>
                <w:rFonts w:eastAsia="Times New Roman" w:cs="Arial"/>
                <w:b/>
                <w:color w:val="000000"/>
              </w:rPr>
            </w:pPr>
            <w:r w:rsidRPr="00135D51">
              <w:rPr>
                <w:rFonts w:eastAsia="Times New Roman" w:cs="Arial"/>
                <w:b/>
                <w:color w:val="000000"/>
              </w:rPr>
              <w:t>46</w:t>
            </w:r>
          </w:p>
        </w:tc>
      </w:tr>
      <w:tr w:rsidR="00E84E97" w:rsidRPr="00135D51" w:rsidTr="00E84E97">
        <w:trPr>
          <w:trHeight w:val="273"/>
        </w:trPr>
        <w:tc>
          <w:tcPr>
            <w:tcW w:w="8188" w:type="dxa"/>
            <w:shd w:val="clear" w:color="auto" w:fill="auto"/>
          </w:tcPr>
          <w:p w:rsidR="00E84E97" w:rsidRPr="00E84E97" w:rsidRDefault="00E84E97" w:rsidP="00556A31">
            <w:pPr>
              <w:rPr>
                <w:b/>
              </w:rPr>
            </w:pPr>
            <w:r w:rsidRPr="00E84E97">
              <w:rPr>
                <w:b/>
              </w:rPr>
              <w:t xml:space="preserve">                mišljenje bez preporuke</w:t>
            </w:r>
          </w:p>
        </w:tc>
        <w:tc>
          <w:tcPr>
            <w:tcW w:w="1134" w:type="dxa"/>
            <w:gridSpan w:val="2"/>
            <w:shd w:val="clear" w:color="auto" w:fill="auto"/>
            <w:vAlign w:val="bottom"/>
          </w:tcPr>
          <w:p w:rsidR="00E84E97" w:rsidRPr="00135D51" w:rsidRDefault="00E84E97" w:rsidP="00135D51">
            <w:pPr>
              <w:spacing w:before="0" w:after="0" w:line="276" w:lineRule="auto"/>
              <w:ind w:right="142"/>
              <w:jc w:val="right"/>
              <w:rPr>
                <w:rFonts w:eastAsia="Times New Roman" w:cs="Arial"/>
                <w:b/>
                <w:color w:val="000000"/>
              </w:rPr>
            </w:pPr>
            <w:r w:rsidRPr="00135D51">
              <w:rPr>
                <w:rFonts w:eastAsia="Times New Roman" w:cs="Arial"/>
                <w:b/>
                <w:color w:val="000000"/>
              </w:rPr>
              <w:t>5</w:t>
            </w:r>
          </w:p>
        </w:tc>
      </w:tr>
    </w:tbl>
    <w:p w:rsidR="00135D51" w:rsidRPr="00FC13A6" w:rsidRDefault="00135D51" w:rsidP="00135D51">
      <w:pPr>
        <w:spacing w:before="0" w:after="200" w:line="276" w:lineRule="auto"/>
        <w:ind w:right="142"/>
        <w:jc w:val="left"/>
        <w:rPr>
          <w:rFonts w:eastAsia="Times New Roman" w:cs="Arial"/>
          <w:b/>
          <w:sz w:val="2"/>
        </w:rPr>
      </w:pPr>
    </w:p>
    <w:p w:rsidR="00135D51" w:rsidRPr="00135D51" w:rsidRDefault="00E84E97" w:rsidP="00135D51">
      <w:pPr>
        <w:spacing w:before="0" w:after="200" w:line="276" w:lineRule="auto"/>
        <w:jc w:val="left"/>
        <w:outlineLvl w:val="0"/>
        <w:rPr>
          <w:rFonts w:eastAsia="Times New Roman" w:cs="Arial"/>
          <w:b/>
        </w:rPr>
      </w:pPr>
      <w:bookmarkStart w:id="231" w:name="_Toc476904426"/>
      <w:bookmarkStart w:id="232" w:name="_Toc476908778"/>
      <w:bookmarkStart w:id="233" w:name="_Toc477248268"/>
      <w:bookmarkStart w:id="234" w:name="_Toc477248704"/>
      <w:bookmarkStart w:id="235" w:name="_Toc477250835"/>
      <w:bookmarkStart w:id="236" w:name="_Toc477251829"/>
      <w:r w:rsidRPr="00E84E97">
        <w:rPr>
          <w:rFonts w:eastAsia="Times New Roman" w:cs="Arial"/>
          <w:b/>
        </w:rPr>
        <w:t>Napomena: Deo pritužbi iz</w:t>
      </w:r>
      <w:r>
        <w:rPr>
          <w:rFonts w:eastAsia="Times New Roman" w:cs="Arial"/>
          <w:b/>
        </w:rPr>
        <w:t xml:space="preserve"> 2015. godine rešen je u 2016. </w:t>
      </w:r>
      <w:r>
        <w:rPr>
          <w:rFonts w:eastAsia="Times New Roman" w:cs="Arial"/>
          <w:b/>
          <w:lang w:val="sr-Latn-RS"/>
        </w:rPr>
        <w:t>g</w:t>
      </w:r>
      <w:r w:rsidRPr="00E84E97">
        <w:rPr>
          <w:rFonts w:eastAsia="Times New Roman" w:cs="Arial"/>
          <w:b/>
        </w:rPr>
        <w:t>odini.</w:t>
      </w:r>
      <w:bookmarkEnd w:id="231"/>
      <w:bookmarkEnd w:id="232"/>
      <w:bookmarkEnd w:id="233"/>
      <w:bookmarkEnd w:id="234"/>
      <w:bookmarkEnd w:id="235"/>
      <w:bookmarkEnd w:id="236"/>
    </w:p>
    <w:p w:rsidR="0089534F" w:rsidRDefault="0089534F" w:rsidP="00135D51">
      <w:pPr>
        <w:spacing w:before="0" w:after="200" w:line="276" w:lineRule="auto"/>
        <w:jc w:val="left"/>
        <w:rPr>
          <w:rFonts w:eastAsia="Times New Roman" w:cs="Arial"/>
          <w:b/>
          <w:sz w:val="36"/>
          <w:lang w:val="sr-Latn-RS"/>
        </w:rPr>
      </w:pPr>
    </w:p>
    <w:p w:rsidR="0089534F" w:rsidRPr="0089534F" w:rsidRDefault="0089534F" w:rsidP="00135D51">
      <w:pPr>
        <w:spacing w:before="0" w:after="200" w:line="276" w:lineRule="auto"/>
        <w:jc w:val="left"/>
        <w:rPr>
          <w:rFonts w:eastAsia="Times New Roman" w:cs="Arial"/>
          <w:b/>
          <w:sz w:val="36"/>
          <w:lang w:val="sr-Latn-RS"/>
        </w:rPr>
      </w:pPr>
    </w:p>
    <w:p w:rsidR="00135D51" w:rsidRPr="00135D51" w:rsidRDefault="00E84E97" w:rsidP="00135D51">
      <w:pPr>
        <w:spacing w:before="0" w:after="200" w:line="276" w:lineRule="auto"/>
        <w:jc w:val="left"/>
        <w:outlineLvl w:val="0"/>
        <w:rPr>
          <w:rFonts w:eastAsia="Times New Roman" w:cs="Arial"/>
          <w:b/>
        </w:rPr>
      </w:pPr>
      <w:r w:rsidRPr="00E84E97">
        <w:rPr>
          <w:rFonts w:eastAsia="Times New Roman" w:cs="Arial"/>
          <w:b/>
        </w:rPr>
        <w:t>Postupanje po preporukama</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057"/>
        <w:gridCol w:w="1149"/>
        <w:gridCol w:w="1083"/>
      </w:tblGrid>
      <w:tr w:rsidR="00135D51" w:rsidRPr="00135D51" w:rsidTr="00E84E97">
        <w:tc>
          <w:tcPr>
            <w:tcW w:w="7057"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E84E97" w:rsidP="00135D51">
            <w:pPr>
              <w:spacing w:before="0" w:after="0" w:line="276" w:lineRule="auto"/>
              <w:jc w:val="left"/>
              <w:rPr>
                <w:rFonts w:eastAsia="Times New Roman" w:cs="Arial"/>
                <w:b/>
              </w:rPr>
            </w:pPr>
            <w:r w:rsidRPr="00E84E97">
              <w:rPr>
                <w:rFonts w:eastAsia="Times New Roman" w:cs="Arial"/>
                <w:b/>
              </w:rPr>
              <w:t>Postupanje po preporukama</w:t>
            </w:r>
          </w:p>
        </w:tc>
        <w:tc>
          <w:tcPr>
            <w:tcW w:w="1149" w:type="dxa"/>
            <w:shd w:val="clear" w:color="auto" w:fill="12D9EE"/>
          </w:tcPr>
          <w:p w:rsidR="00135D51" w:rsidRPr="00135D51" w:rsidRDefault="00135D51" w:rsidP="00135D51">
            <w:pPr>
              <w:spacing w:before="0" w:after="0" w:line="276" w:lineRule="auto"/>
              <w:jc w:val="center"/>
              <w:rPr>
                <w:rFonts w:eastAsia="Times New Roman" w:cs="Arial"/>
                <w:b/>
              </w:rPr>
            </w:pPr>
          </w:p>
          <w:p w:rsidR="00135D51" w:rsidRPr="00E84E97" w:rsidRDefault="00E84E97" w:rsidP="00135D51">
            <w:pPr>
              <w:spacing w:before="0" w:after="0" w:line="276" w:lineRule="auto"/>
              <w:jc w:val="center"/>
              <w:rPr>
                <w:rFonts w:eastAsia="Times New Roman" w:cs="Arial"/>
                <w:b/>
                <w:lang w:val="sr-Latn-RS"/>
              </w:rPr>
            </w:pPr>
            <w:r>
              <w:rPr>
                <w:rFonts w:eastAsia="Times New Roman" w:cs="Arial"/>
                <w:b/>
                <w:lang w:val="sr-Latn-RS"/>
              </w:rPr>
              <w:t>broj</w:t>
            </w:r>
          </w:p>
        </w:tc>
        <w:tc>
          <w:tcPr>
            <w:tcW w:w="1083" w:type="dxa"/>
            <w:shd w:val="clear" w:color="auto" w:fill="12D9EE"/>
          </w:tcPr>
          <w:p w:rsidR="00135D51" w:rsidRPr="00135D51" w:rsidRDefault="00135D51" w:rsidP="00135D51">
            <w:pPr>
              <w:spacing w:before="0" w:after="0" w:line="276" w:lineRule="auto"/>
              <w:jc w:val="center"/>
              <w:rPr>
                <w:rFonts w:eastAsia="Times New Roman" w:cs="Arial"/>
                <w:b/>
              </w:rPr>
            </w:pPr>
          </w:p>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E84E97" w:rsidRPr="00135D51" w:rsidTr="00E84E97">
        <w:tc>
          <w:tcPr>
            <w:tcW w:w="7057" w:type="dxa"/>
          </w:tcPr>
          <w:p w:rsidR="00E84E97" w:rsidRPr="00E84E97" w:rsidRDefault="00E84E97" w:rsidP="00556A31">
            <w:pPr>
              <w:rPr>
                <w:b/>
              </w:rPr>
            </w:pPr>
            <w:r w:rsidRPr="00E84E97">
              <w:rPr>
                <w:b/>
              </w:rPr>
              <w:t>Postupljeno po preporuci</w:t>
            </w:r>
          </w:p>
        </w:tc>
        <w:tc>
          <w:tcPr>
            <w:tcW w:w="1149"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135D51">
            <w:pPr>
              <w:spacing w:before="0" w:after="0" w:line="276" w:lineRule="auto"/>
              <w:jc w:val="right"/>
              <w:rPr>
                <w:rFonts w:eastAsia="Times New Roman" w:cs="Arial"/>
                <w:b/>
              </w:rPr>
            </w:pPr>
            <w:r w:rsidRPr="00135D51">
              <w:rPr>
                <w:rFonts w:eastAsia="Times New Roman" w:cs="Arial"/>
                <w:b/>
              </w:rPr>
              <w:t>33</w:t>
            </w:r>
          </w:p>
        </w:tc>
        <w:tc>
          <w:tcPr>
            <w:tcW w:w="1083"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AC0428">
            <w:pPr>
              <w:spacing w:before="0" w:after="0" w:line="276" w:lineRule="auto"/>
              <w:jc w:val="right"/>
              <w:rPr>
                <w:rFonts w:eastAsia="Times New Roman" w:cs="Arial"/>
                <w:b/>
              </w:rPr>
            </w:pPr>
            <w:r w:rsidRPr="00135D51">
              <w:rPr>
                <w:rFonts w:eastAsia="Times New Roman" w:cs="Arial"/>
                <w:b/>
              </w:rPr>
              <w:t>76</w:t>
            </w:r>
            <w:r>
              <w:rPr>
                <w:rFonts w:eastAsia="Times New Roman" w:cs="Arial"/>
                <w:b/>
              </w:rPr>
              <w:t>,</w:t>
            </w:r>
            <w:r w:rsidRPr="00135D51">
              <w:rPr>
                <w:rFonts w:eastAsia="Times New Roman" w:cs="Arial"/>
                <w:b/>
              </w:rPr>
              <w:t>7</w:t>
            </w:r>
          </w:p>
        </w:tc>
      </w:tr>
      <w:tr w:rsidR="00E84E97" w:rsidRPr="00135D51" w:rsidTr="00E84E97">
        <w:tc>
          <w:tcPr>
            <w:tcW w:w="7057" w:type="dxa"/>
          </w:tcPr>
          <w:p w:rsidR="00E84E97" w:rsidRPr="00E84E97" w:rsidRDefault="00E84E97" w:rsidP="00556A31">
            <w:pPr>
              <w:rPr>
                <w:b/>
              </w:rPr>
            </w:pPr>
            <w:r w:rsidRPr="00E84E97">
              <w:rPr>
                <w:b/>
              </w:rPr>
              <w:t>Nije postupljeno po preporuci</w:t>
            </w:r>
          </w:p>
        </w:tc>
        <w:tc>
          <w:tcPr>
            <w:tcW w:w="1149"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135D51">
            <w:pPr>
              <w:spacing w:before="0" w:after="0" w:line="276" w:lineRule="auto"/>
              <w:jc w:val="right"/>
              <w:rPr>
                <w:rFonts w:eastAsia="Times New Roman" w:cs="Arial"/>
                <w:b/>
              </w:rPr>
            </w:pPr>
            <w:r w:rsidRPr="00135D51">
              <w:rPr>
                <w:rFonts w:eastAsia="Times New Roman" w:cs="Arial"/>
                <w:b/>
              </w:rPr>
              <w:t>10</w:t>
            </w:r>
          </w:p>
        </w:tc>
        <w:tc>
          <w:tcPr>
            <w:tcW w:w="1083"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AC0428">
            <w:pPr>
              <w:spacing w:before="0" w:after="0" w:line="276" w:lineRule="auto"/>
              <w:jc w:val="right"/>
              <w:rPr>
                <w:rFonts w:eastAsia="Times New Roman" w:cs="Arial"/>
                <w:b/>
              </w:rPr>
            </w:pPr>
            <w:r w:rsidRPr="00135D51">
              <w:rPr>
                <w:rFonts w:eastAsia="Times New Roman" w:cs="Arial"/>
                <w:b/>
              </w:rPr>
              <w:t>23</w:t>
            </w:r>
            <w:r>
              <w:rPr>
                <w:rFonts w:eastAsia="Times New Roman" w:cs="Arial"/>
                <w:b/>
              </w:rPr>
              <w:t>,</w:t>
            </w:r>
            <w:r w:rsidRPr="00135D51">
              <w:rPr>
                <w:rFonts w:eastAsia="Times New Roman" w:cs="Arial"/>
                <w:b/>
              </w:rPr>
              <w:t>2</w:t>
            </w:r>
          </w:p>
        </w:tc>
      </w:tr>
      <w:tr w:rsidR="00E84E97" w:rsidRPr="00135D51" w:rsidTr="00E84E97">
        <w:tc>
          <w:tcPr>
            <w:tcW w:w="7057" w:type="dxa"/>
            <w:shd w:val="clear" w:color="auto" w:fill="12D9EE"/>
          </w:tcPr>
          <w:p w:rsidR="00E84E97" w:rsidRPr="00E84E97" w:rsidRDefault="00E84E97" w:rsidP="00556A31">
            <w:pPr>
              <w:rPr>
                <w:b/>
              </w:rPr>
            </w:pPr>
            <w:r w:rsidRPr="00E84E97">
              <w:rPr>
                <w:b/>
              </w:rPr>
              <w:t>Ukupan broj</w:t>
            </w:r>
          </w:p>
        </w:tc>
        <w:tc>
          <w:tcPr>
            <w:tcW w:w="1149" w:type="dxa"/>
            <w:shd w:val="clear" w:color="auto" w:fill="12D9EE"/>
          </w:tcPr>
          <w:p w:rsidR="00E84E97" w:rsidRPr="00135D51" w:rsidRDefault="00E84E97" w:rsidP="00135D51">
            <w:pPr>
              <w:spacing w:before="0" w:after="0" w:line="276" w:lineRule="auto"/>
              <w:jc w:val="right"/>
              <w:rPr>
                <w:rFonts w:eastAsia="Times New Roman" w:cs="Arial"/>
                <w:b/>
              </w:rPr>
            </w:pPr>
          </w:p>
          <w:p w:rsidR="00E84E97" w:rsidRPr="00135D51" w:rsidRDefault="00E84E97" w:rsidP="00135D51">
            <w:pPr>
              <w:spacing w:before="0" w:after="0" w:line="276" w:lineRule="auto"/>
              <w:jc w:val="right"/>
              <w:rPr>
                <w:rFonts w:eastAsia="Times New Roman" w:cs="Arial"/>
                <w:b/>
              </w:rPr>
            </w:pPr>
            <w:r w:rsidRPr="00135D51">
              <w:rPr>
                <w:rFonts w:eastAsia="Times New Roman" w:cs="Arial"/>
                <w:b/>
              </w:rPr>
              <w:t>43</w:t>
            </w:r>
          </w:p>
        </w:tc>
        <w:tc>
          <w:tcPr>
            <w:tcW w:w="1083" w:type="dxa"/>
            <w:shd w:val="clear" w:color="auto" w:fill="12D9EE"/>
          </w:tcPr>
          <w:p w:rsidR="00E84E97" w:rsidRPr="00135D51" w:rsidRDefault="00E84E97" w:rsidP="00135D51">
            <w:pPr>
              <w:spacing w:before="0" w:after="0" w:line="276" w:lineRule="auto"/>
              <w:jc w:val="right"/>
              <w:rPr>
                <w:rFonts w:eastAsia="Times New Roman" w:cs="Arial"/>
                <w:b/>
              </w:rPr>
            </w:pPr>
          </w:p>
          <w:p w:rsidR="00E84E97" w:rsidRPr="00135D51" w:rsidRDefault="00E84E97" w:rsidP="00AC0428">
            <w:pPr>
              <w:spacing w:before="0" w:after="0" w:line="276" w:lineRule="auto"/>
              <w:jc w:val="right"/>
              <w:rPr>
                <w:rFonts w:eastAsia="Times New Roman" w:cs="Arial"/>
                <w:b/>
              </w:rPr>
            </w:pPr>
            <w:r w:rsidRPr="00135D51">
              <w:rPr>
                <w:rFonts w:eastAsia="Times New Roman" w:cs="Arial"/>
                <w:b/>
              </w:rPr>
              <w:t>100</w:t>
            </w:r>
            <w:r>
              <w:rPr>
                <w:rFonts w:eastAsia="Times New Roman" w:cs="Arial"/>
                <w:b/>
              </w:rPr>
              <w:t>,</w:t>
            </w:r>
            <w:r w:rsidRPr="00135D51">
              <w:rPr>
                <w:rFonts w:eastAsia="Times New Roman" w:cs="Arial"/>
                <w:b/>
              </w:rPr>
              <w:t>0</w:t>
            </w:r>
          </w:p>
        </w:tc>
      </w:tr>
    </w:tbl>
    <w:p w:rsidR="00135D51" w:rsidRDefault="00E84E97" w:rsidP="00135D51">
      <w:pPr>
        <w:spacing w:before="0" w:after="200" w:line="276" w:lineRule="auto"/>
        <w:jc w:val="left"/>
        <w:rPr>
          <w:rFonts w:eastAsia="Times New Roman" w:cs="Arial"/>
          <w:b/>
          <w:lang w:val="sr-Latn-RS"/>
        </w:rPr>
      </w:pPr>
      <w:r w:rsidRPr="00E84E97">
        <w:rPr>
          <w:rFonts w:eastAsia="Times New Roman" w:cs="Arial"/>
          <w:b/>
        </w:rPr>
        <w:t>U preostalim predmetima rok za postupanje po preporukama nije istekao.</w:t>
      </w:r>
    </w:p>
    <w:p w:rsidR="00E84E97" w:rsidRPr="00E84E97" w:rsidRDefault="00E84E97" w:rsidP="00135D51">
      <w:pPr>
        <w:spacing w:before="0" w:after="200" w:line="276" w:lineRule="auto"/>
        <w:jc w:val="left"/>
        <w:rPr>
          <w:rFonts w:eastAsia="Times New Roman" w:cs="Arial"/>
          <w:b/>
          <w:lang w:val="sr-Latn-RS"/>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058"/>
        <w:gridCol w:w="1148"/>
        <w:gridCol w:w="1083"/>
      </w:tblGrid>
      <w:tr w:rsidR="00E84E97" w:rsidRPr="00135D51" w:rsidTr="00E84E97">
        <w:tc>
          <w:tcPr>
            <w:tcW w:w="7058" w:type="dxa"/>
            <w:shd w:val="clear" w:color="auto" w:fill="12D9EE"/>
          </w:tcPr>
          <w:p w:rsidR="00E84E97" w:rsidRPr="00E84E97" w:rsidRDefault="00E84E97" w:rsidP="00556A31">
            <w:pPr>
              <w:rPr>
                <w:b/>
              </w:rPr>
            </w:pPr>
            <w:r w:rsidRPr="00E84E97">
              <w:rPr>
                <w:b/>
              </w:rPr>
              <w:t>Postupanje po preporukama mera</w:t>
            </w:r>
          </w:p>
        </w:tc>
        <w:tc>
          <w:tcPr>
            <w:tcW w:w="1148" w:type="dxa"/>
            <w:shd w:val="clear" w:color="auto" w:fill="12D9EE"/>
          </w:tcPr>
          <w:p w:rsidR="00E84E97" w:rsidRPr="00135D51" w:rsidRDefault="00E84E97" w:rsidP="00135D51">
            <w:pPr>
              <w:spacing w:before="0" w:after="0" w:line="276" w:lineRule="auto"/>
              <w:jc w:val="center"/>
              <w:rPr>
                <w:rFonts w:eastAsia="Times New Roman" w:cs="Arial"/>
                <w:b/>
              </w:rPr>
            </w:pPr>
          </w:p>
          <w:p w:rsidR="00E84E97" w:rsidRPr="00135D51" w:rsidRDefault="00E84E97" w:rsidP="00135D51">
            <w:pPr>
              <w:spacing w:before="0" w:after="0" w:line="276" w:lineRule="auto"/>
              <w:jc w:val="center"/>
              <w:rPr>
                <w:rFonts w:eastAsia="Times New Roman" w:cs="Arial"/>
                <w:b/>
              </w:rPr>
            </w:pPr>
            <w:r>
              <w:rPr>
                <w:rFonts w:eastAsia="Times New Roman" w:cs="Arial"/>
                <w:b/>
                <w:lang w:val="sr-Latn-RS"/>
              </w:rPr>
              <w:t>broj</w:t>
            </w:r>
          </w:p>
        </w:tc>
        <w:tc>
          <w:tcPr>
            <w:tcW w:w="1083" w:type="dxa"/>
            <w:shd w:val="clear" w:color="auto" w:fill="12D9EE"/>
          </w:tcPr>
          <w:p w:rsidR="00E84E97" w:rsidRPr="00135D51" w:rsidRDefault="00E84E97" w:rsidP="00135D51">
            <w:pPr>
              <w:spacing w:before="0" w:after="0" w:line="276" w:lineRule="auto"/>
              <w:jc w:val="center"/>
              <w:rPr>
                <w:rFonts w:eastAsia="Times New Roman" w:cs="Arial"/>
                <w:b/>
              </w:rPr>
            </w:pPr>
          </w:p>
          <w:p w:rsidR="00E84E97" w:rsidRPr="00135D51" w:rsidRDefault="00E84E97" w:rsidP="00135D51">
            <w:pPr>
              <w:spacing w:before="0" w:after="0" w:line="276" w:lineRule="auto"/>
              <w:jc w:val="center"/>
              <w:rPr>
                <w:rFonts w:eastAsia="Times New Roman" w:cs="Arial"/>
                <w:b/>
              </w:rPr>
            </w:pPr>
            <w:r w:rsidRPr="00135D51">
              <w:rPr>
                <w:rFonts w:eastAsia="Times New Roman" w:cs="Arial"/>
                <w:b/>
              </w:rPr>
              <w:t>%</w:t>
            </w:r>
          </w:p>
        </w:tc>
      </w:tr>
      <w:tr w:rsidR="00E84E97" w:rsidRPr="00135D51" w:rsidTr="00E84E97">
        <w:tc>
          <w:tcPr>
            <w:tcW w:w="7058" w:type="dxa"/>
          </w:tcPr>
          <w:p w:rsidR="00E84E97" w:rsidRPr="00E84E97" w:rsidRDefault="00E84E97" w:rsidP="00556A31">
            <w:pPr>
              <w:rPr>
                <w:b/>
              </w:rPr>
            </w:pPr>
            <w:r w:rsidRPr="00E84E97">
              <w:rPr>
                <w:b/>
              </w:rPr>
              <w:t>Postupljeno po preporuci</w:t>
            </w:r>
          </w:p>
        </w:tc>
        <w:tc>
          <w:tcPr>
            <w:tcW w:w="1148"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135D51">
            <w:pPr>
              <w:spacing w:before="0" w:after="0" w:line="276" w:lineRule="auto"/>
              <w:jc w:val="right"/>
              <w:rPr>
                <w:rFonts w:eastAsia="Times New Roman" w:cs="Arial"/>
                <w:b/>
              </w:rPr>
            </w:pPr>
            <w:r w:rsidRPr="00135D51">
              <w:rPr>
                <w:rFonts w:eastAsia="Times New Roman" w:cs="Arial"/>
                <w:b/>
              </w:rPr>
              <w:t xml:space="preserve">434 </w:t>
            </w:r>
          </w:p>
        </w:tc>
        <w:tc>
          <w:tcPr>
            <w:tcW w:w="1083"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AC0428">
            <w:pPr>
              <w:spacing w:before="0" w:after="0" w:line="276" w:lineRule="auto"/>
              <w:jc w:val="right"/>
              <w:rPr>
                <w:rFonts w:eastAsia="Times New Roman" w:cs="Arial"/>
                <w:b/>
              </w:rPr>
            </w:pPr>
            <w:r w:rsidRPr="00135D51">
              <w:rPr>
                <w:rFonts w:eastAsia="Times New Roman" w:cs="Arial"/>
                <w:b/>
              </w:rPr>
              <w:t>93</w:t>
            </w:r>
            <w:r>
              <w:rPr>
                <w:rFonts w:eastAsia="Times New Roman" w:cs="Arial"/>
                <w:b/>
              </w:rPr>
              <w:t>,</w:t>
            </w:r>
            <w:r w:rsidRPr="00135D51">
              <w:rPr>
                <w:rFonts w:eastAsia="Times New Roman" w:cs="Arial"/>
                <w:b/>
              </w:rPr>
              <w:t>9</w:t>
            </w:r>
          </w:p>
        </w:tc>
      </w:tr>
      <w:tr w:rsidR="00E84E97" w:rsidRPr="00135D51" w:rsidTr="00E84E97">
        <w:tc>
          <w:tcPr>
            <w:tcW w:w="7058" w:type="dxa"/>
          </w:tcPr>
          <w:p w:rsidR="00E84E97" w:rsidRPr="00E84E97" w:rsidRDefault="00E84E97" w:rsidP="00556A31">
            <w:pPr>
              <w:rPr>
                <w:b/>
              </w:rPr>
            </w:pPr>
            <w:r w:rsidRPr="00E84E97">
              <w:rPr>
                <w:b/>
              </w:rPr>
              <w:t>Nije postupljeno po preporuci</w:t>
            </w:r>
          </w:p>
        </w:tc>
        <w:tc>
          <w:tcPr>
            <w:tcW w:w="1148"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135D51">
            <w:pPr>
              <w:spacing w:before="0" w:after="0" w:line="276" w:lineRule="auto"/>
              <w:jc w:val="right"/>
              <w:rPr>
                <w:rFonts w:eastAsia="Times New Roman" w:cs="Arial"/>
                <w:b/>
              </w:rPr>
            </w:pPr>
            <w:r w:rsidRPr="00135D51">
              <w:rPr>
                <w:rFonts w:eastAsia="Times New Roman" w:cs="Arial"/>
                <w:b/>
              </w:rPr>
              <w:t>28</w:t>
            </w:r>
          </w:p>
        </w:tc>
        <w:tc>
          <w:tcPr>
            <w:tcW w:w="1083" w:type="dxa"/>
          </w:tcPr>
          <w:p w:rsidR="00E84E97" w:rsidRPr="00135D51" w:rsidRDefault="00E84E97" w:rsidP="00135D51">
            <w:pPr>
              <w:spacing w:before="0" w:after="0" w:line="276" w:lineRule="auto"/>
              <w:jc w:val="right"/>
              <w:rPr>
                <w:rFonts w:eastAsia="Times New Roman" w:cs="Arial"/>
                <w:b/>
              </w:rPr>
            </w:pPr>
          </w:p>
          <w:p w:rsidR="00E84E97" w:rsidRPr="00135D51" w:rsidRDefault="00E84E97" w:rsidP="00AC0428">
            <w:pPr>
              <w:spacing w:before="0" w:after="0" w:line="276" w:lineRule="auto"/>
              <w:jc w:val="right"/>
              <w:rPr>
                <w:rFonts w:eastAsia="Times New Roman" w:cs="Arial"/>
                <w:b/>
              </w:rPr>
            </w:pPr>
            <w:r w:rsidRPr="00135D51">
              <w:rPr>
                <w:rFonts w:eastAsia="Times New Roman" w:cs="Arial"/>
                <w:b/>
              </w:rPr>
              <w:t>6</w:t>
            </w:r>
            <w:r>
              <w:rPr>
                <w:rFonts w:eastAsia="Times New Roman" w:cs="Arial"/>
                <w:b/>
              </w:rPr>
              <w:t>,</w:t>
            </w:r>
            <w:r w:rsidRPr="00135D51">
              <w:rPr>
                <w:rFonts w:eastAsia="Times New Roman" w:cs="Arial"/>
                <w:b/>
              </w:rPr>
              <w:t>1</w:t>
            </w:r>
          </w:p>
        </w:tc>
      </w:tr>
      <w:tr w:rsidR="00135D51" w:rsidRPr="00135D51" w:rsidTr="00E84E97">
        <w:tc>
          <w:tcPr>
            <w:tcW w:w="7058" w:type="dxa"/>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E84E97" w:rsidP="00135D51">
            <w:pPr>
              <w:spacing w:before="0" w:after="0" w:line="276" w:lineRule="auto"/>
              <w:jc w:val="left"/>
              <w:rPr>
                <w:rFonts w:eastAsia="Times New Roman" w:cs="Arial"/>
                <w:b/>
              </w:rPr>
            </w:pPr>
            <w:r w:rsidRPr="00E84E97">
              <w:rPr>
                <w:b/>
              </w:rPr>
              <w:t>Ukupan broj</w:t>
            </w:r>
          </w:p>
        </w:tc>
        <w:tc>
          <w:tcPr>
            <w:tcW w:w="1148" w:type="dxa"/>
            <w:shd w:val="clear" w:color="auto" w:fill="12D9EE"/>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462</w:t>
            </w:r>
          </w:p>
        </w:tc>
        <w:tc>
          <w:tcPr>
            <w:tcW w:w="1083" w:type="dxa"/>
            <w:shd w:val="clear" w:color="auto" w:fill="12D9EE"/>
          </w:tcPr>
          <w:p w:rsidR="00135D51" w:rsidRPr="00135D51" w:rsidRDefault="00135D51" w:rsidP="00135D51">
            <w:pPr>
              <w:spacing w:before="0" w:after="0" w:line="276" w:lineRule="auto"/>
              <w:jc w:val="right"/>
              <w:rPr>
                <w:rFonts w:eastAsia="Times New Roman" w:cs="Arial"/>
                <w:b/>
              </w:rPr>
            </w:pPr>
          </w:p>
          <w:p w:rsidR="00135D51" w:rsidRPr="00135D51" w:rsidRDefault="00135D51" w:rsidP="00AC0428">
            <w:pPr>
              <w:spacing w:before="0" w:after="0" w:line="276" w:lineRule="auto"/>
              <w:jc w:val="right"/>
              <w:rPr>
                <w:rFonts w:eastAsia="Times New Roman" w:cs="Arial"/>
                <w:b/>
              </w:rPr>
            </w:pPr>
            <w:r w:rsidRPr="00135D51">
              <w:rPr>
                <w:rFonts w:eastAsia="Times New Roman" w:cs="Arial"/>
                <w:b/>
              </w:rPr>
              <w:t>100</w:t>
            </w:r>
            <w:r w:rsidR="00B25B2F">
              <w:rPr>
                <w:rFonts w:eastAsia="Times New Roman" w:cs="Arial"/>
                <w:b/>
              </w:rPr>
              <w:t>,</w:t>
            </w:r>
            <w:r w:rsidRPr="00135D51">
              <w:rPr>
                <w:rFonts w:eastAsia="Times New Roman" w:cs="Arial"/>
                <w:b/>
              </w:rPr>
              <w:t>0</w:t>
            </w:r>
          </w:p>
        </w:tc>
      </w:tr>
    </w:tbl>
    <w:p w:rsidR="00135D51" w:rsidRDefault="00E84E97" w:rsidP="00135D51">
      <w:pPr>
        <w:shd w:val="clear" w:color="auto" w:fill="FFFFFF"/>
        <w:spacing w:before="0" w:after="200" w:line="276" w:lineRule="auto"/>
        <w:jc w:val="left"/>
        <w:rPr>
          <w:rFonts w:eastAsia="Times New Roman" w:cs="Arial"/>
          <w:b/>
          <w:lang w:val="sr-Latn-RS"/>
        </w:rPr>
      </w:pPr>
      <w:r w:rsidRPr="00E84E97">
        <w:rPr>
          <w:rFonts w:eastAsia="Times New Roman" w:cs="Arial"/>
          <w:b/>
        </w:rPr>
        <w:t>U preostalim predmetima rok za postupanje po preporukama nije istekao.</w:t>
      </w:r>
    </w:p>
    <w:p w:rsidR="00E84E97" w:rsidRPr="00E84E97" w:rsidRDefault="00E84E97" w:rsidP="00135D51">
      <w:pPr>
        <w:shd w:val="clear" w:color="auto" w:fill="FFFFFF"/>
        <w:spacing w:before="0" w:after="200" w:line="276" w:lineRule="auto"/>
        <w:jc w:val="left"/>
        <w:rPr>
          <w:rFonts w:eastAsia="Times New Roman" w:cs="Arial"/>
          <w:b/>
          <w:sz w:val="28"/>
          <w:lang w:val="sr-Latn-RS"/>
        </w:rPr>
      </w:pPr>
    </w:p>
    <w:p w:rsidR="00135D51" w:rsidRPr="00135D51" w:rsidRDefault="00E84E97" w:rsidP="00135D51">
      <w:pPr>
        <w:spacing w:before="0" w:after="200" w:line="276" w:lineRule="auto"/>
        <w:jc w:val="left"/>
        <w:outlineLvl w:val="0"/>
        <w:rPr>
          <w:rFonts w:eastAsia="Times New Roman" w:cs="Arial"/>
          <w:b/>
        </w:rPr>
      </w:pPr>
      <w:r w:rsidRPr="00E84E97">
        <w:rPr>
          <w:rFonts w:eastAsia="Times New Roman" w:cs="Arial"/>
          <w:b/>
        </w:rPr>
        <w:t>Postupanje po predmetima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
        <w:gridCol w:w="6930"/>
        <w:gridCol w:w="532"/>
        <w:gridCol w:w="516"/>
        <w:gridCol w:w="1018"/>
        <w:gridCol w:w="77"/>
      </w:tblGrid>
      <w:tr w:rsidR="00135D51" w:rsidRPr="00135D51" w:rsidTr="00E84E97">
        <w:trPr>
          <w:gridAfter w:val="1"/>
          <w:wAfter w:w="77" w:type="dxa"/>
        </w:trPr>
        <w:tc>
          <w:tcPr>
            <w:tcW w:w="7146" w:type="dxa"/>
            <w:gridSpan w:val="2"/>
            <w:tcBorders>
              <w:left w:val="nil"/>
              <w:right w:val="nil"/>
            </w:tcBorders>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E84E97" w:rsidP="00135D51">
            <w:pPr>
              <w:spacing w:before="0" w:after="0" w:line="276" w:lineRule="auto"/>
              <w:jc w:val="left"/>
              <w:rPr>
                <w:rFonts w:eastAsia="Times New Roman" w:cs="Arial"/>
                <w:b/>
              </w:rPr>
            </w:pPr>
            <w:r w:rsidRPr="00E84E97">
              <w:rPr>
                <w:rFonts w:eastAsia="Times New Roman" w:cs="Arial"/>
                <w:b/>
              </w:rPr>
              <w:t>Postupanje po predmetima</w:t>
            </w:r>
          </w:p>
        </w:tc>
        <w:tc>
          <w:tcPr>
            <w:tcW w:w="1048" w:type="dxa"/>
            <w:gridSpan w:val="2"/>
            <w:tcBorders>
              <w:left w:val="nil"/>
            </w:tcBorders>
            <w:shd w:val="clear" w:color="auto" w:fill="12D9EE"/>
          </w:tcPr>
          <w:p w:rsidR="00135D51" w:rsidRPr="00135D51" w:rsidRDefault="00135D51" w:rsidP="00135D51">
            <w:pPr>
              <w:spacing w:before="0" w:after="0" w:line="276" w:lineRule="auto"/>
              <w:jc w:val="center"/>
              <w:rPr>
                <w:rFonts w:eastAsia="Times New Roman" w:cs="Arial"/>
                <w:b/>
              </w:rPr>
            </w:pPr>
          </w:p>
          <w:p w:rsidR="00135D51" w:rsidRPr="00135D51" w:rsidRDefault="00E84E97" w:rsidP="00135D51">
            <w:pPr>
              <w:spacing w:before="0" w:after="0" w:line="276" w:lineRule="auto"/>
              <w:jc w:val="center"/>
              <w:rPr>
                <w:rFonts w:eastAsia="Times New Roman" w:cs="Arial"/>
                <w:b/>
              </w:rPr>
            </w:pPr>
            <w:r>
              <w:rPr>
                <w:rFonts w:eastAsia="Times New Roman" w:cs="Arial"/>
                <w:b/>
                <w:lang w:val="sr-Latn-RS"/>
              </w:rPr>
              <w:t>broj</w:t>
            </w:r>
          </w:p>
        </w:tc>
        <w:tc>
          <w:tcPr>
            <w:tcW w:w="1018" w:type="dxa"/>
            <w:tcBorders>
              <w:right w:val="nil"/>
            </w:tcBorders>
            <w:shd w:val="clear" w:color="auto" w:fill="12D9EE"/>
          </w:tcPr>
          <w:p w:rsidR="00135D51" w:rsidRPr="00135D51" w:rsidRDefault="00135D51" w:rsidP="00135D51">
            <w:pPr>
              <w:spacing w:before="0" w:after="0" w:line="276" w:lineRule="auto"/>
              <w:jc w:val="center"/>
              <w:rPr>
                <w:rFonts w:eastAsia="Times New Roman" w:cs="Arial"/>
                <w:b/>
              </w:rPr>
            </w:pPr>
          </w:p>
          <w:p w:rsidR="00135D51" w:rsidRPr="00135D51" w:rsidRDefault="00135D51" w:rsidP="00135D51">
            <w:pPr>
              <w:spacing w:before="0" w:after="0" w:line="276" w:lineRule="auto"/>
              <w:jc w:val="center"/>
              <w:rPr>
                <w:rFonts w:eastAsia="Times New Roman" w:cs="Arial"/>
                <w:b/>
              </w:rPr>
            </w:pPr>
            <w:r w:rsidRPr="00135D51">
              <w:rPr>
                <w:rFonts w:eastAsia="Times New Roman" w:cs="Arial"/>
                <w:b/>
              </w:rPr>
              <w:t>%</w:t>
            </w:r>
          </w:p>
        </w:tc>
      </w:tr>
      <w:tr w:rsidR="00E84E97" w:rsidRPr="00135D51" w:rsidTr="00E84E97">
        <w:trPr>
          <w:gridAfter w:val="1"/>
          <w:wAfter w:w="77" w:type="dxa"/>
        </w:trPr>
        <w:tc>
          <w:tcPr>
            <w:tcW w:w="7146" w:type="dxa"/>
            <w:gridSpan w:val="2"/>
            <w:tcBorders>
              <w:left w:val="nil"/>
              <w:right w:val="nil"/>
            </w:tcBorders>
          </w:tcPr>
          <w:p w:rsidR="00E84E97" w:rsidRPr="00E84E97" w:rsidRDefault="00E84E97" w:rsidP="00556A31">
            <w:pPr>
              <w:rPr>
                <w:b/>
              </w:rPr>
            </w:pPr>
            <w:r w:rsidRPr="00E84E97">
              <w:rPr>
                <w:b/>
              </w:rPr>
              <w:t>Završen</w:t>
            </w:r>
          </w:p>
        </w:tc>
        <w:tc>
          <w:tcPr>
            <w:tcW w:w="1048" w:type="dxa"/>
            <w:gridSpan w:val="2"/>
            <w:tcBorders>
              <w:left w:val="nil"/>
            </w:tcBorders>
            <w:vAlign w:val="center"/>
          </w:tcPr>
          <w:p w:rsidR="00E84E97" w:rsidRPr="00135D51" w:rsidRDefault="00E84E97"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570</w:t>
            </w:r>
          </w:p>
        </w:tc>
        <w:tc>
          <w:tcPr>
            <w:tcW w:w="1018" w:type="dxa"/>
            <w:tcBorders>
              <w:right w:val="nil"/>
            </w:tcBorders>
            <w:vAlign w:val="center"/>
          </w:tcPr>
          <w:p w:rsidR="00E84E97" w:rsidRPr="00135D51" w:rsidRDefault="00E84E97" w:rsidP="00AC0428">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91</w:t>
            </w:r>
            <w:r>
              <w:rPr>
                <w:rFonts w:eastAsia="Times New Roman" w:cs="Arial"/>
                <w:b/>
                <w:color w:val="000000"/>
              </w:rPr>
              <w:t>,</w:t>
            </w:r>
            <w:r w:rsidRPr="00135D51">
              <w:rPr>
                <w:rFonts w:eastAsia="Times New Roman" w:cs="Arial"/>
                <w:b/>
                <w:color w:val="000000"/>
              </w:rPr>
              <w:t>0</w:t>
            </w:r>
          </w:p>
        </w:tc>
      </w:tr>
      <w:tr w:rsidR="00E84E97" w:rsidRPr="00135D51" w:rsidTr="00E84E97">
        <w:trPr>
          <w:gridAfter w:val="1"/>
          <w:wAfter w:w="77" w:type="dxa"/>
        </w:trPr>
        <w:tc>
          <w:tcPr>
            <w:tcW w:w="7146" w:type="dxa"/>
            <w:gridSpan w:val="2"/>
            <w:tcBorders>
              <w:left w:val="nil"/>
              <w:right w:val="nil"/>
            </w:tcBorders>
          </w:tcPr>
          <w:p w:rsidR="00E84E97" w:rsidRPr="00E84E97" w:rsidRDefault="00E84E97" w:rsidP="00556A31">
            <w:pPr>
              <w:rPr>
                <w:b/>
              </w:rPr>
            </w:pPr>
            <w:r w:rsidRPr="00E84E97">
              <w:rPr>
                <w:b/>
              </w:rPr>
              <w:t>U radu***</w:t>
            </w:r>
          </w:p>
        </w:tc>
        <w:tc>
          <w:tcPr>
            <w:tcW w:w="1048" w:type="dxa"/>
            <w:gridSpan w:val="2"/>
            <w:tcBorders>
              <w:left w:val="nil"/>
            </w:tcBorders>
            <w:vAlign w:val="center"/>
          </w:tcPr>
          <w:p w:rsidR="00E84E97" w:rsidRPr="00135D51" w:rsidRDefault="00E84E97" w:rsidP="00135D51">
            <w:pPr>
              <w:autoSpaceDE w:val="0"/>
              <w:autoSpaceDN w:val="0"/>
              <w:adjustRightInd w:val="0"/>
              <w:spacing w:before="0" w:after="0" w:line="276" w:lineRule="auto"/>
              <w:jc w:val="right"/>
              <w:rPr>
                <w:rFonts w:eastAsia="Times New Roman" w:cs="Arial"/>
                <w:b/>
                <w:color w:val="000000"/>
              </w:rPr>
            </w:pPr>
          </w:p>
          <w:p w:rsidR="00E84E97" w:rsidRPr="00135D51" w:rsidRDefault="00E84E97"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56</w:t>
            </w:r>
          </w:p>
        </w:tc>
        <w:tc>
          <w:tcPr>
            <w:tcW w:w="1018" w:type="dxa"/>
            <w:tcBorders>
              <w:right w:val="nil"/>
            </w:tcBorders>
            <w:vAlign w:val="center"/>
          </w:tcPr>
          <w:p w:rsidR="00E84E97" w:rsidRPr="00135D51" w:rsidRDefault="00E84E97" w:rsidP="00135D51">
            <w:pPr>
              <w:autoSpaceDE w:val="0"/>
              <w:autoSpaceDN w:val="0"/>
              <w:adjustRightInd w:val="0"/>
              <w:spacing w:before="0" w:after="0" w:line="276" w:lineRule="auto"/>
              <w:jc w:val="right"/>
              <w:rPr>
                <w:rFonts w:eastAsia="Times New Roman" w:cs="Arial"/>
                <w:b/>
                <w:color w:val="000000"/>
              </w:rPr>
            </w:pPr>
          </w:p>
          <w:p w:rsidR="00E84E97" w:rsidRPr="00135D51" w:rsidRDefault="00E84E97" w:rsidP="00135D51">
            <w:pPr>
              <w:autoSpaceDE w:val="0"/>
              <w:autoSpaceDN w:val="0"/>
              <w:adjustRightInd w:val="0"/>
              <w:spacing w:before="0" w:after="0" w:line="276" w:lineRule="auto"/>
              <w:jc w:val="right"/>
              <w:rPr>
                <w:rFonts w:eastAsia="Times New Roman" w:cs="Arial"/>
                <w:b/>
                <w:color w:val="000000"/>
              </w:rPr>
            </w:pPr>
            <w:r w:rsidRPr="00135D51">
              <w:rPr>
                <w:rFonts w:eastAsia="Times New Roman" w:cs="Arial"/>
                <w:b/>
                <w:color w:val="000000"/>
              </w:rPr>
              <w:t>8,9</w:t>
            </w:r>
          </w:p>
        </w:tc>
      </w:tr>
      <w:tr w:rsidR="00135D51" w:rsidRPr="00135D51" w:rsidTr="00E84E97">
        <w:trPr>
          <w:gridAfter w:val="1"/>
          <w:wAfter w:w="77" w:type="dxa"/>
        </w:trPr>
        <w:tc>
          <w:tcPr>
            <w:tcW w:w="7146" w:type="dxa"/>
            <w:gridSpan w:val="2"/>
            <w:tcBorders>
              <w:left w:val="nil"/>
              <w:right w:val="nil"/>
            </w:tcBorders>
            <w:shd w:val="clear" w:color="auto" w:fill="12D9EE"/>
          </w:tcPr>
          <w:p w:rsidR="00135D51" w:rsidRPr="00135D51" w:rsidRDefault="00135D51" w:rsidP="00135D51">
            <w:pPr>
              <w:spacing w:before="0" w:after="0" w:line="276" w:lineRule="auto"/>
              <w:jc w:val="left"/>
              <w:rPr>
                <w:rFonts w:eastAsia="Times New Roman" w:cs="Arial"/>
                <w:b/>
              </w:rPr>
            </w:pPr>
          </w:p>
          <w:p w:rsidR="00135D51" w:rsidRPr="00135D51" w:rsidRDefault="00E84E97" w:rsidP="00135D51">
            <w:pPr>
              <w:spacing w:before="0" w:after="0" w:line="276" w:lineRule="auto"/>
              <w:jc w:val="left"/>
              <w:rPr>
                <w:rFonts w:eastAsia="Times New Roman" w:cs="Arial"/>
                <w:b/>
              </w:rPr>
            </w:pPr>
            <w:r w:rsidRPr="00E84E97">
              <w:rPr>
                <w:b/>
              </w:rPr>
              <w:t>Ukupan broj</w:t>
            </w:r>
          </w:p>
        </w:tc>
        <w:tc>
          <w:tcPr>
            <w:tcW w:w="1048" w:type="dxa"/>
            <w:gridSpan w:val="2"/>
            <w:tcBorders>
              <w:left w:val="nil"/>
            </w:tcBorders>
            <w:shd w:val="clear" w:color="auto" w:fill="12D9EE"/>
          </w:tcPr>
          <w:p w:rsidR="00135D51" w:rsidRPr="00135D51" w:rsidRDefault="00135D51" w:rsidP="00135D51">
            <w:pPr>
              <w:spacing w:before="0" w:after="0" w:line="276" w:lineRule="auto"/>
              <w:jc w:val="right"/>
              <w:rPr>
                <w:rFonts w:eastAsia="Times New Roman" w:cs="Arial"/>
                <w:b/>
              </w:rPr>
            </w:pPr>
          </w:p>
          <w:p w:rsidR="00135D51" w:rsidRPr="00135D51" w:rsidRDefault="00135D51" w:rsidP="00135D51">
            <w:pPr>
              <w:spacing w:before="0" w:after="0" w:line="276" w:lineRule="auto"/>
              <w:jc w:val="right"/>
              <w:rPr>
                <w:rFonts w:eastAsia="Times New Roman" w:cs="Arial"/>
                <w:b/>
              </w:rPr>
            </w:pPr>
            <w:r w:rsidRPr="00135D51">
              <w:rPr>
                <w:rFonts w:eastAsia="Times New Roman" w:cs="Arial"/>
                <w:b/>
              </w:rPr>
              <w:t>626</w:t>
            </w:r>
          </w:p>
        </w:tc>
        <w:tc>
          <w:tcPr>
            <w:tcW w:w="1018" w:type="dxa"/>
            <w:tcBorders>
              <w:right w:val="nil"/>
            </w:tcBorders>
            <w:shd w:val="clear" w:color="auto" w:fill="12D9EE"/>
          </w:tcPr>
          <w:p w:rsidR="00135D51" w:rsidRPr="00135D51" w:rsidRDefault="00135D51" w:rsidP="00135D51">
            <w:pPr>
              <w:spacing w:before="0" w:after="0" w:line="276" w:lineRule="auto"/>
              <w:jc w:val="right"/>
              <w:rPr>
                <w:rFonts w:eastAsia="Times New Roman" w:cs="Arial"/>
                <w:b/>
              </w:rPr>
            </w:pPr>
          </w:p>
          <w:p w:rsidR="00135D51" w:rsidRPr="00135D51" w:rsidRDefault="00135D51" w:rsidP="00AC0428">
            <w:pPr>
              <w:spacing w:before="0" w:after="0" w:line="276" w:lineRule="auto"/>
              <w:jc w:val="right"/>
              <w:rPr>
                <w:rFonts w:eastAsia="Times New Roman" w:cs="Arial"/>
                <w:b/>
              </w:rPr>
            </w:pPr>
            <w:r w:rsidRPr="00135D51">
              <w:rPr>
                <w:rFonts w:eastAsia="Times New Roman" w:cs="Arial"/>
                <w:b/>
              </w:rPr>
              <w:t>100</w:t>
            </w:r>
            <w:r w:rsidR="00B25B2F">
              <w:rPr>
                <w:rFonts w:eastAsia="Times New Roman" w:cs="Arial"/>
                <w:b/>
              </w:rPr>
              <w:t>,</w:t>
            </w:r>
            <w:r w:rsidRPr="00135D51">
              <w:rPr>
                <w:rFonts w:eastAsia="Times New Roman" w:cs="Arial"/>
                <w:b/>
              </w:rPr>
              <w:t>0</w:t>
            </w:r>
          </w:p>
        </w:tc>
      </w:tr>
      <w:tr w:rsidR="00135D51" w:rsidRPr="00135D51" w:rsidTr="00E84E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6" w:type="dxa"/>
          <w:trHeight w:val="255"/>
        </w:trPr>
        <w:tc>
          <w:tcPr>
            <w:tcW w:w="7462" w:type="dxa"/>
            <w:gridSpan w:val="2"/>
            <w:tcBorders>
              <w:top w:val="nil"/>
              <w:left w:val="nil"/>
              <w:bottom w:val="nil"/>
              <w:right w:val="nil"/>
            </w:tcBorders>
            <w:shd w:val="clear" w:color="auto" w:fill="auto"/>
            <w:noWrap/>
            <w:hideMark/>
          </w:tcPr>
          <w:p w:rsidR="00135D51" w:rsidRPr="00135D51" w:rsidRDefault="00135D51" w:rsidP="00135D51">
            <w:pPr>
              <w:spacing w:before="0" w:after="0" w:line="276" w:lineRule="auto"/>
              <w:jc w:val="left"/>
              <w:rPr>
                <w:rFonts w:eastAsia="Times New Roman" w:cs="Arial"/>
                <w:color w:val="000000"/>
              </w:rPr>
            </w:pPr>
          </w:p>
        </w:tc>
        <w:tc>
          <w:tcPr>
            <w:tcW w:w="1611" w:type="dxa"/>
            <w:gridSpan w:val="3"/>
            <w:tcBorders>
              <w:top w:val="nil"/>
              <w:left w:val="nil"/>
              <w:bottom w:val="nil"/>
              <w:right w:val="nil"/>
            </w:tcBorders>
            <w:shd w:val="clear" w:color="auto" w:fill="auto"/>
            <w:noWrap/>
            <w:hideMark/>
          </w:tcPr>
          <w:p w:rsidR="00135D51" w:rsidRPr="00135D51" w:rsidRDefault="00135D51" w:rsidP="00135D51">
            <w:pPr>
              <w:spacing w:before="0" w:after="0" w:line="276" w:lineRule="auto"/>
              <w:jc w:val="right"/>
              <w:rPr>
                <w:rFonts w:eastAsia="Times New Roman" w:cs="Arial"/>
                <w:color w:val="000000"/>
              </w:rPr>
            </w:pPr>
          </w:p>
        </w:tc>
      </w:tr>
    </w:tbl>
    <w:p w:rsidR="00BE0E90" w:rsidRPr="00D90821" w:rsidRDefault="00BE0E90" w:rsidP="00D90821">
      <w:pPr>
        <w:rPr>
          <w:rFonts w:cs="Arial"/>
        </w:rPr>
      </w:pPr>
    </w:p>
    <w:sectPr w:rsidR="00BE0E90" w:rsidRPr="00D90821" w:rsidSect="00135D51">
      <w:footerReference w:type="default" r:id="rId11"/>
      <w:pgSz w:w="11907" w:h="16839" w:code="9"/>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153" w:rsidRDefault="00D93153" w:rsidP="00135D51">
      <w:pPr>
        <w:spacing w:before="0" w:after="0" w:line="240" w:lineRule="auto"/>
      </w:pPr>
      <w:r>
        <w:separator/>
      </w:r>
    </w:p>
  </w:endnote>
  <w:endnote w:type="continuationSeparator" w:id="0">
    <w:p w:rsidR="00D93153" w:rsidRDefault="00D93153" w:rsidP="00135D5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Myriad Pro">
    <w:altName w:val="Arial"/>
    <w:panose1 w:val="00000000000000000000"/>
    <w:charset w:val="00"/>
    <w:family w:val="swiss"/>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14A" w:rsidRPr="00135D51" w:rsidRDefault="0011214A" w:rsidP="00135D51">
    <w:pPr>
      <w:pStyle w:val="Footer"/>
      <w:jc w:val="center"/>
      <w:rPr>
        <w:rFonts w:ascii="Arial" w:hAnsi="Arial" w:cs="Arial"/>
      </w:rPr>
    </w:pPr>
    <w:r w:rsidRPr="00135D51">
      <w:rPr>
        <w:rFonts w:ascii="Arial" w:hAnsi="Arial" w:cs="Arial"/>
      </w:rPr>
      <w:fldChar w:fldCharType="begin"/>
    </w:r>
    <w:r w:rsidRPr="00135D51">
      <w:rPr>
        <w:rFonts w:ascii="Arial" w:hAnsi="Arial" w:cs="Arial"/>
      </w:rPr>
      <w:instrText xml:space="preserve"> PAGE   \* MERGEFORMAT </w:instrText>
    </w:r>
    <w:r w:rsidRPr="00135D51">
      <w:rPr>
        <w:rFonts w:ascii="Arial" w:hAnsi="Arial" w:cs="Arial"/>
      </w:rPr>
      <w:fldChar w:fldCharType="separate"/>
    </w:r>
    <w:r w:rsidR="00CD68AF">
      <w:rPr>
        <w:rFonts w:ascii="Arial" w:hAnsi="Arial" w:cs="Arial"/>
        <w:noProof/>
      </w:rPr>
      <w:t>4</w:t>
    </w:r>
    <w:r w:rsidRPr="00135D51">
      <w:rPr>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153" w:rsidRDefault="00D93153" w:rsidP="00135D51">
      <w:pPr>
        <w:spacing w:before="0" w:after="0" w:line="240" w:lineRule="auto"/>
      </w:pPr>
      <w:r>
        <w:separator/>
      </w:r>
    </w:p>
  </w:footnote>
  <w:footnote w:type="continuationSeparator" w:id="0">
    <w:p w:rsidR="00D93153" w:rsidRDefault="00D93153" w:rsidP="00135D51">
      <w:pPr>
        <w:spacing w:before="0" w:after="0" w:line="240" w:lineRule="auto"/>
      </w:pPr>
      <w:r>
        <w:continuationSeparator/>
      </w:r>
    </w:p>
  </w:footnote>
  <w:footnote w:id="1">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broj</w:t>
      </w:r>
      <w:r w:rsidRPr="00865E4B">
        <w:rPr>
          <w:rFonts w:ascii="Arial" w:hAnsi="Arial" w:cs="Arial"/>
          <w:sz w:val="16"/>
        </w:rPr>
        <w:t xml:space="preserve"> 103/15</w:t>
      </w:r>
      <w:r>
        <w:rPr>
          <w:rFonts w:ascii="Arial" w:hAnsi="Arial" w:cs="Arial"/>
          <w:sz w:val="16"/>
        </w:rPr>
        <w:t>.</w:t>
      </w:r>
    </w:p>
  </w:footnote>
  <w:footnote w:id="2">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broj</w:t>
      </w:r>
      <w:r w:rsidRPr="00865E4B">
        <w:rPr>
          <w:rFonts w:ascii="Arial" w:hAnsi="Arial" w:cs="Arial"/>
          <w:sz w:val="16"/>
        </w:rPr>
        <w:t xml:space="preserve"> </w:t>
      </w:r>
      <w:r w:rsidRPr="00BD30AC">
        <w:rPr>
          <w:rFonts w:ascii="Arial" w:hAnsi="Arial" w:cs="Arial"/>
          <w:sz w:val="16"/>
          <w:szCs w:val="16"/>
        </w:rPr>
        <w:t>94/16</w:t>
      </w:r>
      <w:r>
        <w:rPr>
          <w:rFonts w:ascii="Arial" w:hAnsi="Arial" w:cs="Arial"/>
          <w:sz w:val="16"/>
          <w:szCs w:val="16"/>
        </w:rPr>
        <w:t>.</w:t>
      </w:r>
    </w:p>
  </w:footnote>
  <w:footnote w:id="3">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BD30AC">
        <w:rPr>
          <w:rFonts w:ascii="Arial" w:hAnsi="Arial" w:cs="Arial"/>
          <w:sz w:val="16"/>
          <w:szCs w:val="16"/>
        </w:rPr>
        <w:t>94/16</w:t>
      </w:r>
      <w:r>
        <w:rPr>
          <w:rFonts w:ascii="Arial" w:hAnsi="Arial" w:cs="Arial"/>
          <w:sz w:val="16"/>
          <w:szCs w:val="16"/>
        </w:rPr>
        <w:t>.</w:t>
      </w:r>
    </w:p>
  </w:footnote>
  <w:footnote w:id="4">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F00BA6">
        <w:rPr>
          <w:rFonts w:ascii="Arial" w:hAnsi="Arial" w:cs="Arial"/>
          <w:sz w:val="16"/>
          <w:szCs w:val="16"/>
        </w:rPr>
        <w:t>21/16</w:t>
      </w:r>
    </w:p>
  </w:footnote>
  <w:footnote w:id="5">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8E2BF7">
        <w:rPr>
          <w:rFonts w:ascii="Arial" w:hAnsi="Arial" w:cs="Arial"/>
          <w:sz w:val="16"/>
          <w:szCs w:val="16"/>
        </w:rPr>
        <w:t>4/16</w:t>
      </w:r>
      <w:r>
        <w:rPr>
          <w:rFonts w:ascii="Arial" w:hAnsi="Arial" w:cs="Arial"/>
          <w:sz w:val="16"/>
          <w:szCs w:val="16"/>
        </w:rPr>
        <w:t>.</w:t>
      </w:r>
    </w:p>
  </w:footnote>
  <w:footnote w:id="6">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8E2BF7">
        <w:rPr>
          <w:rFonts w:ascii="Arial" w:hAnsi="Arial" w:cs="Arial"/>
          <w:sz w:val="16"/>
          <w:szCs w:val="16"/>
        </w:rPr>
        <w:t>26/16</w:t>
      </w:r>
      <w:r>
        <w:rPr>
          <w:rFonts w:ascii="Arial" w:hAnsi="Arial" w:cs="Arial"/>
          <w:sz w:val="16"/>
          <w:szCs w:val="16"/>
        </w:rPr>
        <w:t>.</w:t>
      </w:r>
    </w:p>
  </w:footnote>
  <w:footnote w:id="7">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8E2BF7">
        <w:rPr>
          <w:rFonts w:ascii="Arial" w:hAnsi="Arial" w:cs="Arial"/>
          <w:sz w:val="16"/>
          <w:szCs w:val="16"/>
        </w:rPr>
        <w:t>12/16</w:t>
      </w:r>
      <w:r>
        <w:rPr>
          <w:rFonts w:ascii="Arial" w:hAnsi="Arial" w:cs="Arial"/>
          <w:sz w:val="16"/>
          <w:szCs w:val="16"/>
          <w:lang w:val="sr-Latn-RS"/>
        </w:rPr>
        <w:t>.</w:t>
      </w:r>
    </w:p>
  </w:footnote>
  <w:footnote w:id="8">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8E2BF7">
        <w:rPr>
          <w:rFonts w:ascii="Arial" w:hAnsi="Arial" w:cs="Arial"/>
          <w:sz w:val="16"/>
          <w:szCs w:val="16"/>
        </w:rPr>
        <w:t>42/16</w:t>
      </w:r>
      <w:r>
        <w:rPr>
          <w:rFonts w:ascii="Arial" w:hAnsi="Arial" w:cs="Arial"/>
          <w:sz w:val="16"/>
          <w:szCs w:val="16"/>
        </w:rPr>
        <w:t>.</w:t>
      </w:r>
    </w:p>
  </w:footnote>
  <w:footnote w:id="9">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Pr>
          <w:rFonts w:ascii="Arial" w:hAnsi="Arial" w:cs="Arial"/>
          <w:sz w:val="16"/>
          <w:szCs w:val="16"/>
          <w:lang w:val="sr-Latn-RS"/>
        </w:rPr>
        <w:t>22</w:t>
      </w:r>
      <w:r w:rsidRPr="00BD30AC">
        <w:rPr>
          <w:rFonts w:ascii="Arial" w:hAnsi="Arial" w:cs="Arial"/>
          <w:sz w:val="16"/>
          <w:szCs w:val="16"/>
        </w:rPr>
        <w:t>/16</w:t>
      </w:r>
      <w:r>
        <w:rPr>
          <w:rFonts w:ascii="Arial" w:hAnsi="Arial" w:cs="Arial"/>
          <w:sz w:val="16"/>
          <w:szCs w:val="16"/>
        </w:rPr>
        <w:t>.</w:t>
      </w:r>
    </w:p>
  </w:footnote>
  <w:footnote w:id="10">
    <w:p w:rsidR="0011214A" w:rsidRPr="005C5DC2" w:rsidRDefault="0011214A">
      <w:pPr>
        <w:pStyle w:val="FootnoteText"/>
        <w:rPr>
          <w:lang w:val="sr-Latn-RS"/>
        </w:rPr>
      </w:pPr>
      <w:r>
        <w:rPr>
          <w:rStyle w:val="FootnoteReference"/>
        </w:rPr>
        <w:footnoteRef/>
      </w:r>
      <w:r>
        <w:t xml:space="preserve"> </w:t>
      </w:r>
      <w:r>
        <w:rPr>
          <w:rFonts w:ascii="Arial" w:hAnsi="Arial" w:cs="Arial"/>
          <w:sz w:val="16"/>
        </w:rPr>
        <w:t>„</w:t>
      </w:r>
      <w:r>
        <w:rPr>
          <w:rFonts w:ascii="Arial" w:hAnsi="Arial" w:cs="Arial"/>
          <w:sz w:val="16"/>
          <w:lang w:val="sr-Latn-RS"/>
        </w:rPr>
        <w:t>Službeni glasnik RS</w:t>
      </w:r>
      <w:r>
        <w:rPr>
          <w:rFonts w:ascii="Arial" w:hAnsi="Arial" w:cs="Arial"/>
          <w:sz w:val="16"/>
        </w:rPr>
        <w:t xml:space="preserve">", </w:t>
      </w:r>
      <w:r>
        <w:rPr>
          <w:rFonts w:ascii="Arial" w:hAnsi="Arial" w:cs="Arial"/>
          <w:sz w:val="16"/>
          <w:lang w:val="sr-Latn-RS"/>
        </w:rPr>
        <w:t xml:space="preserve">broj </w:t>
      </w:r>
      <w:r w:rsidRPr="008E2BF7">
        <w:rPr>
          <w:rFonts w:ascii="Arial" w:hAnsi="Arial" w:cs="Arial"/>
          <w:sz w:val="16"/>
          <w:szCs w:val="16"/>
        </w:rPr>
        <w:t>75/16</w:t>
      </w:r>
      <w:r>
        <w:rPr>
          <w:rFonts w:ascii="Arial" w:hAnsi="Arial" w:cs="Arial"/>
          <w:sz w:val="16"/>
          <w:szCs w:val="16"/>
        </w:rPr>
        <w:t>.</w:t>
      </w:r>
    </w:p>
  </w:footnote>
  <w:footnote w:id="11">
    <w:p w:rsidR="0011214A" w:rsidRPr="00B67B6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w:t>
      </w:r>
      <w:r w:rsidRPr="00EC3BDF">
        <w:rPr>
          <w:rFonts w:ascii="Arial" w:hAnsi="Arial" w:cs="Arial"/>
          <w:sz w:val="16"/>
          <w:szCs w:val="16"/>
        </w:rPr>
        <w:t xml:space="preserve"> 22/09</w:t>
      </w:r>
      <w:r>
        <w:rPr>
          <w:rFonts w:ascii="Arial" w:hAnsi="Arial" w:cs="Arial"/>
          <w:sz w:val="16"/>
          <w:szCs w:val="16"/>
        </w:rPr>
        <w:t>.</w:t>
      </w:r>
    </w:p>
  </w:footnote>
  <w:footnote w:id="12">
    <w:p w:rsidR="0011214A" w:rsidRPr="000B6D58" w:rsidRDefault="0011214A">
      <w:pPr>
        <w:pStyle w:val="FootnoteText"/>
        <w:rPr>
          <w:lang w:val="sr-Latn-RS"/>
        </w:rPr>
      </w:pPr>
      <w:r>
        <w:rPr>
          <w:rStyle w:val="FootnoteReference"/>
        </w:rPr>
        <w:footnoteRef/>
      </w:r>
      <w:r>
        <w:t xml:space="preserve"> </w:t>
      </w:r>
      <w:r>
        <w:rPr>
          <w:rFonts w:ascii="Arial" w:hAnsi="Arial" w:cs="Arial"/>
          <w:i/>
          <w:sz w:val="16"/>
          <w:lang w:val="sr-Latn-RS"/>
        </w:rPr>
        <w:t>Strategije razvoja institucije Poverenika za zaštitu ravnopravnosti</w:t>
      </w:r>
      <w:r w:rsidRPr="00672FAF">
        <w:rPr>
          <w:rFonts w:ascii="Arial" w:hAnsi="Arial" w:cs="Arial"/>
          <w:i/>
          <w:sz w:val="16"/>
        </w:rPr>
        <w:t xml:space="preserve"> (2012–2015).</w:t>
      </w:r>
    </w:p>
  </w:footnote>
  <w:footnote w:id="13">
    <w:p w:rsidR="0011214A" w:rsidRPr="00435BB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w:t>
      </w:r>
      <w:r w:rsidRPr="00EC3BDF">
        <w:rPr>
          <w:rFonts w:ascii="Arial" w:hAnsi="Arial" w:cs="Arial"/>
          <w:sz w:val="16"/>
          <w:szCs w:val="16"/>
        </w:rPr>
        <w:t xml:space="preserve"> 98/06</w:t>
      </w:r>
      <w:r>
        <w:rPr>
          <w:rFonts w:ascii="Arial" w:hAnsi="Arial" w:cs="Arial"/>
          <w:sz w:val="16"/>
          <w:szCs w:val="16"/>
        </w:rPr>
        <w:t>.</w:t>
      </w:r>
    </w:p>
  </w:footnote>
  <w:footnote w:id="14">
    <w:p w:rsidR="0011214A" w:rsidRPr="00435BB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w:t>
      </w:r>
      <w:r w:rsidRPr="00EC3BDF">
        <w:rPr>
          <w:rFonts w:ascii="Arial" w:hAnsi="Arial" w:cs="Arial"/>
          <w:sz w:val="16"/>
          <w:szCs w:val="16"/>
        </w:rPr>
        <w:t xml:space="preserve"> 22/09</w:t>
      </w:r>
      <w:r>
        <w:rPr>
          <w:rFonts w:ascii="Arial" w:hAnsi="Arial" w:cs="Arial"/>
          <w:sz w:val="16"/>
          <w:szCs w:val="16"/>
        </w:rPr>
        <w:t>.</w:t>
      </w:r>
    </w:p>
  </w:footnote>
  <w:footnote w:id="15">
    <w:p w:rsidR="0011214A" w:rsidRPr="00435BB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list SRJ</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11/02, „</w:t>
      </w:r>
      <w:r>
        <w:rPr>
          <w:rFonts w:ascii="Arial" w:hAnsi="Arial" w:cs="Arial"/>
          <w:sz w:val="16"/>
          <w:szCs w:val="16"/>
          <w:lang w:val="sr-Latn-RS"/>
        </w:rPr>
        <w:t>Službeni list SCG</w:t>
      </w:r>
      <w:r>
        <w:rPr>
          <w:rFonts w:ascii="Arial" w:hAnsi="Arial" w:cs="Arial"/>
          <w:sz w:val="16"/>
          <w:szCs w:val="16"/>
        </w:rPr>
        <w:t xml:space="preserve">”, </w:t>
      </w:r>
      <w:r>
        <w:rPr>
          <w:rFonts w:ascii="Arial" w:hAnsi="Arial" w:cs="Arial"/>
          <w:sz w:val="16"/>
          <w:szCs w:val="16"/>
          <w:lang w:val="sr-Latn-RS"/>
        </w:rPr>
        <w:t>broj</w:t>
      </w:r>
      <w:r>
        <w:rPr>
          <w:rFonts w:ascii="Arial" w:hAnsi="Arial" w:cs="Arial"/>
          <w:sz w:val="16"/>
          <w:szCs w:val="16"/>
        </w:rPr>
        <w:t xml:space="preserve"> </w:t>
      </w:r>
      <w:r w:rsidRPr="00EC3BDF">
        <w:rPr>
          <w:rFonts w:ascii="Arial" w:hAnsi="Arial" w:cs="Arial"/>
          <w:sz w:val="16"/>
          <w:szCs w:val="16"/>
        </w:rPr>
        <w:t xml:space="preserve">1/03 </w:t>
      </w:r>
      <w:r>
        <w:rPr>
          <w:rFonts w:ascii="Arial" w:hAnsi="Arial" w:cs="Arial"/>
          <w:sz w:val="16"/>
          <w:szCs w:val="16"/>
        </w:rPr>
        <w:t xml:space="preserve">– </w:t>
      </w:r>
      <w:r>
        <w:rPr>
          <w:rFonts w:ascii="Arial" w:hAnsi="Arial" w:cs="Arial"/>
          <w:sz w:val="16"/>
          <w:szCs w:val="16"/>
          <w:lang w:val="sr-Latn-RS"/>
        </w:rPr>
        <w:t xml:space="preserve">Ustavna  povelja i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w:t>
      </w:r>
      <w:r w:rsidRPr="00EC3BDF">
        <w:rPr>
          <w:rFonts w:ascii="Arial" w:hAnsi="Arial" w:cs="Arial"/>
          <w:sz w:val="16"/>
          <w:szCs w:val="16"/>
        </w:rPr>
        <w:t xml:space="preserve"> 72/09 </w:t>
      </w:r>
      <w:r>
        <w:rPr>
          <w:rFonts w:ascii="Arial" w:hAnsi="Arial" w:cs="Arial"/>
          <w:sz w:val="16"/>
          <w:szCs w:val="16"/>
        </w:rPr>
        <w:t xml:space="preserve">– </w:t>
      </w:r>
      <w:r>
        <w:rPr>
          <w:rFonts w:ascii="Arial" w:hAnsi="Arial" w:cs="Arial"/>
          <w:sz w:val="16"/>
          <w:szCs w:val="16"/>
          <w:lang w:val="sr-Latn-RS"/>
        </w:rPr>
        <w:t>dr</w:t>
      </w:r>
      <w:r>
        <w:rPr>
          <w:rFonts w:ascii="Arial" w:hAnsi="Arial" w:cs="Arial"/>
          <w:sz w:val="16"/>
          <w:szCs w:val="16"/>
        </w:rPr>
        <w:t xml:space="preserve">. </w:t>
      </w:r>
      <w:r>
        <w:rPr>
          <w:rFonts w:ascii="Arial" w:hAnsi="Arial" w:cs="Arial"/>
          <w:sz w:val="16"/>
          <w:szCs w:val="16"/>
          <w:lang w:val="sr-Latn-RS"/>
        </w:rPr>
        <w:t>Zakon i</w:t>
      </w:r>
      <w:r w:rsidRPr="00EC3BDF">
        <w:rPr>
          <w:rFonts w:ascii="Arial" w:hAnsi="Arial" w:cs="Arial"/>
          <w:sz w:val="16"/>
          <w:szCs w:val="16"/>
        </w:rPr>
        <w:t xml:space="preserve"> 97/13</w:t>
      </w:r>
      <w:r>
        <w:rPr>
          <w:rFonts w:ascii="Arial" w:hAnsi="Arial" w:cs="Arial"/>
          <w:sz w:val="16"/>
          <w:szCs w:val="16"/>
        </w:rPr>
        <w:t xml:space="preserve"> – </w:t>
      </w:r>
      <w:r>
        <w:rPr>
          <w:rFonts w:ascii="Arial" w:hAnsi="Arial" w:cs="Arial"/>
          <w:sz w:val="16"/>
          <w:szCs w:val="16"/>
          <w:lang w:val="sr-Latn-RS"/>
        </w:rPr>
        <w:t>US</w:t>
      </w:r>
      <w:r>
        <w:rPr>
          <w:rFonts w:ascii="Arial" w:hAnsi="Arial" w:cs="Arial"/>
          <w:sz w:val="16"/>
          <w:szCs w:val="16"/>
        </w:rPr>
        <w:t>.</w:t>
      </w:r>
    </w:p>
  </w:footnote>
  <w:footnote w:id="16">
    <w:p w:rsidR="0011214A" w:rsidRPr="00435BB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w:t>
      </w:r>
      <w:r w:rsidRPr="00EC3BDF">
        <w:rPr>
          <w:rFonts w:ascii="Arial" w:hAnsi="Arial" w:cs="Arial"/>
          <w:sz w:val="16"/>
          <w:szCs w:val="16"/>
        </w:rPr>
        <w:t xml:space="preserve"> 33/06 и 13/16</w:t>
      </w:r>
      <w:r>
        <w:rPr>
          <w:rFonts w:ascii="Arial" w:hAnsi="Arial" w:cs="Arial"/>
          <w:sz w:val="16"/>
          <w:szCs w:val="16"/>
        </w:rPr>
        <w:t>.</w:t>
      </w:r>
    </w:p>
  </w:footnote>
  <w:footnote w:id="17">
    <w:p w:rsidR="0011214A" w:rsidRPr="00435BB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w:t>
      </w:r>
      <w:r w:rsidRPr="00EC3BDF">
        <w:rPr>
          <w:rFonts w:ascii="Arial" w:hAnsi="Arial" w:cs="Arial"/>
          <w:sz w:val="16"/>
          <w:szCs w:val="16"/>
        </w:rPr>
        <w:t xml:space="preserve"> 104/09</w:t>
      </w:r>
      <w:r>
        <w:rPr>
          <w:rFonts w:ascii="Arial" w:hAnsi="Arial" w:cs="Arial"/>
          <w:sz w:val="16"/>
          <w:szCs w:val="16"/>
        </w:rPr>
        <w:t>.</w:t>
      </w:r>
    </w:p>
  </w:footnote>
  <w:footnote w:id="18">
    <w:p w:rsidR="0011214A" w:rsidRPr="00D95BB2"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24/05, 61/05, 54/09, 32/13 и 75/14</w:t>
      </w:r>
      <w:r>
        <w:rPr>
          <w:rFonts w:ascii="Arial" w:hAnsi="Arial" w:cs="Arial"/>
          <w:sz w:val="16"/>
          <w:szCs w:val="16"/>
        </w:rPr>
        <w:t>.</w:t>
      </w:r>
    </w:p>
  </w:footnote>
  <w:footnote w:id="19">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36/09 и 32/13</w:t>
      </w:r>
      <w:r>
        <w:rPr>
          <w:rFonts w:ascii="Arial" w:hAnsi="Arial" w:cs="Arial"/>
          <w:sz w:val="16"/>
          <w:szCs w:val="16"/>
        </w:rPr>
        <w:t>.</w:t>
      </w:r>
      <w:r>
        <w:rPr>
          <w:rFonts w:ascii="Arial" w:hAnsi="Arial" w:cs="Arial"/>
          <w:sz w:val="16"/>
          <w:szCs w:val="16"/>
          <w:lang w:val="sr-Latn-RS"/>
        </w:rPr>
        <w:t xml:space="preserve"> </w:t>
      </w:r>
    </w:p>
  </w:footnote>
  <w:footnote w:id="20">
    <w:p w:rsidR="0011214A" w:rsidRPr="003867CD" w:rsidRDefault="0011214A" w:rsidP="003867CD">
      <w:pPr>
        <w:pStyle w:val="NoSpacing"/>
        <w:spacing w:line="276" w:lineRule="auto"/>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C7619C">
        <w:rPr>
          <w:rFonts w:ascii="Arial" w:hAnsi="Arial" w:cs="Arial"/>
          <w:sz w:val="16"/>
          <w:szCs w:val="16"/>
        </w:rPr>
        <w:t>107/05, 72/09</w:t>
      </w:r>
      <w:r>
        <w:rPr>
          <w:rFonts w:ascii="Arial" w:hAnsi="Arial" w:cs="Arial"/>
          <w:sz w:val="16"/>
          <w:szCs w:val="16"/>
          <w:lang w:val="sr-Cyrl-CS"/>
        </w:rPr>
        <w:t xml:space="preserve"> – </w:t>
      </w:r>
      <w:r>
        <w:rPr>
          <w:rFonts w:ascii="Arial" w:hAnsi="Arial" w:cs="Arial"/>
          <w:sz w:val="16"/>
          <w:szCs w:val="16"/>
          <w:lang w:val="sr-Latn-RS"/>
        </w:rPr>
        <w:t>dr</w:t>
      </w:r>
      <w:r w:rsidRPr="00C7619C">
        <w:rPr>
          <w:rFonts w:ascii="Arial" w:hAnsi="Arial" w:cs="Arial"/>
          <w:sz w:val="16"/>
          <w:szCs w:val="16"/>
        </w:rPr>
        <w:t xml:space="preserve">. </w:t>
      </w:r>
      <w:r>
        <w:rPr>
          <w:rFonts w:ascii="Arial" w:hAnsi="Arial" w:cs="Arial"/>
          <w:sz w:val="16"/>
          <w:szCs w:val="16"/>
        </w:rPr>
        <w:t>zakon</w:t>
      </w:r>
      <w:r w:rsidRPr="00C7619C">
        <w:rPr>
          <w:rFonts w:ascii="Arial" w:hAnsi="Arial" w:cs="Arial"/>
          <w:sz w:val="16"/>
          <w:szCs w:val="16"/>
        </w:rPr>
        <w:t xml:space="preserve">, 88/10, 99/10, 57/11, 119/12, 45/13 </w:t>
      </w:r>
      <w:r>
        <w:rPr>
          <w:rFonts w:ascii="Arial" w:hAnsi="Arial" w:cs="Arial"/>
          <w:sz w:val="16"/>
          <w:szCs w:val="16"/>
          <w:lang w:val="sr-Cyrl-CS"/>
        </w:rPr>
        <w:t>–</w:t>
      </w:r>
      <w:r w:rsidRPr="00C7619C">
        <w:rPr>
          <w:rFonts w:ascii="Arial" w:hAnsi="Arial" w:cs="Arial"/>
          <w:sz w:val="16"/>
          <w:szCs w:val="16"/>
        </w:rPr>
        <w:t xml:space="preserve"> </w:t>
      </w:r>
      <w:r>
        <w:rPr>
          <w:rFonts w:ascii="Arial" w:hAnsi="Arial" w:cs="Arial"/>
          <w:sz w:val="16"/>
          <w:szCs w:val="16"/>
          <w:lang w:val="sr-Latn-RS"/>
        </w:rPr>
        <w:t>dr</w:t>
      </w:r>
      <w:r w:rsidRPr="00C7619C">
        <w:rPr>
          <w:rFonts w:ascii="Arial" w:hAnsi="Arial" w:cs="Arial"/>
          <w:sz w:val="16"/>
          <w:szCs w:val="16"/>
        </w:rPr>
        <w:t xml:space="preserve">. </w:t>
      </w:r>
      <w:r>
        <w:rPr>
          <w:rFonts w:ascii="Arial" w:hAnsi="Arial" w:cs="Arial"/>
          <w:sz w:val="16"/>
          <w:szCs w:val="16"/>
        </w:rPr>
        <w:t>zakon</w:t>
      </w:r>
      <w:r w:rsidRPr="00C7619C">
        <w:rPr>
          <w:rFonts w:ascii="Arial" w:hAnsi="Arial" w:cs="Arial"/>
          <w:sz w:val="16"/>
          <w:szCs w:val="16"/>
        </w:rPr>
        <w:t>, 93/14, 96/15 и 106/15</w:t>
      </w:r>
      <w:r>
        <w:rPr>
          <w:rFonts w:ascii="Arial" w:hAnsi="Arial" w:cs="Arial"/>
          <w:sz w:val="16"/>
          <w:szCs w:val="16"/>
          <w:lang w:val="sr-Cyrl-CS"/>
        </w:rPr>
        <w:t>.</w:t>
      </w:r>
    </w:p>
  </w:footnote>
  <w:footnote w:id="21">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Pr>
          <w:rFonts w:ascii="Arial" w:hAnsi="Arial" w:cs="Arial"/>
          <w:sz w:val="16"/>
          <w:szCs w:val="16"/>
        </w:rPr>
        <w:t>72/09, 52</w:t>
      </w:r>
      <w:r w:rsidRPr="00EC3BDF">
        <w:rPr>
          <w:rFonts w:ascii="Arial" w:hAnsi="Arial" w:cs="Arial"/>
          <w:sz w:val="16"/>
          <w:szCs w:val="16"/>
        </w:rPr>
        <w:t>/11, 55/13, 35/15, 68/15 и 68/16</w:t>
      </w:r>
      <w:r>
        <w:rPr>
          <w:rFonts w:ascii="Arial" w:hAnsi="Arial" w:cs="Arial"/>
          <w:sz w:val="16"/>
          <w:szCs w:val="16"/>
        </w:rPr>
        <w:t xml:space="preserve"> – </w:t>
      </w:r>
      <w:r>
        <w:rPr>
          <w:rFonts w:ascii="Arial" w:hAnsi="Arial" w:cs="Arial"/>
          <w:sz w:val="16"/>
          <w:szCs w:val="16"/>
          <w:lang w:val="sr-Latn-RS"/>
        </w:rPr>
        <w:t>US</w:t>
      </w:r>
      <w:r>
        <w:rPr>
          <w:rFonts w:ascii="Arial" w:hAnsi="Arial" w:cs="Arial"/>
          <w:sz w:val="16"/>
          <w:szCs w:val="16"/>
        </w:rPr>
        <w:t>.</w:t>
      </w:r>
    </w:p>
  </w:footnote>
  <w:footnote w:id="22">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55/13</w:t>
      </w:r>
      <w:r>
        <w:rPr>
          <w:rFonts w:ascii="Arial" w:hAnsi="Arial" w:cs="Arial"/>
          <w:sz w:val="16"/>
          <w:szCs w:val="16"/>
        </w:rPr>
        <w:t>.</w:t>
      </w:r>
    </w:p>
  </w:footnote>
  <w:footnote w:id="23">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55/13</w:t>
      </w:r>
      <w:r>
        <w:rPr>
          <w:rFonts w:ascii="Arial" w:hAnsi="Arial" w:cs="Arial"/>
          <w:sz w:val="16"/>
          <w:szCs w:val="16"/>
        </w:rPr>
        <w:t>.</w:t>
      </w:r>
    </w:p>
  </w:footnote>
  <w:footnote w:id="24">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36/06</w:t>
      </w:r>
      <w:r>
        <w:rPr>
          <w:rFonts w:ascii="Arial" w:hAnsi="Arial" w:cs="Arial"/>
          <w:sz w:val="16"/>
          <w:szCs w:val="16"/>
        </w:rPr>
        <w:t>.</w:t>
      </w:r>
    </w:p>
  </w:footnote>
  <w:footnote w:id="25">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45/13</w:t>
      </w:r>
      <w:r>
        <w:rPr>
          <w:rFonts w:ascii="Arial" w:hAnsi="Arial" w:cs="Arial"/>
          <w:sz w:val="16"/>
          <w:szCs w:val="16"/>
        </w:rPr>
        <w:t>.</w:t>
      </w:r>
    </w:p>
  </w:footnote>
  <w:footnote w:id="26">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45/13</w:t>
      </w:r>
      <w:r>
        <w:rPr>
          <w:rFonts w:ascii="Arial" w:hAnsi="Arial" w:cs="Arial"/>
          <w:sz w:val="16"/>
          <w:szCs w:val="16"/>
        </w:rPr>
        <w:t>.</w:t>
      </w:r>
    </w:p>
  </w:footnote>
  <w:footnote w:id="27">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29/15</w:t>
      </w:r>
      <w:r>
        <w:rPr>
          <w:rFonts w:ascii="Arial" w:hAnsi="Arial" w:cs="Arial"/>
          <w:sz w:val="16"/>
          <w:szCs w:val="16"/>
        </w:rPr>
        <w:t>.</w:t>
      </w:r>
    </w:p>
  </w:footnote>
  <w:footnote w:id="28">
    <w:p w:rsidR="0011214A" w:rsidRPr="003867CD"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38/15</w:t>
      </w:r>
      <w:r>
        <w:rPr>
          <w:rFonts w:ascii="Arial" w:hAnsi="Arial" w:cs="Arial"/>
          <w:sz w:val="16"/>
          <w:szCs w:val="16"/>
        </w:rPr>
        <w:t>.</w:t>
      </w:r>
    </w:p>
  </w:footnote>
  <w:footnote w:id="29">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85/05, 88/05</w:t>
      </w:r>
      <w:r>
        <w:rPr>
          <w:rFonts w:ascii="Arial" w:hAnsi="Arial" w:cs="Arial"/>
          <w:sz w:val="16"/>
          <w:szCs w:val="16"/>
        </w:rPr>
        <w:t xml:space="preserve"> –  </w:t>
      </w:r>
      <w:r>
        <w:rPr>
          <w:rFonts w:ascii="Arial" w:hAnsi="Arial" w:cs="Arial"/>
          <w:sz w:val="16"/>
          <w:szCs w:val="16"/>
          <w:lang w:val="sr-Latn-RS"/>
        </w:rPr>
        <w:t>ispravka</w:t>
      </w:r>
      <w:r w:rsidRPr="00EC3BDF">
        <w:rPr>
          <w:rFonts w:ascii="Arial" w:hAnsi="Arial" w:cs="Arial"/>
          <w:sz w:val="16"/>
          <w:szCs w:val="16"/>
        </w:rPr>
        <w:t>, 107/05</w:t>
      </w:r>
      <w:r>
        <w:rPr>
          <w:rFonts w:ascii="Arial" w:hAnsi="Arial" w:cs="Arial"/>
          <w:sz w:val="16"/>
          <w:szCs w:val="16"/>
        </w:rPr>
        <w:t xml:space="preserve"> – </w:t>
      </w:r>
      <w:r>
        <w:rPr>
          <w:rFonts w:ascii="Arial" w:hAnsi="Arial" w:cs="Arial"/>
          <w:sz w:val="16"/>
          <w:szCs w:val="16"/>
          <w:lang w:val="sr-Latn-RS"/>
        </w:rPr>
        <w:t>ispravka</w:t>
      </w:r>
      <w:r w:rsidRPr="00EC3BDF">
        <w:rPr>
          <w:rFonts w:ascii="Arial" w:hAnsi="Arial" w:cs="Arial"/>
          <w:sz w:val="16"/>
          <w:szCs w:val="16"/>
        </w:rPr>
        <w:t>, 72/09, 111/09, 121/12, 104/13, 108/14</w:t>
      </w:r>
      <w:r>
        <w:rPr>
          <w:rFonts w:ascii="Arial" w:hAnsi="Arial" w:cs="Arial"/>
          <w:sz w:val="16"/>
          <w:szCs w:val="16"/>
        </w:rPr>
        <w:t xml:space="preserve"> </w:t>
      </w:r>
      <w:r>
        <w:rPr>
          <w:rFonts w:ascii="Arial" w:hAnsi="Arial" w:cs="Arial"/>
          <w:sz w:val="16"/>
          <w:szCs w:val="16"/>
          <w:lang w:val="sr-Latn-RS"/>
        </w:rPr>
        <w:t>i</w:t>
      </w:r>
      <w:r w:rsidRPr="00EC3BDF">
        <w:rPr>
          <w:rFonts w:ascii="Arial" w:hAnsi="Arial" w:cs="Arial"/>
          <w:sz w:val="16"/>
          <w:szCs w:val="16"/>
        </w:rPr>
        <w:t xml:space="preserve"> 94/16</w:t>
      </w:r>
      <w:r>
        <w:rPr>
          <w:rFonts w:ascii="Arial" w:hAnsi="Arial" w:cs="Arial"/>
          <w:sz w:val="16"/>
          <w:szCs w:val="16"/>
        </w:rPr>
        <w:t>.</w:t>
      </w:r>
    </w:p>
  </w:footnote>
  <w:footnote w:id="30">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1</w:t>
      </w:r>
      <w:r>
        <w:rPr>
          <w:rFonts w:ascii="Arial" w:hAnsi="Arial" w:cs="Arial"/>
          <w:sz w:val="16"/>
          <w:szCs w:val="16"/>
        </w:rPr>
        <w:t>0</w:t>
      </w:r>
      <w:r w:rsidRPr="00EC3BDF">
        <w:rPr>
          <w:rFonts w:ascii="Arial" w:hAnsi="Arial" w:cs="Arial"/>
          <w:sz w:val="16"/>
          <w:szCs w:val="16"/>
        </w:rPr>
        <w:t>8/05</w:t>
      </w:r>
      <w:r>
        <w:rPr>
          <w:rFonts w:ascii="Arial" w:hAnsi="Arial" w:cs="Arial"/>
          <w:sz w:val="16"/>
          <w:szCs w:val="16"/>
        </w:rPr>
        <w:t>.</w:t>
      </w:r>
    </w:p>
  </w:footnote>
  <w:footnote w:id="31">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76/06</w:t>
      </w:r>
      <w:r>
        <w:rPr>
          <w:rFonts w:ascii="Arial" w:hAnsi="Arial" w:cs="Arial"/>
          <w:sz w:val="16"/>
          <w:szCs w:val="16"/>
        </w:rPr>
        <w:t>.</w:t>
      </w:r>
    </w:p>
  </w:footnote>
  <w:footnote w:id="32">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15/09</w:t>
      </w:r>
      <w:r>
        <w:rPr>
          <w:rFonts w:ascii="Arial" w:hAnsi="Arial" w:cs="Arial"/>
          <w:sz w:val="16"/>
          <w:szCs w:val="16"/>
        </w:rPr>
        <w:t>.</w:t>
      </w:r>
    </w:p>
  </w:footnote>
  <w:footnote w:id="33">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15/09</w:t>
      </w:r>
      <w:r>
        <w:rPr>
          <w:rFonts w:ascii="Arial" w:hAnsi="Arial" w:cs="Arial"/>
          <w:sz w:val="16"/>
          <w:szCs w:val="16"/>
        </w:rPr>
        <w:t>.</w:t>
      </w:r>
    </w:p>
  </w:footnote>
  <w:footnote w:id="34">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27/09</w:t>
      </w:r>
      <w:r>
        <w:rPr>
          <w:rFonts w:ascii="Arial" w:hAnsi="Arial" w:cs="Arial"/>
          <w:sz w:val="16"/>
          <w:szCs w:val="16"/>
        </w:rPr>
        <w:t>.</w:t>
      </w:r>
    </w:p>
  </w:footnote>
  <w:footnote w:id="35">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59/09</w:t>
      </w:r>
      <w:r>
        <w:rPr>
          <w:rFonts w:ascii="Arial" w:hAnsi="Arial" w:cs="Arial"/>
          <w:sz w:val="16"/>
          <w:szCs w:val="16"/>
        </w:rPr>
        <w:t>.</w:t>
      </w:r>
    </w:p>
  </w:footnote>
  <w:footnote w:id="36">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74/10</w:t>
      </w:r>
      <w:r>
        <w:rPr>
          <w:rFonts w:ascii="Arial" w:hAnsi="Arial" w:cs="Arial"/>
          <w:sz w:val="16"/>
          <w:szCs w:val="16"/>
        </w:rPr>
        <w:t>.</w:t>
      </w:r>
    </w:p>
  </w:footnote>
  <w:footnote w:id="37">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26/11</w:t>
      </w:r>
      <w:r>
        <w:rPr>
          <w:rFonts w:ascii="Arial" w:hAnsi="Arial" w:cs="Arial"/>
          <w:sz w:val="16"/>
          <w:szCs w:val="16"/>
        </w:rPr>
        <w:t>.</w:t>
      </w:r>
    </w:p>
  </w:footnote>
  <w:footnote w:id="38">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27/11</w:t>
      </w:r>
      <w:r>
        <w:rPr>
          <w:rFonts w:ascii="Arial" w:hAnsi="Arial" w:cs="Arial"/>
          <w:sz w:val="16"/>
          <w:szCs w:val="16"/>
        </w:rPr>
        <w:t>.</w:t>
      </w:r>
    </w:p>
  </w:footnote>
  <w:footnote w:id="39">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37/11</w:t>
      </w:r>
      <w:r>
        <w:rPr>
          <w:rFonts w:ascii="Arial" w:hAnsi="Arial" w:cs="Arial"/>
          <w:sz w:val="16"/>
          <w:szCs w:val="16"/>
        </w:rPr>
        <w:t>.</w:t>
      </w:r>
    </w:p>
  </w:footnote>
  <w:footnote w:id="40">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107/12</w:t>
      </w:r>
      <w:r>
        <w:rPr>
          <w:rFonts w:ascii="Arial" w:hAnsi="Arial" w:cs="Arial"/>
          <w:sz w:val="16"/>
          <w:szCs w:val="16"/>
        </w:rPr>
        <w:t>.</w:t>
      </w:r>
    </w:p>
  </w:footnote>
  <w:footnote w:id="41">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60/13</w:t>
      </w:r>
      <w:r>
        <w:rPr>
          <w:rFonts w:ascii="Arial" w:hAnsi="Arial" w:cs="Arial"/>
          <w:sz w:val="16"/>
          <w:szCs w:val="16"/>
        </w:rPr>
        <w:t>.</w:t>
      </w:r>
    </w:p>
  </w:footnote>
  <w:footnote w:id="42">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62/15</w:t>
      </w:r>
      <w:r>
        <w:rPr>
          <w:rFonts w:ascii="Arial" w:hAnsi="Arial" w:cs="Arial"/>
          <w:sz w:val="16"/>
          <w:szCs w:val="16"/>
        </w:rPr>
        <w:t>.</w:t>
      </w:r>
    </w:p>
  </w:footnote>
  <w:footnote w:id="43">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1/15</w:t>
      </w:r>
      <w:r>
        <w:rPr>
          <w:rFonts w:ascii="Arial" w:hAnsi="Arial" w:cs="Arial"/>
          <w:sz w:val="16"/>
          <w:szCs w:val="16"/>
        </w:rPr>
        <w:t>.</w:t>
      </w:r>
    </w:p>
  </w:footnote>
  <w:footnote w:id="44">
    <w:p w:rsidR="0011214A" w:rsidRPr="0031654E"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C3BDF">
        <w:rPr>
          <w:rFonts w:ascii="Arial" w:hAnsi="Arial" w:cs="Arial"/>
          <w:sz w:val="16"/>
          <w:szCs w:val="16"/>
        </w:rPr>
        <w:t>22/15</w:t>
      </w:r>
      <w:r>
        <w:rPr>
          <w:rFonts w:ascii="Arial" w:hAnsi="Arial" w:cs="Arial"/>
          <w:sz w:val="16"/>
          <w:szCs w:val="16"/>
        </w:rPr>
        <w:t>.</w:t>
      </w:r>
    </w:p>
  </w:footnote>
  <w:footnote w:id="45">
    <w:p w:rsidR="0011214A" w:rsidRPr="00DB049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8E2BF7">
        <w:rPr>
          <w:rFonts w:ascii="Arial" w:hAnsi="Arial" w:cs="Arial"/>
          <w:sz w:val="16"/>
          <w:szCs w:val="16"/>
        </w:rPr>
        <w:t>4/16</w:t>
      </w:r>
      <w:r>
        <w:rPr>
          <w:rFonts w:ascii="Arial" w:hAnsi="Arial" w:cs="Arial"/>
          <w:sz w:val="16"/>
          <w:szCs w:val="16"/>
        </w:rPr>
        <w:t>.</w:t>
      </w:r>
    </w:p>
  </w:footnote>
  <w:footnote w:id="46">
    <w:p w:rsidR="0011214A" w:rsidRPr="00DB0495"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8E2BF7">
        <w:rPr>
          <w:rFonts w:ascii="Arial" w:hAnsi="Arial" w:cs="Arial"/>
          <w:sz w:val="16"/>
          <w:szCs w:val="16"/>
        </w:rPr>
        <w:t>26/16</w:t>
      </w:r>
      <w:r>
        <w:rPr>
          <w:rFonts w:ascii="Arial" w:hAnsi="Arial" w:cs="Arial"/>
          <w:sz w:val="16"/>
          <w:szCs w:val="16"/>
        </w:rPr>
        <w:t>.</w:t>
      </w:r>
    </w:p>
  </w:footnote>
  <w:footnote w:id="47">
    <w:p w:rsidR="0011214A" w:rsidRPr="00D17CE3"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8E2BF7">
        <w:rPr>
          <w:rFonts w:ascii="Arial" w:hAnsi="Arial" w:cs="Arial"/>
          <w:sz w:val="16"/>
          <w:szCs w:val="16"/>
        </w:rPr>
        <w:t>12/16</w:t>
      </w:r>
      <w:r>
        <w:rPr>
          <w:rFonts w:ascii="Arial" w:hAnsi="Arial" w:cs="Arial"/>
          <w:sz w:val="16"/>
          <w:szCs w:val="16"/>
        </w:rPr>
        <w:t>.</w:t>
      </w:r>
    </w:p>
  </w:footnote>
  <w:footnote w:id="48">
    <w:p w:rsidR="0011214A" w:rsidRPr="00D17CE3"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8E2BF7">
        <w:rPr>
          <w:rFonts w:ascii="Arial" w:hAnsi="Arial" w:cs="Arial"/>
          <w:sz w:val="16"/>
          <w:szCs w:val="16"/>
        </w:rPr>
        <w:t>42/16</w:t>
      </w:r>
      <w:r>
        <w:rPr>
          <w:rFonts w:ascii="Arial" w:hAnsi="Arial" w:cs="Arial"/>
          <w:sz w:val="16"/>
          <w:szCs w:val="16"/>
        </w:rPr>
        <w:t>.</w:t>
      </w:r>
    </w:p>
  </w:footnote>
  <w:footnote w:id="49">
    <w:p w:rsidR="0011214A" w:rsidRPr="00D17CE3"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8E2BF7">
        <w:rPr>
          <w:rFonts w:ascii="Arial" w:hAnsi="Arial" w:cs="Arial"/>
          <w:sz w:val="16"/>
          <w:szCs w:val="16"/>
        </w:rPr>
        <w:t>22/16</w:t>
      </w:r>
      <w:r>
        <w:rPr>
          <w:rFonts w:ascii="Arial" w:hAnsi="Arial" w:cs="Arial"/>
          <w:sz w:val="16"/>
          <w:szCs w:val="16"/>
        </w:rPr>
        <w:t>.</w:t>
      </w:r>
    </w:p>
  </w:footnote>
  <w:footnote w:id="50">
    <w:p w:rsidR="0011214A" w:rsidRPr="00D17CE3"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broj 75</w:t>
      </w:r>
      <w:r w:rsidRPr="008E2BF7">
        <w:rPr>
          <w:rFonts w:ascii="Arial" w:hAnsi="Arial" w:cs="Arial"/>
          <w:sz w:val="16"/>
          <w:szCs w:val="16"/>
        </w:rPr>
        <w:t>/16</w:t>
      </w:r>
    </w:p>
  </w:footnote>
  <w:footnote w:id="51">
    <w:p w:rsidR="0011214A" w:rsidRPr="0065760C"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8E2BF7">
        <w:rPr>
          <w:rFonts w:ascii="Arial" w:hAnsi="Arial" w:cs="Arial"/>
          <w:sz w:val="16"/>
          <w:szCs w:val="16"/>
        </w:rPr>
        <w:t>101/16</w:t>
      </w:r>
      <w:r>
        <w:rPr>
          <w:rFonts w:ascii="Arial" w:hAnsi="Arial" w:cs="Arial"/>
          <w:sz w:val="16"/>
          <w:szCs w:val="16"/>
        </w:rPr>
        <w:t>.</w:t>
      </w:r>
    </w:p>
  </w:footnote>
  <w:footnote w:id="52">
    <w:p w:rsidR="0011214A" w:rsidRPr="0065760C"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Pr>
          <w:rFonts w:ascii="Arial" w:hAnsi="Arial" w:cs="Arial"/>
          <w:sz w:val="16"/>
          <w:szCs w:val="16"/>
        </w:rPr>
        <w:t>10</w:t>
      </w:r>
      <w:r>
        <w:rPr>
          <w:rFonts w:ascii="Arial" w:hAnsi="Arial" w:cs="Arial"/>
          <w:sz w:val="16"/>
          <w:szCs w:val="16"/>
          <w:lang w:val="sr-Latn-RS"/>
        </w:rPr>
        <w:t>2</w:t>
      </w:r>
      <w:r w:rsidRPr="008E2BF7">
        <w:rPr>
          <w:rFonts w:ascii="Arial" w:hAnsi="Arial" w:cs="Arial"/>
          <w:sz w:val="16"/>
          <w:szCs w:val="16"/>
        </w:rPr>
        <w:t>/16</w:t>
      </w:r>
      <w:r>
        <w:rPr>
          <w:rFonts w:ascii="Arial" w:hAnsi="Arial" w:cs="Arial"/>
          <w:sz w:val="16"/>
          <w:szCs w:val="16"/>
        </w:rPr>
        <w:t>.</w:t>
      </w:r>
      <w:r>
        <w:rPr>
          <w:rFonts w:ascii="Arial" w:hAnsi="Arial" w:cs="Arial"/>
          <w:sz w:val="16"/>
          <w:szCs w:val="16"/>
          <w:lang w:val="sr-Latn-RS"/>
        </w:rPr>
        <w:t xml:space="preserve"> </w:t>
      </w:r>
    </w:p>
  </w:footnote>
  <w:footnote w:id="53">
    <w:p w:rsidR="0011214A" w:rsidRPr="0065760C"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Pr>
          <w:rFonts w:ascii="Arial" w:hAnsi="Arial" w:cs="Arial"/>
          <w:sz w:val="16"/>
          <w:szCs w:val="16"/>
        </w:rPr>
        <w:t>10</w:t>
      </w:r>
      <w:r>
        <w:rPr>
          <w:rFonts w:ascii="Arial" w:hAnsi="Arial" w:cs="Arial"/>
          <w:sz w:val="16"/>
          <w:szCs w:val="16"/>
          <w:lang w:val="sr-Latn-RS"/>
        </w:rPr>
        <w:t>2</w:t>
      </w:r>
      <w:r w:rsidRPr="008E2BF7">
        <w:rPr>
          <w:rFonts w:ascii="Arial" w:hAnsi="Arial" w:cs="Arial"/>
          <w:sz w:val="16"/>
          <w:szCs w:val="16"/>
        </w:rPr>
        <w:t>/16</w:t>
      </w:r>
      <w:r>
        <w:rPr>
          <w:rFonts w:ascii="Arial" w:hAnsi="Arial" w:cs="Arial"/>
          <w:sz w:val="16"/>
          <w:szCs w:val="16"/>
        </w:rPr>
        <w:t>.</w:t>
      </w:r>
    </w:p>
  </w:footnote>
  <w:footnote w:id="54">
    <w:p w:rsidR="0011214A" w:rsidRPr="004A2930"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Pr>
          <w:rFonts w:ascii="Arial" w:hAnsi="Arial" w:cs="Arial"/>
          <w:sz w:val="16"/>
          <w:szCs w:val="16"/>
        </w:rPr>
        <w:t>1</w:t>
      </w:r>
      <w:r>
        <w:rPr>
          <w:rFonts w:ascii="Arial" w:hAnsi="Arial" w:cs="Arial"/>
          <w:sz w:val="16"/>
          <w:szCs w:val="16"/>
          <w:lang w:val="sr-Latn-RS"/>
        </w:rPr>
        <w:t>10</w:t>
      </w:r>
      <w:r w:rsidRPr="008E2BF7">
        <w:rPr>
          <w:rFonts w:ascii="Arial" w:hAnsi="Arial" w:cs="Arial"/>
          <w:sz w:val="16"/>
          <w:szCs w:val="16"/>
        </w:rPr>
        <w:t>/16</w:t>
      </w:r>
      <w:r>
        <w:rPr>
          <w:rFonts w:ascii="Arial" w:hAnsi="Arial" w:cs="Arial"/>
          <w:sz w:val="16"/>
          <w:szCs w:val="16"/>
        </w:rPr>
        <w:t>.</w:t>
      </w:r>
    </w:p>
  </w:footnote>
  <w:footnote w:id="55">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p>
  </w:footnote>
  <w:footnote w:id="56">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p>
  </w:footnote>
  <w:footnote w:id="57">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p>
  </w:footnote>
  <w:footnote w:id="58">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p>
  </w:footnote>
  <w:footnote w:id="59">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F57D94">
        <w:rPr>
          <w:rFonts w:ascii="Arial" w:hAnsi="Arial" w:cs="Arial"/>
          <w:sz w:val="16"/>
          <w:szCs w:val="16"/>
        </w:rPr>
        <w:t>13/16</w:t>
      </w:r>
      <w:r>
        <w:rPr>
          <w:rFonts w:ascii="Arial" w:hAnsi="Arial" w:cs="Arial"/>
          <w:sz w:val="16"/>
          <w:szCs w:val="16"/>
        </w:rPr>
        <w:t>.</w:t>
      </w:r>
    </w:p>
  </w:footnote>
  <w:footnote w:id="60">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Pr>
          <w:rFonts w:ascii="Arial" w:hAnsi="Arial" w:cs="Arial"/>
          <w:sz w:val="16"/>
          <w:szCs w:val="16"/>
        </w:rPr>
        <w:t>1</w:t>
      </w:r>
      <w:r>
        <w:rPr>
          <w:rFonts w:ascii="Arial" w:hAnsi="Arial" w:cs="Arial"/>
          <w:sz w:val="16"/>
          <w:szCs w:val="16"/>
          <w:lang w:val="sr-Latn-RS"/>
        </w:rPr>
        <w:t>3</w:t>
      </w:r>
      <w:r w:rsidRPr="00F00BA6">
        <w:rPr>
          <w:rFonts w:ascii="Arial" w:hAnsi="Arial" w:cs="Arial"/>
          <w:sz w:val="16"/>
          <w:szCs w:val="16"/>
        </w:rPr>
        <w:t>/16</w:t>
      </w:r>
      <w:r>
        <w:rPr>
          <w:rFonts w:ascii="Arial" w:hAnsi="Arial" w:cs="Arial"/>
          <w:sz w:val="16"/>
          <w:szCs w:val="16"/>
        </w:rPr>
        <w:t>.</w:t>
      </w:r>
    </w:p>
  </w:footnote>
  <w:footnote w:id="61">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Pr>
          <w:rFonts w:ascii="Arial" w:hAnsi="Arial" w:cs="Arial"/>
          <w:sz w:val="16"/>
          <w:szCs w:val="16"/>
        </w:rPr>
        <w:t>1</w:t>
      </w:r>
      <w:r>
        <w:rPr>
          <w:rFonts w:ascii="Arial" w:hAnsi="Arial" w:cs="Arial"/>
          <w:sz w:val="16"/>
          <w:szCs w:val="16"/>
          <w:lang w:val="sr-Latn-RS"/>
        </w:rPr>
        <w:t>5</w:t>
      </w:r>
      <w:r w:rsidRPr="00F00BA6">
        <w:rPr>
          <w:rFonts w:ascii="Arial" w:hAnsi="Arial" w:cs="Arial"/>
          <w:sz w:val="16"/>
          <w:szCs w:val="16"/>
        </w:rPr>
        <w:t>/16</w:t>
      </w:r>
      <w:r>
        <w:rPr>
          <w:rFonts w:ascii="Arial" w:hAnsi="Arial" w:cs="Arial"/>
          <w:sz w:val="16"/>
          <w:szCs w:val="16"/>
        </w:rPr>
        <w:t>.</w:t>
      </w:r>
    </w:p>
  </w:footnote>
  <w:footnote w:id="62">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F00BA6">
        <w:rPr>
          <w:rFonts w:ascii="Arial" w:hAnsi="Arial" w:cs="Arial"/>
          <w:sz w:val="16"/>
          <w:szCs w:val="16"/>
        </w:rPr>
        <w:t>18/16</w:t>
      </w:r>
      <w:r>
        <w:rPr>
          <w:rFonts w:ascii="Arial" w:hAnsi="Arial" w:cs="Arial"/>
          <w:sz w:val="16"/>
          <w:szCs w:val="16"/>
        </w:rPr>
        <w:t>.</w:t>
      </w:r>
    </w:p>
  </w:footnote>
  <w:footnote w:id="63">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F00BA6">
        <w:rPr>
          <w:rFonts w:ascii="Arial" w:hAnsi="Arial" w:cs="Arial"/>
          <w:sz w:val="16"/>
          <w:szCs w:val="16"/>
        </w:rPr>
        <w:t>21/16</w:t>
      </w:r>
      <w:r>
        <w:rPr>
          <w:rFonts w:ascii="Arial" w:hAnsi="Arial" w:cs="Arial"/>
          <w:sz w:val="16"/>
          <w:szCs w:val="16"/>
        </w:rPr>
        <w:t>.</w:t>
      </w:r>
    </w:p>
  </w:footnote>
  <w:footnote w:id="64">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BD30AC">
        <w:rPr>
          <w:rFonts w:ascii="Arial" w:hAnsi="Arial" w:cs="Arial"/>
          <w:sz w:val="16"/>
          <w:szCs w:val="16"/>
        </w:rPr>
        <w:t>94/16</w:t>
      </w:r>
      <w:r>
        <w:rPr>
          <w:rFonts w:ascii="Arial" w:hAnsi="Arial" w:cs="Arial"/>
          <w:sz w:val="16"/>
          <w:szCs w:val="16"/>
        </w:rPr>
        <w:t>.</w:t>
      </w:r>
    </w:p>
  </w:footnote>
  <w:footnote w:id="65">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BD30AC">
        <w:rPr>
          <w:rFonts w:ascii="Arial" w:hAnsi="Arial" w:cs="Arial"/>
          <w:sz w:val="16"/>
          <w:szCs w:val="16"/>
        </w:rPr>
        <w:t>94/16</w:t>
      </w:r>
      <w:r>
        <w:rPr>
          <w:rFonts w:ascii="Arial" w:hAnsi="Arial" w:cs="Arial"/>
          <w:sz w:val="16"/>
          <w:szCs w:val="16"/>
        </w:rPr>
        <w:t>.</w:t>
      </w:r>
    </w:p>
  </w:footnote>
  <w:footnote w:id="66">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A3B81">
        <w:rPr>
          <w:rFonts w:ascii="Arial" w:hAnsi="Arial" w:cs="Arial"/>
          <w:sz w:val="16"/>
          <w:szCs w:val="16"/>
        </w:rPr>
        <w:t>104/16</w:t>
      </w:r>
      <w:r>
        <w:rPr>
          <w:rFonts w:ascii="Arial" w:hAnsi="Arial" w:cs="Arial"/>
          <w:sz w:val="16"/>
          <w:szCs w:val="16"/>
        </w:rPr>
        <w:t>.</w:t>
      </w:r>
    </w:p>
  </w:footnote>
  <w:footnote w:id="67">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A3B81">
        <w:rPr>
          <w:rFonts w:ascii="Arial" w:hAnsi="Arial" w:cs="Arial"/>
          <w:sz w:val="16"/>
          <w:szCs w:val="16"/>
        </w:rPr>
        <w:t>104/16</w:t>
      </w:r>
      <w:r>
        <w:rPr>
          <w:rFonts w:ascii="Arial" w:hAnsi="Arial" w:cs="Arial"/>
          <w:sz w:val="16"/>
          <w:szCs w:val="16"/>
        </w:rPr>
        <w:t>.</w:t>
      </w:r>
    </w:p>
  </w:footnote>
  <w:footnote w:id="68">
    <w:p w:rsidR="0011214A" w:rsidRPr="00226637" w:rsidRDefault="0011214A">
      <w:pPr>
        <w:pStyle w:val="FootnoteText"/>
        <w:rPr>
          <w:lang w:val="sr-Latn-RS"/>
        </w:rPr>
      </w:pPr>
      <w:r>
        <w:rPr>
          <w:rStyle w:val="FootnoteReference"/>
        </w:rPr>
        <w:footnoteRef/>
      </w:r>
      <w:r>
        <w:t xml:space="preserve"> </w:t>
      </w:r>
      <w:r w:rsidRPr="00EC3BDF">
        <w:rPr>
          <w:rFonts w:ascii="Arial" w:hAnsi="Arial" w:cs="Arial"/>
          <w:sz w:val="16"/>
          <w:szCs w:val="16"/>
        </w:rPr>
        <w:t>„</w:t>
      </w:r>
      <w:r>
        <w:rPr>
          <w:rFonts w:ascii="Arial" w:hAnsi="Arial" w:cs="Arial"/>
          <w:sz w:val="16"/>
          <w:szCs w:val="16"/>
          <w:lang w:val="sr-Latn-RS"/>
        </w:rPr>
        <w:t>Službeni glasnik RS</w:t>
      </w:r>
      <w:r w:rsidRPr="00EC3BDF">
        <w:rPr>
          <w:rFonts w:ascii="Arial" w:hAnsi="Arial" w:cs="Arial"/>
          <w:sz w:val="16"/>
          <w:szCs w:val="16"/>
        </w:rPr>
        <w:t xml:space="preserve">”, </w:t>
      </w:r>
      <w:r>
        <w:rPr>
          <w:rFonts w:ascii="Arial" w:hAnsi="Arial" w:cs="Arial"/>
          <w:sz w:val="16"/>
          <w:szCs w:val="16"/>
          <w:lang w:val="sr-Latn-RS"/>
        </w:rPr>
        <w:t xml:space="preserve">broj </w:t>
      </w:r>
      <w:r w:rsidRPr="00EA3B81">
        <w:rPr>
          <w:rFonts w:ascii="Arial" w:hAnsi="Arial" w:cs="Arial"/>
          <w:sz w:val="16"/>
          <w:szCs w:val="16"/>
        </w:rPr>
        <w:t>108/16</w:t>
      </w:r>
      <w:r>
        <w:rPr>
          <w:rFonts w:ascii="Arial" w:hAnsi="Arial" w:cs="Arial"/>
          <w:sz w:val="16"/>
          <w:szCs w:val="16"/>
        </w:rPr>
        <w:t>.</w:t>
      </w:r>
    </w:p>
  </w:footnote>
  <w:footnote w:id="69">
    <w:p w:rsidR="0011214A" w:rsidRPr="00062200" w:rsidRDefault="0011214A">
      <w:pPr>
        <w:pStyle w:val="FootnoteText"/>
        <w:rPr>
          <w:lang w:val="sr-Latn-RS"/>
        </w:rPr>
      </w:pPr>
      <w:r>
        <w:rPr>
          <w:rStyle w:val="FootnoteReference"/>
        </w:rPr>
        <w:footnoteRef/>
      </w:r>
      <w:r>
        <w:t xml:space="preserve"> </w:t>
      </w:r>
      <w:r>
        <w:rPr>
          <w:lang w:val="sr-Latn-RS"/>
        </w:rPr>
        <w:t>Istraživanje je dostupno na internet adresi</w:t>
      </w:r>
      <w:r w:rsidRPr="00EC3BDF">
        <w:rPr>
          <w:rFonts w:ascii="Arial" w:hAnsi="Arial" w:cs="Arial"/>
          <w:sz w:val="16"/>
          <w:szCs w:val="16"/>
        </w:rPr>
        <w:t xml:space="preserve">: </w:t>
      </w:r>
      <w:r w:rsidRPr="00AB22F3">
        <w:rPr>
          <w:rFonts w:ascii="Arial" w:hAnsi="Arial" w:cs="Arial"/>
          <w:sz w:val="16"/>
          <w:szCs w:val="16"/>
        </w:rPr>
        <w:t>https://drive.google.com/file/d/0B1QaDisvv7K3c19yTVd3Z1ZuQ0U/view</w:t>
      </w:r>
      <w:r>
        <w:rPr>
          <w:rFonts w:ascii="Arial" w:hAnsi="Arial" w:cs="Arial"/>
          <w:sz w:val="16"/>
          <w:szCs w:val="16"/>
        </w:rPr>
        <w:t>.</w:t>
      </w:r>
    </w:p>
  </w:footnote>
  <w:footnote w:id="70">
    <w:p w:rsidR="0011214A" w:rsidRPr="003D09EF" w:rsidRDefault="0011214A" w:rsidP="003D09EF">
      <w:pPr>
        <w:pStyle w:val="FootnoteText"/>
        <w:jc w:val="left"/>
        <w:rPr>
          <w:lang w:val="sr-Latn-RS"/>
        </w:rPr>
      </w:pPr>
      <w:r>
        <w:rPr>
          <w:rStyle w:val="FootnoteReference"/>
        </w:rPr>
        <w:footnoteRef/>
      </w:r>
      <w:r>
        <w:t xml:space="preserve"> </w:t>
      </w:r>
      <w:r>
        <w:rPr>
          <w:lang w:val="sr-Latn-RS"/>
        </w:rPr>
        <w:t>Izveštaj je dostupan na internet adresi</w:t>
      </w:r>
      <w:r w:rsidRPr="00EC3BDF">
        <w:rPr>
          <w:rFonts w:ascii="Arial" w:hAnsi="Arial" w:cs="Arial"/>
          <w:sz w:val="16"/>
          <w:szCs w:val="16"/>
        </w:rPr>
        <w:t>:</w:t>
      </w:r>
      <w:r>
        <w:rPr>
          <w:rFonts w:ascii="Arial" w:hAnsi="Arial" w:cs="Arial"/>
          <w:sz w:val="16"/>
          <w:szCs w:val="16"/>
          <w:lang w:val="sr-Latn-RS"/>
        </w:rPr>
        <w:t xml:space="preserve"> </w:t>
      </w:r>
      <w:r w:rsidRPr="00EC3BDF">
        <w:rPr>
          <w:rFonts w:ascii="Arial" w:hAnsi="Arial" w:cs="Arial"/>
          <w:sz w:val="16"/>
          <w:szCs w:val="16"/>
        </w:rPr>
        <w:t>www.seio.gov.rs/upload/documents/eu_dokumenta/godisnji_izvestaji_ek_o_napretku/izvestaj_ek_srbija_2016.pdf</w:t>
      </w:r>
      <w:r>
        <w:rPr>
          <w:rFonts w:ascii="Arial" w:hAnsi="Arial" w:cs="Arial"/>
          <w:sz w:val="16"/>
          <w:szCs w:val="16"/>
        </w:rPr>
        <w:t>.</w:t>
      </w:r>
    </w:p>
  </w:footnote>
  <w:footnote w:id="71">
    <w:p w:rsidR="0011214A" w:rsidRPr="00DE76BA" w:rsidRDefault="0011214A" w:rsidP="00DE76BA">
      <w:pPr>
        <w:pStyle w:val="FootnoteText"/>
        <w:jc w:val="left"/>
        <w:rPr>
          <w:lang w:val="sr-Latn-RS"/>
        </w:rPr>
      </w:pPr>
      <w:r>
        <w:rPr>
          <w:rStyle w:val="FootnoteReference"/>
        </w:rPr>
        <w:footnoteRef/>
      </w:r>
      <w:r>
        <w:t xml:space="preserve"> </w:t>
      </w:r>
      <w:r w:rsidRPr="00DE76BA">
        <w:t xml:space="preserve">Republika Srbija je 2012. godine podnela Inicijalni izveštaj o sprovođenju Konvencije o pravima osoba sa invaliditetom u Republici Srbiji, a 2015. i Alternativni izveštaj, nakon čega je Komitet uputio Vladi Republike Srbije listu pitanja. Vlada je u toku 2016. godine dostavila odgovore na ova pitanja, čime su se stekli uslovi za usvajanje Zaključnih zapažanja sa preporukama Republici Srbiji za zaštitu i unapređenje položaja osoba sa invaliditetom. Republika Srbija kao država članica, u obavezi je da u narednom periodu usmeri pažnju na sprovođenje ovih zaključnih zapažanja i konkretnih preporuka Komiteta za prava osoba sa invaliditetom. Dostupno na internet adresi: </w:t>
      </w:r>
      <w:r>
        <w:rPr>
          <w:lang w:val="sr-Latn-RS"/>
        </w:rPr>
        <w:t>w</w:t>
      </w:r>
      <w:r w:rsidRPr="00DE76BA">
        <w:t>ww.ljudskaprava.gov.rs/sites/default/files/dokument_file/zakljucna_zapazanja_komiteta_za_prava_osoba_sa_invaliditetom_srb.pdf.</w:t>
      </w:r>
    </w:p>
  </w:footnote>
  <w:footnote w:id="72">
    <w:p w:rsidR="0011214A" w:rsidRPr="00A70B65" w:rsidRDefault="0011214A">
      <w:pPr>
        <w:pStyle w:val="FootnoteText"/>
        <w:rPr>
          <w:lang w:val="sr-Latn-RS"/>
        </w:rPr>
      </w:pPr>
      <w:r>
        <w:rPr>
          <w:rStyle w:val="FootnoteReference"/>
        </w:rPr>
        <w:footnoteRef/>
      </w:r>
      <w:r>
        <w:t xml:space="preserve"> </w:t>
      </w:r>
      <w:r w:rsidRPr="00A70B65">
        <w:t>Dostupno na internet adresi: www.ohchr.org/EN/HRBodies/CRPD/Pages/CRPDIndex.aspx.</w:t>
      </w:r>
    </w:p>
  </w:footnote>
  <w:footnote w:id="73">
    <w:p w:rsidR="0011214A" w:rsidRPr="00A70B65" w:rsidRDefault="0011214A" w:rsidP="00A70B65">
      <w:pPr>
        <w:pStyle w:val="FootnoteText"/>
        <w:jc w:val="left"/>
        <w:rPr>
          <w:lang w:val="sr-Latn-RS"/>
        </w:rPr>
      </w:pPr>
      <w:r>
        <w:rPr>
          <w:rStyle w:val="FootnoteReference"/>
        </w:rPr>
        <w:footnoteRef/>
      </w:r>
      <w:r>
        <w:t xml:space="preserve"> </w:t>
      </w:r>
      <w:r w:rsidRPr="00A70B65">
        <w:t>Dostupno na internet adresi: http://tbinternet.ohchr.org/_layouts/treatybodyexternal/Download.aspx?symbolno=CERD%2fC%2fSRB%2f2-5&amp;Lang=en.</w:t>
      </w:r>
    </w:p>
  </w:footnote>
  <w:footnote w:id="74">
    <w:p w:rsidR="0011214A" w:rsidRPr="00B84508" w:rsidRDefault="0011214A" w:rsidP="00B84508">
      <w:pPr>
        <w:pStyle w:val="FootnoteText"/>
        <w:jc w:val="left"/>
        <w:rPr>
          <w:lang w:val="sr-Latn-RS"/>
        </w:rPr>
      </w:pPr>
      <w:r>
        <w:rPr>
          <w:rStyle w:val="FootnoteReference"/>
        </w:rPr>
        <w:footnoteRef/>
      </w:r>
      <w:r>
        <w:t xml:space="preserve"> </w:t>
      </w:r>
      <w:r w:rsidRPr="00B84508">
        <w:t>Dostupno na internet adresi: http://tbinternet.ohchr.org/Treaties/CRC/Shared%20Documents/SRB/INT_CRC_LIT_SRB_24382_E.pdf.</w:t>
      </w:r>
    </w:p>
  </w:footnote>
  <w:footnote w:id="75">
    <w:p w:rsidR="0011214A" w:rsidRPr="00B84508" w:rsidRDefault="0011214A" w:rsidP="00B84508">
      <w:pPr>
        <w:pStyle w:val="FootnoteText"/>
        <w:jc w:val="left"/>
        <w:rPr>
          <w:lang w:val="sr-Latn-RS"/>
        </w:rPr>
      </w:pPr>
      <w:r>
        <w:rPr>
          <w:rStyle w:val="FootnoteReference"/>
        </w:rPr>
        <w:footnoteRef/>
      </w:r>
      <w:r>
        <w:t xml:space="preserve"> </w:t>
      </w:r>
      <w:r w:rsidRPr="00B84508">
        <w:t>Dostupno na internet adresi: http://tbinternet.ohchr.org/_layouts/treatybodyexternal/Download.aspx?symbolno=CRC%2fC%2fSRB%2fQ%2f2-3%2fAdd.1&amp;Lang=en.</w:t>
      </w:r>
    </w:p>
  </w:footnote>
  <w:footnote w:id="76">
    <w:p w:rsidR="0011214A" w:rsidRPr="00B84508" w:rsidRDefault="0011214A" w:rsidP="00B84508">
      <w:pPr>
        <w:pStyle w:val="FootnoteText"/>
        <w:jc w:val="left"/>
        <w:rPr>
          <w:lang w:val="sr-Latn-RS"/>
        </w:rPr>
      </w:pPr>
      <w:r>
        <w:rPr>
          <w:rStyle w:val="FootnoteReference"/>
        </w:rPr>
        <w:footnoteRef/>
      </w:r>
      <w:r>
        <w:t xml:space="preserve"> </w:t>
      </w:r>
      <w:r w:rsidRPr="00B84508">
        <w:t>Izveštaji dostupni na internet adresi: http://tbinternet.ohchr.org/_layouts/TreatyBodyExternal/Countries.aspx?CountryCode=SRB&amp;Lang=EN.</w:t>
      </w:r>
    </w:p>
  </w:footnote>
  <w:footnote w:id="77">
    <w:p w:rsidR="0011214A" w:rsidRPr="00B400AE" w:rsidRDefault="0011214A" w:rsidP="00B400AE">
      <w:pPr>
        <w:pStyle w:val="FootnoteText"/>
        <w:jc w:val="left"/>
        <w:rPr>
          <w:lang w:val="sr-Latn-RS"/>
        </w:rPr>
      </w:pPr>
      <w:r>
        <w:rPr>
          <w:rStyle w:val="FootnoteReference"/>
        </w:rPr>
        <w:footnoteRef/>
      </w:r>
      <w:r>
        <w:t xml:space="preserve"> </w:t>
      </w:r>
      <w:r w:rsidRPr="00B400AE">
        <w:t>Dostupno na internet adresi: http://tbinternet.ohchr.org/_layouts/treatybodyexternal/Download.aspx?symbolno=CAT%2fC%2fSRB%2fCO%2f2%2fAdd.1&amp;Lang=en.</w:t>
      </w:r>
    </w:p>
  </w:footnote>
  <w:footnote w:id="78">
    <w:p w:rsidR="0011214A" w:rsidRPr="00B400AE" w:rsidRDefault="0011214A" w:rsidP="00C41588">
      <w:pPr>
        <w:pStyle w:val="FootnoteText"/>
        <w:jc w:val="left"/>
        <w:rPr>
          <w:lang w:val="sr-Latn-RS"/>
        </w:rPr>
      </w:pPr>
      <w:r>
        <w:rPr>
          <w:rStyle w:val="FootnoteReference"/>
        </w:rPr>
        <w:footnoteRef/>
      </w:r>
      <w:r>
        <w:t xml:space="preserve"> </w:t>
      </w:r>
      <w:r w:rsidRPr="003F7576">
        <w:t>Dostupno na internet adresi: www.hrw.org/report/2016/06/08/it-my-dream-leave-place/children-disabilities-serbian-institutions.</w:t>
      </w:r>
    </w:p>
  </w:footnote>
  <w:footnote w:id="79">
    <w:p w:rsidR="0011214A" w:rsidRPr="003F7576" w:rsidRDefault="0011214A">
      <w:pPr>
        <w:pStyle w:val="FootnoteText"/>
        <w:rPr>
          <w:lang w:val="sr-Latn-RS"/>
        </w:rPr>
      </w:pPr>
      <w:r>
        <w:rPr>
          <w:rStyle w:val="FootnoteReference"/>
        </w:rPr>
        <w:footnoteRef/>
      </w:r>
      <w:r>
        <w:t xml:space="preserve"> </w:t>
      </w:r>
      <w:r w:rsidRPr="003F7576">
        <w:t>Dostupno na internet adresi</w:t>
      </w:r>
      <w:r w:rsidRPr="00D00F1E">
        <w:rPr>
          <w:rFonts w:ascii="Arial" w:hAnsi="Arial" w:cs="Arial"/>
          <w:sz w:val="16"/>
          <w:szCs w:val="16"/>
        </w:rPr>
        <w:t xml:space="preserve">: </w:t>
      </w:r>
      <w:r w:rsidRPr="00DC4EF1">
        <w:rPr>
          <w:rFonts w:ascii="Arial" w:hAnsi="Arial" w:cs="Arial"/>
          <w:sz w:val="16"/>
          <w:szCs w:val="16"/>
        </w:rPr>
        <w:t>www.amnesty.org/en/documents/pol10/2552/2016/en/</w:t>
      </w:r>
      <w:r>
        <w:rPr>
          <w:rFonts w:ascii="Arial" w:hAnsi="Arial" w:cs="Arial"/>
          <w:sz w:val="16"/>
          <w:szCs w:val="16"/>
        </w:rPr>
        <w:t>.</w:t>
      </w:r>
    </w:p>
  </w:footnote>
  <w:footnote w:id="80">
    <w:p w:rsidR="0011214A" w:rsidRPr="00E6322A" w:rsidRDefault="0011214A" w:rsidP="00E6322A">
      <w:pPr>
        <w:pStyle w:val="FootnoteText"/>
        <w:jc w:val="left"/>
        <w:rPr>
          <w:lang w:val="sr-Latn-RS"/>
        </w:rPr>
      </w:pPr>
      <w:r>
        <w:rPr>
          <w:rStyle w:val="FootnoteReference"/>
        </w:rPr>
        <w:footnoteRef/>
      </w:r>
      <w:r>
        <w:t xml:space="preserve"> </w:t>
      </w:r>
      <w:r w:rsidRPr="003F7576">
        <w:t>Dostupno na internet adresi</w:t>
      </w:r>
      <w:r>
        <w:rPr>
          <w:lang w:val="sr-Latn-RS"/>
        </w:rPr>
        <w:t xml:space="preserve">: </w:t>
      </w:r>
      <w:r w:rsidRPr="00DC4EF1">
        <w:rPr>
          <w:rFonts w:ascii="Arial" w:hAnsi="Arial" w:cs="Arial"/>
          <w:sz w:val="16"/>
          <w:szCs w:val="16"/>
        </w:rPr>
        <w:t xml:space="preserve"> www.mpravde.gov.rs/files/Izve%C5%A1taj%20br.%204-2016%20o%20sprovo%C4%91enju%20Akcionog%20plana%20za%20Poglavlje%2023.pdf</w:t>
      </w:r>
      <w:r>
        <w:rPr>
          <w:rFonts w:ascii="Arial" w:hAnsi="Arial" w:cs="Arial"/>
          <w:sz w:val="16"/>
          <w:szCs w:val="16"/>
        </w:rPr>
        <w:t>.</w:t>
      </w:r>
    </w:p>
  </w:footnote>
  <w:footnote w:id="81">
    <w:p w:rsidR="0011214A" w:rsidRPr="00E6322A" w:rsidRDefault="0011214A">
      <w:pPr>
        <w:pStyle w:val="FootnoteText"/>
        <w:rPr>
          <w:lang w:val="sr-Latn-RS"/>
        </w:rPr>
      </w:pPr>
      <w:r>
        <w:rPr>
          <w:rStyle w:val="FootnoteReference"/>
        </w:rPr>
        <w:footnoteRef/>
      </w:r>
      <w:r>
        <w:t xml:space="preserve"> </w:t>
      </w:r>
      <w:r w:rsidRPr="00E6322A">
        <w:t>„Službeni glasnik RS", broj 12/16.</w:t>
      </w:r>
    </w:p>
  </w:footnote>
  <w:footnote w:id="82">
    <w:p w:rsidR="0011214A" w:rsidRPr="00E6322A" w:rsidRDefault="0011214A">
      <w:pPr>
        <w:pStyle w:val="FootnoteText"/>
        <w:rPr>
          <w:lang w:val="sr-Latn-RS"/>
        </w:rPr>
      </w:pPr>
      <w:r>
        <w:rPr>
          <w:rStyle w:val="FootnoteReference"/>
        </w:rPr>
        <w:footnoteRef/>
      </w:r>
      <w:r>
        <w:t xml:space="preserve"> </w:t>
      </w:r>
      <w:r w:rsidRPr="00E6322A">
        <w:t>Izveštaj o sprovođenju Akcionog plana za poglavlje 23 u pristupnim pregovorima za članstvo u Evropskoj uniji, str. 164.</w:t>
      </w:r>
    </w:p>
  </w:footnote>
  <w:footnote w:id="83">
    <w:p w:rsidR="0011214A" w:rsidRPr="00E6322A" w:rsidRDefault="0011214A">
      <w:pPr>
        <w:pStyle w:val="FootnoteText"/>
        <w:rPr>
          <w:lang w:val="sr-Latn-RS"/>
        </w:rPr>
      </w:pPr>
      <w:r>
        <w:rPr>
          <w:rStyle w:val="FootnoteReference"/>
        </w:rPr>
        <w:footnoteRef/>
      </w:r>
      <w:r>
        <w:t xml:space="preserve"> </w:t>
      </w:r>
      <w:r w:rsidRPr="00E6322A">
        <w:t>„Službeni glasnik RS“, broj 42/16.</w:t>
      </w:r>
    </w:p>
  </w:footnote>
  <w:footnote w:id="84">
    <w:p w:rsidR="0011214A" w:rsidRPr="00E6322A" w:rsidRDefault="0011214A">
      <w:pPr>
        <w:pStyle w:val="FootnoteText"/>
        <w:rPr>
          <w:lang w:val="sr-Latn-RS"/>
        </w:rPr>
      </w:pPr>
      <w:r>
        <w:rPr>
          <w:rStyle w:val="FootnoteReference"/>
        </w:rPr>
        <w:footnoteRef/>
      </w:r>
      <w:r>
        <w:t xml:space="preserve"> </w:t>
      </w:r>
      <w:r w:rsidRPr="00E6322A">
        <w:t>Izveštaj o sprovođenju Akcionog plana za poglavlje 23 u pristupnim pregovorima za članstvo u Evropskoj uniji, str. 259.</w:t>
      </w:r>
    </w:p>
  </w:footnote>
  <w:footnote w:id="85">
    <w:p w:rsidR="0011214A" w:rsidRPr="00AE6888" w:rsidRDefault="0011214A">
      <w:pPr>
        <w:pStyle w:val="FootnoteText"/>
        <w:rPr>
          <w:lang w:val="sr-Latn-RS"/>
        </w:rPr>
      </w:pPr>
      <w:r>
        <w:rPr>
          <w:rStyle w:val="FootnoteReference"/>
        </w:rPr>
        <w:footnoteRef/>
      </w:r>
      <w:r>
        <w:t xml:space="preserve"> „Službeni glasnik RS“, broj </w:t>
      </w:r>
      <w:r>
        <w:rPr>
          <w:lang w:val="sr-Latn-RS"/>
        </w:rPr>
        <w:t>2</w:t>
      </w:r>
      <w:r w:rsidRPr="00E6322A">
        <w:t>2/16.</w:t>
      </w:r>
    </w:p>
  </w:footnote>
  <w:footnote w:id="86">
    <w:p w:rsidR="0011214A" w:rsidRPr="00AE6888" w:rsidRDefault="0011214A">
      <w:pPr>
        <w:pStyle w:val="FootnoteText"/>
        <w:rPr>
          <w:lang w:val="sr-Latn-RS"/>
        </w:rPr>
      </w:pPr>
      <w:r>
        <w:rPr>
          <w:rStyle w:val="FootnoteReference"/>
        </w:rPr>
        <w:footnoteRef/>
      </w:r>
      <w:r>
        <w:t xml:space="preserve"> </w:t>
      </w:r>
      <w:r w:rsidRPr="00AE6888">
        <w:t>Izveštaj o sprovođenju Akcionog plana za poglavlje 23 u pristupnim pregovorima za članstvo u Evropskoj uniji, str. 410.</w:t>
      </w:r>
    </w:p>
  </w:footnote>
  <w:footnote w:id="87">
    <w:p w:rsidR="0011214A" w:rsidRPr="00AE6888" w:rsidRDefault="0011214A" w:rsidP="00AE6888">
      <w:pPr>
        <w:pStyle w:val="FootnoteText"/>
        <w:jc w:val="left"/>
        <w:rPr>
          <w:lang w:val="sr-Latn-RS"/>
        </w:rPr>
      </w:pPr>
      <w:r>
        <w:rPr>
          <w:rStyle w:val="FootnoteReference"/>
        </w:rPr>
        <w:footnoteRef/>
      </w:r>
      <w:r>
        <w:t xml:space="preserve"> </w:t>
      </w:r>
      <w:r w:rsidRPr="00AE6888">
        <w:t>Dokume</w:t>
      </w:r>
      <w:r>
        <w:t>nt dostupan na internet adresi:</w:t>
      </w:r>
      <w:r>
        <w:rPr>
          <w:lang w:val="sr-Latn-RS"/>
        </w:rPr>
        <w:t xml:space="preserve"> </w:t>
      </w:r>
      <w:r w:rsidRPr="00AE6888">
        <w:t>www.ljudskaprava.gov.rs/sites/default/files/dokument_file/drugi_izvestaj_ap_final_16082016.pdf.</w:t>
      </w:r>
    </w:p>
  </w:footnote>
  <w:footnote w:id="88">
    <w:p w:rsidR="0011214A" w:rsidRPr="00AE6888" w:rsidRDefault="0011214A">
      <w:pPr>
        <w:pStyle w:val="FootnoteText"/>
        <w:rPr>
          <w:lang w:val="sr-Latn-RS"/>
        </w:rPr>
      </w:pPr>
      <w:r>
        <w:rPr>
          <w:rStyle w:val="FootnoteReference"/>
        </w:rPr>
        <w:footnoteRef/>
      </w:r>
      <w:r>
        <w:t xml:space="preserve"> </w:t>
      </w:r>
      <w:r w:rsidRPr="00AE6888">
        <w:t>Izveštaj o praćenju implementacije Akcionog plana za primenu Strategije prevencije i zaštite od diskriminacije za period od 2014. do 2018. godine – za drugi, treći i četvrti kvartal 2015. godine, str. 67.</w:t>
      </w:r>
    </w:p>
  </w:footnote>
  <w:footnote w:id="89">
    <w:p w:rsidR="0011214A" w:rsidRPr="00FD7D9D" w:rsidRDefault="0011214A" w:rsidP="00FD7D9D">
      <w:pPr>
        <w:pStyle w:val="FootnoteText"/>
        <w:jc w:val="left"/>
        <w:rPr>
          <w:lang w:val="sr-Latn-RS"/>
        </w:rPr>
      </w:pPr>
      <w:r>
        <w:rPr>
          <w:rStyle w:val="FootnoteReference"/>
        </w:rPr>
        <w:footnoteRef/>
      </w:r>
      <w:r>
        <w:t xml:space="preserve"> </w:t>
      </w:r>
      <w:r w:rsidRPr="00FD7D9D">
        <w:t>Dokument dostupan na internet adresi: http://ideje.rs/wp-content/uploads/2016/09/Standardne-operativne-procedure-za-zastitu-dece-izbeglica-i-migranata.pdf.</w:t>
      </w:r>
    </w:p>
  </w:footnote>
  <w:footnote w:id="90">
    <w:p w:rsidR="0011214A" w:rsidRPr="00FD7D9D" w:rsidRDefault="0011214A">
      <w:pPr>
        <w:pStyle w:val="FootnoteText"/>
        <w:rPr>
          <w:lang w:val="sr-Latn-RS"/>
        </w:rPr>
      </w:pPr>
      <w:r>
        <w:rPr>
          <w:rStyle w:val="FootnoteReference"/>
        </w:rPr>
        <w:footnoteRef/>
      </w:r>
      <w:r>
        <w:t xml:space="preserve"> </w:t>
      </w:r>
      <w:r w:rsidRPr="00FD7D9D">
        <w:t>A to su: lokalne policijske stanice, lokalni domovi zdravlja, lokalni centri za socijalni rad, institucije socijalne zaštite koje obezbeđuju usluge smeštaja (prihvatni centri za strane maloletnike bez pratnje u Nišu i Beogradu, Centar za zaštitu odojčadi, dece i omladine u Beogradu, domovi za decu bez roditeljskog staranja i decu sa smetnjama u razvoju), centri za porodični smeštaj i usvojenje, Centar za zaštitu žrtava trgovine ljudima, Srpski komesarijat za izbeglice i migrante (SCRM) u svim prihvatnim, tranzicionim i registracionim centrima, Crveni krst, UNHCR i UNICEF i međunarodne i domaće NVO orijentisane na zaštitu dece i mladih u vanrednim situacijama.</w:t>
      </w:r>
    </w:p>
  </w:footnote>
  <w:footnote w:id="91">
    <w:p w:rsidR="0011214A" w:rsidRPr="00FD7D9D" w:rsidRDefault="0011214A" w:rsidP="00FD7D9D">
      <w:pPr>
        <w:pStyle w:val="FootnoteText"/>
        <w:jc w:val="left"/>
        <w:rPr>
          <w:lang w:val="sr-Latn-RS"/>
        </w:rPr>
      </w:pPr>
      <w:r>
        <w:rPr>
          <w:rStyle w:val="FootnoteReference"/>
        </w:rPr>
        <w:footnoteRef/>
      </w:r>
      <w:r>
        <w:t xml:space="preserve"> </w:t>
      </w:r>
      <w:r w:rsidRPr="00FD7D9D">
        <w:t>Dostupno na internet adresi: www.mpn.gov.rs/wp-content/uploads/2015/08/priru%C4%8Dnik-interaktivni.pdf.</w:t>
      </w:r>
    </w:p>
  </w:footnote>
  <w:footnote w:id="92">
    <w:p w:rsidR="0011214A" w:rsidRPr="00FD7D9D" w:rsidRDefault="0011214A">
      <w:pPr>
        <w:pStyle w:val="FootnoteText"/>
        <w:rPr>
          <w:lang w:val="sr-Latn-RS"/>
        </w:rPr>
      </w:pPr>
      <w:r>
        <w:rPr>
          <w:rStyle w:val="FootnoteReference"/>
        </w:rPr>
        <w:footnoteRef/>
      </w:r>
      <w:r>
        <w:t xml:space="preserve"> </w:t>
      </w:r>
      <w:r w:rsidRPr="00FD7D9D">
        <w:t>Priručnik Digitalno nasilje – prevencija i reagovanje, str. 23.</w:t>
      </w:r>
    </w:p>
  </w:footnote>
  <w:footnote w:id="93">
    <w:p w:rsidR="0011214A" w:rsidRPr="00FD7D9D" w:rsidRDefault="0011214A">
      <w:pPr>
        <w:pStyle w:val="FootnoteText"/>
        <w:rPr>
          <w:lang w:val="sr-Latn-RS"/>
        </w:rPr>
      </w:pPr>
      <w:r>
        <w:rPr>
          <w:rStyle w:val="FootnoteReference"/>
        </w:rPr>
        <w:footnoteRef/>
      </w:r>
      <w:r>
        <w:t xml:space="preserve"> </w:t>
      </w:r>
      <w:r w:rsidRPr="00FD7D9D">
        <w:t>Izvor: www.netpatrola.rs/sr/prijavite-nelegalni-sadrzaj.1.89.html.</w:t>
      </w:r>
    </w:p>
  </w:footnote>
  <w:footnote w:id="94">
    <w:p w:rsidR="0011214A" w:rsidRPr="00FD7D9D" w:rsidRDefault="0011214A">
      <w:pPr>
        <w:pStyle w:val="FootnoteText"/>
        <w:rPr>
          <w:lang w:val="sr-Latn-RS"/>
        </w:rPr>
      </w:pPr>
      <w:r>
        <w:rPr>
          <w:rStyle w:val="FootnoteReference"/>
        </w:rPr>
        <w:footnoteRef/>
      </w:r>
      <w:r>
        <w:t xml:space="preserve"> </w:t>
      </w:r>
      <w:r w:rsidRPr="00FD7D9D">
        <w:t>Stop napuštanju škole!, Tim za socijalno uključivanje i smanjenje siromaštva, Beograd 2016. Dostupno na internet adresi: http://socijalnoukljucivanje.gov.rs/wp-content/uploads/2016/06/stop_napustanju_skole.pdf. .</w:t>
      </w:r>
    </w:p>
  </w:footnote>
  <w:footnote w:id="95">
    <w:p w:rsidR="0011214A" w:rsidRPr="00FD7D9D" w:rsidRDefault="0011214A">
      <w:pPr>
        <w:pStyle w:val="FootnoteText"/>
        <w:rPr>
          <w:lang w:val="sr-Latn-RS"/>
        </w:rPr>
      </w:pPr>
      <w:r>
        <w:rPr>
          <w:rStyle w:val="FootnoteReference"/>
        </w:rPr>
        <w:footnoteRef/>
      </w:r>
      <w:r>
        <w:t xml:space="preserve"> </w:t>
      </w:r>
      <w:r w:rsidRPr="00FD7D9D">
        <w:t>Stop napuštanju škole!, str. 39.</w:t>
      </w:r>
    </w:p>
  </w:footnote>
  <w:footnote w:id="96">
    <w:p w:rsidR="0011214A" w:rsidRPr="00FD7D9D" w:rsidRDefault="0011214A" w:rsidP="00FD7D9D">
      <w:pPr>
        <w:pStyle w:val="FootnoteText"/>
        <w:rPr>
          <w:lang w:val="sr-Latn-RS"/>
        </w:rPr>
      </w:pPr>
      <w:r>
        <w:rPr>
          <w:rStyle w:val="FootnoteReference"/>
        </w:rPr>
        <w:footnoteRef/>
      </w:r>
      <w:r>
        <w:t xml:space="preserve"> Analiza primene afirmativnih mera u oblasti obrazovanja Roma i Romkinja i preporuke za unapređenje mera, Tim za socijalno uključivanje i smanjenje siromaštva, Beorgad 2016.</w:t>
      </w:r>
      <w:r>
        <w:rPr>
          <w:lang w:val="sr-Latn-RS"/>
        </w:rPr>
        <w:t xml:space="preserve"> </w:t>
      </w:r>
      <w:r>
        <w:t>Dostupno na internet adresi: http://socijalnoukljucivanje.gov.rs/wp-content/uploads/2016/07/Analiza-primene-afirmativnih-mera-u-oblasti-obrazovanja-Roma-i-Romkinja-i-preporuke-za-unapredjenje-mera.pdf.</w:t>
      </w:r>
    </w:p>
  </w:footnote>
  <w:footnote w:id="97">
    <w:p w:rsidR="0011214A" w:rsidRPr="00FD7D9D" w:rsidRDefault="0011214A">
      <w:pPr>
        <w:pStyle w:val="FootnoteText"/>
        <w:rPr>
          <w:lang w:val="sr-Latn-RS"/>
        </w:rPr>
      </w:pPr>
      <w:r>
        <w:rPr>
          <w:rStyle w:val="FootnoteReference"/>
        </w:rPr>
        <w:footnoteRef/>
      </w:r>
      <w:r>
        <w:t xml:space="preserve"> </w:t>
      </w:r>
      <w:r w:rsidRPr="00FD7D9D">
        <w:t>Analiza primene afirmativnih mera u oblasti obrazovanja Roma i Romkinja i preporuke za unapređenje mera, str. 49.</w:t>
      </w:r>
    </w:p>
  </w:footnote>
  <w:footnote w:id="98">
    <w:p w:rsidR="0011214A" w:rsidRPr="00FD7D9D" w:rsidRDefault="0011214A">
      <w:pPr>
        <w:pStyle w:val="FootnoteText"/>
        <w:rPr>
          <w:lang w:val="sr-Latn-RS"/>
        </w:rPr>
      </w:pPr>
      <w:r>
        <w:rPr>
          <w:rStyle w:val="FootnoteReference"/>
        </w:rPr>
        <w:footnoteRef/>
      </w:r>
      <w:r>
        <w:t xml:space="preserve"> </w:t>
      </w:r>
      <w:r w:rsidRPr="00FD7D9D">
        <w:rPr>
          <w:rFonts w:ascii="Arial" w:hAnsi="Arial" w:cs="Arial"/>
          <w:i/>
          <w:sz w:val="16"/>
          <w:szCs w:val="16"/>
        </w:rPr>
        <w:t>Isto, str. 57–58.</w:t>
      </w:r>
    </w:p>
  </w:footnote>
  <w:footnote w:id="99">
    <w:p w:rsidR="0011214A" w:rsidRPr="005D078D" w:rsidRDefault="0011214A">
      <w:pPr>
        <w:pStyle w:val="FootnoteText"/>
        <w:rPr>
          <w:lang w:val="sr-Latn-RS"/>
        </w:rPr>
      </w:pPr>
      <w:r>
        <w:rPr>
          <w:rStyle w:val="FootnoteReference"/>
        </w:rPr>
        <w:footnoteRef/>
      </w:r>
      <w:r>
        <w:t xml:space="preserve"> </w:t>
      </w:r>
      <w:r w:rsidRPr="005D078D">
        <w:t>Lazor, M., Malidžan-Vinkić, D., Uputstvo za izradu nastavnog materijala u skladu sa principom univerzalnog dizajna, Tim za socijalno uključivanje i smanjenje siromaštva, Beograd, 2016. Dostupno na internet adresi: http://socijalnoukljucivanje.gov.rs/wp-content/uploads/2016/02/uputstvo_za_izradu_nastavnog_materijala_univerzalni_dizajn.pdf.</w:t>
      </w:r>
    </w:p>
  </w:footnote>
  <w:footnote w:id="100">
    <w:p w:rsidR="0011214A" w:rsidRPr="00EC099E" w:rsidRDefault="0011214A">
      <w:pPr>
        <w:pStyle w:val="FootnoteText"/>
        <w:rPr>
          <w:lang w:val="sr-Latn-RS"/>
        </w:rPr>
      </w:pPr>
      <w:r>
        <w:rPr>
          <w:rStyle w:val="FootnoteReference"/>
        </w:rPr>
        <w:footnoteRef/>
      </w:r>
      <w:r>
        <w:t xml:space="preserve"> </w:t>
      </w:r>
      <w:r w:rsidRPr="00EC099E">
        <w:t>Uputstvo za izradu nastavnog materijala u skladu sa principom univerzalnog dizajna, str. 4.</w:t>
      </w:r>
    </w:p>
  </w:footnote>
  <w:footnote w:id="101">
    <w:p w:rsidR="0011214A" w:rsidRPr="00EC099E" w:rsidRDefault="0011214A">
      <w:pPr>
        <w:pStyle w:val="FootnoteText"/>
        <w:rPr>
          <w:lang w:val="sr-Latn-RS"/>
        </w:rPr>
      </w:pPr>
      <w:r>
        <w:rPr>
          <w:rStyle w:val="FootnoteReference"/>
        </w:rPr>
        <w:footnoteRef/>
      </w:r>
      <w:r>
        <w:t xml:space="preserve"> </w:t>
      </w:r>
      <w:r w:rsidRPr="00EC099E">
        <w:t>Smernice za procenu uticaja na društvo, Tim za socijalno uključivanje i smanjenje siromaštva, Beograd, 2016. Dostupno na internet adresi: http://socijalnoukljucivanje.gov.rs/wp-content/uploads/2016/11/Smernice-za-procenu-uticaja-na-drustvo-SRP.pdf.</w:t>
      </w:r>
    </w:p>
  </w:footnote>
  <w:footnote w:id="102">
    <w:p w:rsidR="0011214A" w:rsidRPr="00EC099E" w:rsidRDefault="0011214A">
      <w:pPr>
        <w:pStyle w:val="FootnoteText"/>
        <w:rPr>
          <w:lang w:val="sr-Latn-RS"/>
        </w:rPr>
      </w:pPr>
      <w:r>
        <w:rPr>
          <w:rStyle w:val="FootnoteReference"/>
        </w:rPr>
        <w:footnoteRef/>
      </w:r>
      <w:r>
        <w:t xml:space="preserve"> </w:t>
      </w:r>
      <w:r w:rsidRPr="00EC099E">
        <w:t>Smernice za procenu uticaja na društvo, str. 12.</w:t>
      </w:r>
    </w:p>
  </w:footnote>
  <w:footnote w:id="103">
    <w:p w:rsidR="0011214A" w:rsidRPr="00880349" w:rsidRDefault="0011214A" w:rsidP="00880349">
      <w:pPr>
        <w:pStyle w:val="FootnoteText"/>
        <w:jc w:val="left"/>
        <w:rPr>
          <w:lang w:val="sr-Latn-RS"/>
        </w:rPr>
      </w:pPr>
      <w:r>
        <w:rPr>
          <w:rStyle w:val="FootnoteReference"/>
        </w:rPr>
        <w:footnoteRef/>
      </w:r>
      <w:r>
        <w:t xml:space="preserve"> </w:t>
      </w:r>
      <w:r w:rsidRPr="00880349">
        <w:t>Mapiranje usluga socijalne zaštite u nadležnosti jedinica lokalnih samouprava u Republici Srbiji, Tim za socijalno uključivanje i smanjenje siromaštva, Beograd, 2016. Dostupno na internet adresi: http://socijalnoukljucivanje.gov.rs/wp-content/uploads/2016/12/Mapiranje-usluga-socijalne-zastite.pdf.</w:t>
      </w:r>
    </w:p>
  </w:footnote>
  <w:footnote w:id="104">
    <w:p w:rsidR="0011214A" w:rsidRPr="00880349" w:rsidRDefault="0011214A">
      <w:pPr>
        <w:pStyle w:val="FootnoteText"/>
        <w:rPr>
          <w:lang w:val="sr-Latn-RS"/>
        </w:rPr>
      </w:pPr>
      <w:r>
        <w:rPr>
          <w:rStyle w:val="FootnoteReference"/>
        </w:rPr>
        <w:footnoteRef/>
      </w:r>
      <w:r>
        <w:t xml:space="preserve"> </w:t>
      </w:r>
      <w:r w:rsidRPr="00880349">
        <w:t>Mapiranje usluga socijalne zaštite u nadležnosti jedinica lokalnih samouprava u Republici Srbiji, str. 84.</w:t>
      </w:r>
    </w:p>
  </w:footnote>
  <w:footnote w:id="105">
    <w:p w:rsidR="0011214A" w:rsidRPr="00CA26DA" w:rsidRDefault="0011214A" w:rsidP="00CA26DA">
      <w:pPr>
        <w:pStyle w:val="FootnoteText"/>
        <w:jc w:val="left"/>
        <w:rPr>
          <w:lang w:val="sr-Latn-RS"/>
        </w:rPr>
      </w:pPr>
      <w:r>
        <w:rPr>
          <w:rStyle w:val="FootnoteReference"/>
        </w:rPr>
        <w:footnoteRef/>
      </w:r>
      <w:r>
        <w:t xml:space="preserve"> </w:t>
      </w:r>
      <w:r w:rsidRPr="00CA26DA">
        <w:t>Poseban izveštaj o informisanju na jezicima nacionalnih manjina, Zaštitnik građana, Beograd, 2016. Dostupno na:</w:t>
      </w:r>
      <w:r>
        <w:rPr>
          <w:lang w:val="sr-Latn-RS"/>
        </w:rPr>
        <w:t xml:space="preserve"> </w:t>
      </w:r>
      <w:r w:rsidRPr="007326D4">
        <w:rPr>
          <w:rFonts w:ascii="Arial" w:hAnsi="Arial" w:cs="Arial"/>
          <w:sz w:val="16"/>
          <w:szCs w:val="16"/>
        </w:rPr>
        <w:t>www.ombudsman.rs/attachments/article/5018/Izvestaj%20o%20informisanju%20na%20jezicima%20nacionalnih%20manjina%20nakon%20privatizacije%20medija.pdf</w:t>
      </w:r>
      <w:r>
        <w:rPr>
          <w:rFonts w:ascii="Arial" w:hAnsi="Arial" w:cs="Arial"/>
          <w:sz w:val="16"/>
          <w:szCs w:val="16"/>
        </w:rPr>
        <w:t>.</w:t>
      </w:r>
      <w:r w:rsidRPr="00D00F1E">
        <w:rPr>
          <w:rFonts w:ascii="Arial" w:hAnsi="Arial" w:cs="Arial"/>
          <w:sz w:val="16"/>
          <w:szCs w:val="16"/>
        </w:rPr>
        <w:t xml:space="preserve">  </w:t>
      </w:r>
    </w:p>
  </w:footnote>
  <w:footnote w:id="106">
    <w:p w:rsidR="0011214A" w:rsidRPr="00A507D8" w:rsidRDefault="0011214A">
      <w:pPr>
        <w:pStyle w:val="FootnoteText"/>
        <w:rPr>
          <w:lang w:val="sr-Latn-RS"/>
        </w:rPr>
      </w:pPr>
      <w:r>
        <w:rPr>
          <w:rStyle w:val="FootnoteReference"/>
        </w:rPr>
        <w:footnoteRef/>
      </w:r>
      <w:r>
        <w:t xml:space="preserve"> </w:t>
      </w:r>
      <w:r w:rsidRPr="00A507D8">
        <w:t>Poseban izveštaj o informisanju na jezicima nacionalnih manjina, str. 4.</w:t>
      </w:r>
    </w:p>
  </w:footnote>
  <w:footnote w:id="107">
    <w:p w:rsidR="0011214A" w:rsidRPr="00A507D8" w:rsidRDefault="0011214A">
      <w:pPr>
        <w:pStyle w:val="FootnoteText"/>
        <w:rPr>
          <w:lang w:val="sr-Latn-RS"/>
        </w:rPr>
      </w:pPr>
      <w:r>
        <w:rPr>
          <w:rStyle w:val="FootnoteReference"/>
        </w:rPr>
        <w:footnoteRef/>
      </w:r>
      <w:r>
        <w:t xml:space="preserve"> </w:t>
      </w:r>
      <w:r>
        <w:rPr>
          <w:lang w:val="sr-Latn-RS"/>
        </w:rPr>
        <w:t>Isto, str. 11</w:t>
      </w:r>
    </w:p>
  </w:footnote>
  <w:footnote w:id="108">
    <w:p w:rsidR="0011214A" w:rsidRPr="00A507D8" w:rsidRDefault="0011214A">
      <w:pPr>
        <w:pStyle w:val="FootnoteText"/>
        <w:rPr>
          <w:lang w:val="sr-Latn-RS"/>
        </w:rPr>
      </w:pPr>
      <w:r>
        <w:rPr>
          <w:rStyle w:val="FootnoteReference"/>
        </w:rPr>
        <w:footnoteRef/>
      </w:r>
      <w:r>
        <w:t xml:space="preserve"> </w:t>
      </w:r>
      <w:r>
        <w:rPr>
          <w:lang w:val="sr-Latn-RS"/>
        </w:rPr>
        <w:t>Isto, str. 15</w:t>
      </w:r>
    </w:p>
  </w:footnote>
  <w:footnote w:id="109">
    <w:p w:rsidR="0011214A" w:rsidRPr="00A507D8" w:rsidRDefault="0011214A" w:rsidP="00A507D8">
      <w:pPr>
        <w:pStyle w:val="FootnoteText"/>
        <w:jc w:val="left"/>
        <w:rPr>
          <w:lang w:val="sr-Latn-RS"/>
        </w:rPr>
      </w:pPr>
      <w:r>
        <w:rPr>
          <w:rStyle w:val="FootnoteReference"/>
        </w:rPr>
        <w:footnoteRef/>
      </w:r>
      <w:r>
        <w:t xml:space="preserve"> </w:t>
      </w:r>
      <w:r w:rsidRPr="00A507D8">
        <w:t>Zaštita žena od nasilja u porodici i partnerskim odnosima, Zaštitnik građana, Beograd, 2016. Dostupno na internet</w:t>
      </w:r>
      <w:r>
        <w:rPr>
          <w:lang w:val="sr-Latn-RS"/>
        </w:rPr>
        <w:t xml:space="preserve"> a</w:t>
      </w:r>
      <w:r w:rsidRPr="00A507D8">
        <w:t>dresi: www.ombudsman.rs/attachments/article/5031/Zbirna%20preporuka%20ZG%20Zastita%20zena%20od%20nasilja%20u%20porodici%20i%20partnerskim%20odnosima%20SRPSKI.pdf.</w:t>
      </w:r>
    </w:p>
  </w:footnote>
  <w:footnote w:id="110">
    <w:p w:rsidR="0011214A" w:rsidRPr="00A507D8" w:rsidRDefault="0011214A">
      <w:pPr>
        <w:pStyle w:val="FootnoteText"/>
        <w:rPr>
          <w:lang w:val="sr-Latn-RS"/>
        </w:rPr>
      </w:pPr>
      <w:r>
        <w:rPr>
          <w:rStyle w:val="FootnoteReference"/>
        </w:rPr>
        <w:footnoteRef/>
      </w:r>
      <w:r>
        <w:t xml:space="preserve"> </w:t>
      </w:r>
      <w:r w:rsidRPr="00A507D8">
        <w:t>Zaštita žena od nasilja u porodici i partnerskim odnosima, str. 23.</w:t>
      </w:r>
    </w:p>
  </w:footnote>
  <w:footnote w:id="111">
    <w:p w:rsidR="0011214A" w:rsidRPr="00A507D8" w:rsidRDefault="0011214A">
      <w:pPr>
        <w:pStyle w:val="FootnoteText"/>
        <w:rPr>
          <w:lang w:val="sr-Latn-RS"/>
        </w:rPr>
      </w:pPr>
      <w:r>
        <w:rPr>
          <w:rStyle w:val="FootnoteReference"/>
        </w:rPr>
        <w:footnoteRef/>
      </w:r>
      <w:r>
        <w:t xml:space="preserve"> </w:t>
      </w:r>
      <w:r>
        <w:rPr>
          <w:lang w:val="sr-Latn-RS"/>
        </w:rPr>
        <w:t>Isto, str. 28</w:t>
      </w:r>
    </w:p>
  </w:footnote>
  <w:footnote w:id="112">
    <w:p w:rsidR="0011214A" w:rsidRPr="00DC61C4" w:rsidRDefault="0011214A">
      <w:pPr>
        <w:pStyle w:val="FootnoteText"/>
        <w:rPr>
          <w:lang w:val="sr-Latn-RS"/>
        </w:rPr>
      </w:pPr>
      <w:r>
        <w:rPr>
          <w:rStyle w:val="FootnoteReference"/>
        </w:rPr>
        <w:footnoteRef/>
      </w:r>
      <w:r>
        <w:t xml:space="preserve"> </w:t>
      </w:r>
      <w:r w:rsidRPr="00DC61C4">
        <w:t>Inicijativu za izračunavanje indeksa rodne ravnopravnosti za Republiku Srbiju pokrenuli su Koordinaciono telo za rodnu ravnopravnost Vlade Republike Srbije, Tim za socijalno uključivanje i smanjenje siromaštva Vlade Republike Srbije i Republički zavod za statistiku, uz veliku podršku Evropskog instituta za rodnu ravnopravnost u Viljnusu. Za potrebe izrade indeksa rodne ravnopravnosti formirana je Radna grupa Vlade Republike Srbije, koja je uključila predstavnike svih relevantnih javnih institucija, organizacija civilnog društva, kao i stručne i akademske zajednice.</w:t>
      </w:r>
    </w:p>
  </w:footnote>
  <w:footnote w:id="113">
    <w:p w:rsidR="0011214A" w:rsidRPr="00DC61C4" w:rsidRDefault="0011214A" w:rsidP="00DC61C4">
      <w:pPr>
        <w:pStyle w:val="FootnoteText"/>
        <w:jc w:val="left"/>
        <w:rPr>
          <w:lang w:val="sr-Latn-RS"/>
        </w:rPr>
      </w:pPr>
      <w:r>
        <w:rPr>
          <w:rStyle w:val="FootnoteReference"/>
        </w:rPr>
        <w:footnoteRef/>
      </w:r>
      <w:r>
        <w:t xml:space="preserve"> </w:t>
      </w:r>
      <w:r w:rsidRPr="00DC61C4">
        <w:t xml:space="preserve">Indeks rodne ravnopravnosti za Srbiju. – U ovoj publikaciji objavljen je po prvi put indeks rodne ravnopravnosti za Srbiju, izračunat za 2014, dok se indeks rodne ravnopravnosti za EU odnosi na 2012. godinu. Dostupno na internet adresi: http://socijalnoukljucivanje.gov.rs/wp-content/uploads/2016/02/Izvestaj_Indeks_rodne_ravnopravnosti_2016_SRP.pdf.  </w:t>
      </w:r>
    </w:p>
  </w:footnote>
  <w:footnote w:id="114">
    <w:p w:rsidR="0011214A" w:rsidRPr="00DC61C4" w:rsidRDefault="0011214A">
      <w:pPr>
        <w:pStyle w:val="FootnoteText"/>
        <w:rPr>
          <w:lang w:val="sr-Latn-RS"/>
        </w:rPr>
      </w:pPr>
      <w:r>
        <w:rPr>
          <w:rStyle w:val="FootnoteReference"/>
        </w:rPr>
        <w:footnoteRef/>
      </w:r>
      <w:r>
        <w:t xml:space="preserve"> </w:t>
      </w:r>
      <w:r w:rsidRPr="00DC61C4">
        <w:t>Indeks rodne ravnopravnosti za Srbiju</w:t>
      </w:r>
      <w:r w:rsidRPr="00D00F1E">
        <w:rPr>
          <w:rFonts w:ascii="Arial" w:hAnsi="Arial" w:cs="Arial"/>
          <w:sz w:val="16"/>
          <w:szCs w:val="16"/>
        </w:rPr>
        <w:t xml:space="preserve">, </w:t>
      </w:r>
      <w:r>
        <w:rPr>
          <w:rFonts w:ascii="Arial" w:hAnsi="Arial" w:cs="Arial"/>
          <w:sz w:val="16"/>
          <w:szCs w:val="16"/>
          <w:lang w:val="sr-Latn-RS"/>
        </w:rPr>
        <w:t>str</w:t>
      </w:r>
      <w:r w:rsidRPr="00D00F1E">
        <w:rPr>
          <w:rFonts w:ascii="Arial" w:hAnsi="Arial" w:cs="Arial"/>
          <w:sz w:val="16"/>
          <w:szCs w:val="16"/>
        </w:rPr>
        <w:t>. 5</w:t>
      </w:r>
      <w:r>
        <w:rPr>
          <w:rFonts w:ascii="Arial" w:hAnsi="Arial" w:cs="Arial"/>
          <w:sz w:val="16"/>
          <w:szCs w:val="16"/>
        </w:rPr>
        <w:t>.</w:t>
      </w:r>
    </w:p>
  </w:footnote>
  <w:footnote w:id="115">
    <w:p w:rsidR="0011214A" w:rsidRPr="00290217" w:rsidRDefault="0011214A">
      <w:pPr>
        <w:pStyle w:val="FootnoteText"/>
        <w:rPr>
          <w:lang w:val="sr-Latn-RS"/>
        </w:rPr>
      </w:pPr>
      <w:r>
        <w:rPr>
          <w:rStyle w:val="FootnoteReference"/>
        </w:rPr>
        <w:footnoteRef/>
      </w:r>
      <w:r>
        <w:t xml:space="preserve"> </w:t>
      </w:r>
      <w:r>
        <w:rPr>
          <w:lang w:val="sr-Latn-RS"/>
        </w:rPr>
        <w:t>Isto, str. 83</w:t>
      </w:r>
    </w:p>
  </w:footnote>
  <w:footnote w:id="116">
    <w:p w:rsidR="0011214A" w:rsidRPr="00290217" w:rsidRDefault="0011214A">
      <w:pPr>
        <w:pStyle w:val="FootnoteText"/>
        <w:rPr>
          <w:lang w:val="sr-Latn-RS"/>
        </w:rPr>
      </w:pPr>
      <w:r>
        <w:rPr>
          <w:rStyle w:val="FootnoteReference"/>
        </w:rPr>
        <w:footnoteRef/>
      </w:r>
      <w:r>
        <w:t xml:space="preserve"> </w:t>
      </w:r>
      <w:r>
        <w:rPr>
          <w:lang w:val="sr-Latn-RS"/>
        </w:rPr>
        <w:t>Isto, str. 84</w:t>
      </w:r>
    </w:p>
  </w:footnote>
  <w:footnote w:id="117">
    <w:p w:rsidR="0011214A" w:rsidRPr="00290217" w:rsidRDefault="0011214A">
      <w:pPr>
        <w:pStyle w:val="FootnoteText"/>
        <w:rPr>
          <w:lang w:val="sr-Latn-RS"/>
        </w:rPr>
      </w:pPr>
      <w:r>
        <w:rPr>
          <w:rStyle w:val="FootnoteReference"/>
        </w:rPr>
        <w:footnoteRef/>
      </w:r>
      <w:r>
        <w:t xml:space="preserve"> </w:t>
      </w:r>
      <w:r w:rsidRPr="00290217">
        <w:t>Mogućnost pristupa ekonomskim šansama u Srbiji za žene, Tim za socijalno uključivanje i smanjenje siromaštva, Beograd, 2016. Dostupno na internet adresi: http://socijalnoukljucivanje.gov.rs/wp-content/uploads/2016/11/Mogucnost_pristupa_ekonomskim_sansama_u_Srbiji_za_zene.pdf.</w:t>
      </w:r>
    </w:p>
  </w:footnote>
  <w:footnote w:id="118">
    <w:p w:rsidR="0011214A" w:rsidRPr="00290217" w:rsidRDefault="0011214A">
      <w:pPr>
        <w:pStyle w:val="FootnoteText"/>
        <w:rPr>
          <w:lang w:val="sr-Latn-RS"/>
        </w:rPr>
      </w:pPr>
      <w:r>
        <w:rPr>
          <w:rStyle w:val="FootnoteReference"/>
        </w:rPr>
        <w:footnoteRef/>
      </w:r>
      <w:r>
        <w:t xml:space="preserve"> </w:t>
      </w:r>
      <w:r w:rsidRPr="00290217">
        <w:t>Mogućnost pristupa ekonomskim šansama u Srbiji za žene, str. 6.</w:t>
      </w:r>
    </w:p>
  </w:footnote>
  <w:footnote w:id="119">
    <w:p w:rsidR="0011214A" w:rsidRPr="002F5468" w:rsidRDefault="0011214A">
      <w:pPr>
        <w:pStyle w:val="FootnoteText"/>
        <w:rPr>
          <w:lang w:val="sr-Latn-RS"/>
        </w:rPr>
      </w:pPr>
      <w:r>
        <w:rPr>
          <w:rStyle w:val="FootnoteReference"/>
        </w:rPr>
        <w:footnoteRef/>
      </w:r>
      <w:r>
        <w:t xml:space="preserve"> </w:t>
      </w:r>
      <w:r w:rsidRPr="002F5468">
        <w:t>Primena principa rodne ravnopravnosti u jedinicama lokalne samouprave u AP Vojvodini, Pokrajinski ombudsman, Novi Sad, 2016. Podaci su prikupljeni upitnikom od 29. januara do 3. marta 2016. godine, a na njega je odgovorilo 27 od 45 jedinica lokalne samouprave. Izveštaj je dostupan na internet adresi: www.ombudsmanapv.org/riv/attachments/article/1827/Primena_principa_rodne_ravnopravnosti_2015.pdf.</w:t>
      </w:r>
    </w:p>
  </w:footnote>
  <w:footnote w:id="120">
    <w:p w:rsidR="0011214A" w:rsidRPr="002F5468" w:rsidRDefault="0011214A">
      <w:pPr>
        <w:pStyle w:val="FootnoteText"/>
        <w:rPr>
          <w:lang w:val="sr-Latn-RS"/>
        </w:rPr>
      </w:pPr>
      <w:r>
        <w:rPr>
          <w:rStyle w:val="FootnoteReference"/>
        </w:rPr>
        <w:footnoteRef/>
      </w:r>
      <w:r>
        <w:t xml:space="preserve"> </w:t>
      </w:r>
      <w:r w:rsidRPr="002F5468">
        <w:t>Zakon o ravnopravnosti polova („Službeni glasnik RS“, broj 104/09) ustanovio je i obavezu uspostavljanja lokalnih mehanizama za ostvarivanje ravnopravnosti polova, odnosno organizovanja stalnog radnog tela u okviru postojeće organizacije ili određivanje zaposlenog za obavljanje poslova rodne ravnopravnosti i ostvarivanja jednakih mogućnosti.</w:t>
      </w:r>
    </w:p>
  </w:footnote>
  <w:footnote w:id="121">
    <w:p w:rsidR="0011214A" w:rsidRPr="00AA7219" w:rsidRDefault="0011214A">
      <w:pPr>
        <w:pStyle w:val="FootnoteText"/>
        <w:rPr>
          <w:lang w:val="sr-Latn-RS"/>
        </w:rPr>
      </w:pPr>
      <w:r>
        <w:rPr>
          <w:rStyle w:val="FootnoteReference"/>
        </w:rPr>
        <w:footnoteRef/>
      </w:r>
      <w:r>
        <w:t xml:space="preserve"> </w:t>
      </w:r>
      <w:r w:rsidRPr="002F5468">
        <w:t>Pokrajinski ombudsman je prethodno sproveo ovakvo istraživanje 2012, a pošto se nakon lokalnih izbora 2012. godine promenio sastav skupština opština, istraživanje je ponovljeno. Na osnovu analize dostavljenih podataka zaključeno je da „lokalne samouprave ili nisu ispunile zakonsku obavezu, ili su to učinile samo formalno, što je posledica nedovoljnog razumevanja njihove uloge u postizanju rodne ravnopravnosti, odnosno zanemarivanja ove uloge i odgovornosti“. Isto istraživanje ponovljeno je 2015. godine. Rezultati su pokazali da lokalne samouprave principu rodne ravnopravnosti ne pridaju značaj koji zaslužuje, ne samo u smislu ostvarivanja zakonskih odredbi nego i stvarnog unapređenja ravnopravnosti žena i muškaraca</w:t>
      </w:r>
    </w:p>
  </w:footnote>
  <w:footnote w:id="122">
    <w:p w:rsidR="0011214A" w:rsidRPr="002F5468" w:rsidRDefault="0011214A">
      <w:pPr>
        <w:pStyle w:val="FootnoteText"/>
        <w:rPr>
          <w:lang w:val="sr-Latn-RS"/>
        </w:rPr>
      </w:pPr>
      <w:r>
        <w:rPr>
          <w:rStyle w:val="FootnoteReference"/>
        </w:rPr>
        <w:footnoteRef/>
      </w:r>
      <w:r>
        <w:t xml:space="preserve"> </w:t>
      </w:r>
      <w:r w:rsidRPr="00AA7219">
        <w:t>Istraživanje Pokrajinskog ombudsmana „Primena principa rodne ravnopravnosti u jedinicama lokalne samouprave u AP Vojvodini“, str. 14.</w:t>
      </w:r>
    </w:p>
  </w:footnote>
  <w:footnote w:id="123">
    <w:p w:rsidR="0011214A" w:rsidRPr="00462592" w:rsidRDefault="0011214A">
      <w:pPr>
        <w:pStyle w:val="FootnoteText"/>
        <w:rPr>
          <w:lang w:val="sr-Latn-RS"/>
        </w:rPr>
      </w:pPr>
      <w:r>
        <w:rPr>
          <w:rStyle w:val="FootnoteReference"/>
        </w:rPr>
        <w:footnoteRef/>
      </w:r>
      <w:r>
        <w:t xml:space="preserve"> </w:t>
      </w:r>
      <w:r w:rsidRPr="00462592">
        <w:t>Bečej, Stara Pazova, Temerin, Kula.</w:t>
      </w:r>
    </w:p>
  </w:footnote>
  <w:footnote w:id="124">
    <w:p w:rsidR="0011214A" w:rsidRPr="00462592" w:rsidRDefault="0011214A">
      <w:pPr>
        <w:pStyle w:val="FootnoteText"/>
        <w:rPr>
          <w:lang w:val="sr-Latn-RS"/>
        </w:rPr>
      </w:pPr>
      <w:r>
        <w:rPr>
          <w:rStyle w:val="FootnoteReference"/>
        </w:rPr>
        <w:footnoteRef/>
      </w:r>
      <w:r>
        <w:t xml:space="preserve"> </w:t>
      </w:r>
      <w:r w:rsidRPr="00462592">
        <w:t>Slično su pokazali i rezultati prethodne analize, prema kojoj skoro dve trećine jedinica lokalne samouprave (72%) nije usvojilo odluku o ravnopravnosti polova.</w:t>
      </w:r>
    </w:p>
  </w:footnote>
  <w:footnote w:id="125">
    <w:p w:rsidR="0011214A" w:rsidRPr="00462592" w:rsidRDefault="0011214A">
      <w:pPr>
        <w:pStyle w:val="FootnoteText"/>
        <w:rPr>
          <w:lang w:val="sr-Latn-RS"/>
        </w:rPr>
      </w:pPr>
      <w:r>
        <w:rPr>
          <w:rStyle w:val="FootnoteReference"/>
        </w:rPr>
        <w:footnoteRef/>
      </w:r>
      <w:r>
        <w:t xml:space="preserve"> </w:t>
      </w:r>
      <w:r w:rsidRPr="00462592">
        <w:t>Plandište, Bečej, Zrenjanin, Apatin, Inđija, Temerin, Vrbas i Pančevo, pri čemu su ovi podaci za Vrbas, Zrenjanin, Apatin, Temerin i Plandište dostupni na internet stranicama jedinice lokalne samouprave.</w:t>
      </w:r>
    </w:p>
  </w:footnote>
  <w:footnote w:id="126">
    <w:p w:rsidR="0011214A" w:rsidRPr="00462592" w:rsidRDefault="0011214A">
      <w:pPr>
        <w:pStyle w:val="FootnoteText"/>
        <w:rPr>
          <w:lang w:val="sr-Latn-RS"/>
        </w:rPr>
      </w:pPr>
      <w:r>
        <w:rPr>
          <w:rStyle w:val="FootnoteReference"/>
        </w:rPr>
        <w:footnoteRef/>
      </w:r>
      <w:r>
        <w:t xml:space="preserve"> </w:t>
      </w:r>
      <w:r w:rsidRPr="00462592">
        <w:t>Navodi se da je u opštinama Kula i Plandište među odbornicima oko 60% žena i 40% muškaraca, a u ostalim jedinicama lokalne samouprave muškarci čine većinu (52% do 77%).</w:t>
      </w:r>
    </w:p>
  </w:footnote>
  <w:footnote w:id="127">
    <w:p w:rsidR="0011214A" w:rsidRPr="00462592" w:rsidRDefault="0011214A">
      <w:pPr>
        <w:pStyle w:val="FootnoteText"/>
        <w:rPr>
          <w:lang w:val="sr-Latn-RS"/>
        </w:rPr>
      </w:pPr>
      <w:r>
        <w:rPr>
          <w:rStyle w:val="FootnoteReference"/>
        </w:rPr>
        <w:footnoteRef/>
      </w:r>
      <w:r>
        <w:t xml:space="preserve"> </w:t>
      </w:r>
      <w:r w:rsidRPr="00462592">
        <w:t>Istraživanje Pokrajinskog ombudsmana „Primena principa rodne ravnopravnosti u jedinicama lokalne samouprave u AP Vojvodini“, str. 11.</w:t>
      </w:r>
    </w:p>
  </w:footnote>
  <w:footnote w:id="128">
    <w:p w:rsidR="0011214A" w:rsidRPr="00BF67F4" w:rsidRDefault="0011214A" w:rsidP="00BF67F4">
      <w:pPr>
        <w:pStyle w:val="FootnoteText"/>
        <w:jc w:val="left"/>
        <w:rPr>
          <w:lang w:val="sr-Latn-RS"/>
        </w:rPr>
      </w:pPr>
      <w:r>
        <w:rPr>
          <w:rStyle w:val="FootnoteReference"/>
        </w:rPr>
        <w:footnoteRef/>
      </w:r>
      <w:r>
        <w:t xml:space="preserve"> </w:t>
      </w:r>
      <w:r w:rsidRPr="00BF67F4">
        <w:t>Nedeljkov, J., Banauh Brusin, M., Zbirka konferencija slučaja nasilja nad ženama u porodici i partnerskim odnosima, Pokrajinski sekretarijat za socijalnu politiku, demografiju i ravnopravnost polova, Novi Sad, 2016. Dostupno na internet adresi: www.womenngo.org.rs/images/publikacije-dp/2016/Zbirka_konferencija_slucaja_nasilja_nad_zenama_u_porodici_i_partnerskim_odnosima.pdf.</w:t>
      </w:r>
    </w:p>
  </w:footnote>
  <w:footnote w:id="129">
    <w:p w:rsidR="0011214A" w:rsidRPr="004C1417" w:rsidRDefault="0011214A">
      <w:pPr>
        <w:pStyle w:val="FootnoteText"/>
        <w:rPr>
          <w:lang w:val="sr-Latn-RS"/>
        </w:rPr>
      </w:pPr>
      <w:r>
        <w:rPr>
          <w:rStyle w:val="FootnoteReference"/>
        </w:rPr>
        <w:footnoteRef/>
      </w:r>
      <w:r>
        <w:t xml:space="preserve"> </w:t>
      </w:r>
      <w:r w:rsidRPr="004C1417">
        <w:t>Zbirka konferencija slučaja nasilja nad ženama u porodici i partnerskim odnosima, str. 4.</w:t>
      </w:r>
    </w:p>
  </w:footnote>
  <w:footnote w:id="130">
    <w:p w:rsidR="0011214A" w:rsidRPr="004C1417" w:rsidRDefault="0011214A" w:rsidP="004C1417">
      <w:pPr>
        <w:pStyle w:val="FootnoteText"/>
        <w:jc w:val="left"/>
        <w:rPr>
          <w:lang w:val="sr-Latn-RS"/>
        </w:rPr>
      </w:pPr>
      <w:r>
        <w:rPr>
          <w:rStyle w:val="FootnoteReference"/>
        </w:rPr>
        <w:footnoteRef/>
      </w:r>
      <w:r>
        <w:t xml:space="preserve"> </w:t>
      </w:r>
      <w:r w:rsidRPr="004C1417">
        <w:t>Reljanović, M., Ružić, B., Petrović, A., Analiza efekata primene izmena i dopuna Zakona o radu, Fondacija centar za demokratiju, Beograd 2016. Dostupna na internet adresi: www.centaronline.org/userfiles/files/publikacije/fcd-analiza-efekata-primene-izmena-i-dopuna-zakona-o-radu.pdf.</w:t>
      </w:r>
    </w:p>
  </w:footnote>
  <w:footnote w:id="131">
    <w:p w:rsidR="0011214A" w:rsidRPr="004C1417" w:rsidRDefault="0011214A">
      <w:pPr>
        <w:pStyle w:val="FootnoteText"/>
        <w:rPr>
          <w:lang w:val="sr-Latn-RS"/>
        </w:rPr>
      </w:pPr>
      <w:r>
        <w:rPr>
          <w:rStyle w:val="FootnoteReference"/>
        </w:rPr>
        <w:footnoteRef/>
      </w:r>
      <w:r>
        <w:t xml:space="preserve"> </w:t>
      </w:r>
      <w:r w:rsidRPr="004C1417">
        <w:t>Analiza efekata primene izmena i dopuna Zakona o radu, str. 76.</w:t>
      </w:r>
    </w:p>
  </w:footnote>
  <w:footnote w:id="132">
    <w:p w:rsidR="0011214A" w:rsidRPr="004C1417" w:rsidRDefault="0011214A">
      <w:pPr>
        <w:pStyle w:val="FootnoteText"/>
        <w:rPr>
          <w:lang w:val="sr-Latn-RS"/>
        </w:rPr>
      </w:pPr>
      <w:r>
        <w:rPr>
          <w:rStyle w:val="FootnoteReference"/>
        </w:rPr>
        <w:footnoteRef/>
      </w:r>
      <w:r>
        <w:t xml:space="preserve"> </w:t>
      </w:r>
      <w:r w:rsidRPr="004C1417">
        <w:t>Analitički izveštaj o nedostacima i pravnim prazninama u implementaciji postojećih politika anti-diskriminacije, prevencije nasilja, zločina i govora iz mržnje prema LGBT osobama, Komitet pravnika za ljudska prava YUCOM, Beograd, 2016. Dostupno na internet adresi: www.yucom.org.rs/wp-content/uploads/2016/11/Analiticki-izvestaj-i-preporuke-LGBT-prava.pdf.</w:t>
      </w:r>
    </w:p>
  </w:footnote>
  <w:footnote w:id="133">
    <w:p w:rsidR="0011214A" w:rsidRPr="004C1417" w:rsidRDefault="0011214A">
      <w:pPr>
        <w:pStyle w:val="FootnoteText"/>
        <w:rPr>
          <w:lang w:val="sr-Latn-RS"/>
        </w:rPr>
      </w:pPr>
      <w:r>
        <w:rPr>
          <w:rStyle w:val="FootnoteReference"/>
        </w:rPr>
        <w:footnoteRef/>
      </w:r>
      <w:r>
        <w:t xml:space="preserve"> </w:t>
      </w:r>
      <w:r w:rsidRPr="004C1417">
        <w:t>Podaci iz izveštaja pokazuju da svega 10% slučajeva biva prijavljeno nadležnim organima.</w:t>
      </w:r>
    </w:p>
  </w:footnote>
  <w:footnote w:id="134">
    <w:p w:rsidR="0011214A" w:rsidRPr="004C1417" w:rsidRDefault="0011214A">
      <w:pPr>
        <w:pStyle w:val="FootnoteText"/>
        <w:rPr>
          <w:lang w:val="sr-Latn-RS"/>
        </w:rPr>
      </w:pPr>
      <w:r>
        <w:rPr>
          <w:rStyle w:val="FootnoteReference"/>
        </w:rPr>
        <w:footnoteRef/>
      </w:r>
      <w:r>
        <w:t xml:space="preserve"> </w:t>
      </w:r>
      <w:r w:rsidRPr="004C1417">
        <w:t>Analitički izveštaj o nedostacima i pravnim prazninama u implementaciji postojećih politika antidiskriminacije, prevencije nasilja, zločina i govora iz mržnje prema LGBT osobama, Komitet pravnika za ljudska prava YUCOM, str. 5.</w:t>
      </w:r>
    </w:p>
  </w:footnote>
  <w:footnote w:id="135">
    <w:p w:rsidR="0011214A" w:rsidRPr="004C1417" w:rsidRDefault="0011214A">
      <w:pPr>
        <w:pStyle w:val="FootnoteText"/>
        <w:rPr>
          <w:lang w:val="sr-Latn-RS"/>
        </w:rPr>
      </w:pPr>
      <w:r>
        <w:rPr>
          <w:rStyle w:val="FootnoteReference"/>
        </w:rPr>
        <w:footnoteRef/>
      </w:r>
      <w:r>
        <w:t xml:space="preserve"> </w:t>
      </w:r>
      <w:r w:rsidRPr="004C1417">
        <w:t>U izveštaju je ocenjeno da u slučaju napada na četiri lezbejke u kafiću „SFRJ“ istraga nije uspela da otkrije izvršioce krivičnog dela, uprkos činjenici da je zločin izvršen naočigled velikog broja ljudi, u centru grada, koji je pokriven video-nadzorom mnogobrojnih kamera. Nevoljnost svedoka da istupe dodatno je osnažena</w:t>
      </w:r>
      <w:r>
        <w:rPr>
          <w:lang w:val="sr-Latn-RS"/>
        </w:rPr>
        <w:t xml:space="preserve"> </w:t>
      </w:r>
      <w:r w:rsidRPr="004C1417">
        <w:rPr>
          <w:lang w:val="sr-Latn-RS"/>
        </w:rPr>
        <w:t>senzacionalističkim izveštavanjem medija, kojim se u prvi plan isticala pretpostavka da su napad izvršili navijači FK Rad.</w:t>
      </w:r>
    </w:p>
  </w:footnote>
  <w:footnote w:id="136">
    <w:p w:rsidR="0011214A" w:rsidRPr="00340B46" w:rsidRDefault="0011214A">
      <w:pPr>
        <w:pStyle w:val="FootnoteText"/>
        <w:rPr>
          <w:lang w:val="sr-Latn-RS"/>
        </w:rPr>
      </w:pPr>
      <w:r>
        <w:rPr>
          <w:rStyle w:val="FootnoteReference"/>
        </w:rPr>
        <w:footnoteRef/>
      </w:r>
      <w:r>
        <w:t xml:space="preserve"> </w:t>
      </w:r>
      <w:r w:rsidRPr="00340B46">
        <w:t>U drugom slučaju fizičkog napada na pripadnika LGBT, kako se navodi, izvršioci su ubrzo nakon izvršenog krivičnog dela otkriveni istragom, ali su uspeli da izbegnu krivičnu odgovornost sklapanjem sporazuma o oportunitetu s tužilaštvom (institut odlaganja krivičnog gonjenja). Praksa je pokazala da se institut oportuniteta često primenjuje u slučajevima nasilnih krivičnih dela usmerenih protiv ranjivih grupa.</w:t>
      </w:r>
    </w:p>
  </w:footnote>
  <w:footnote w:id="137">
    <w:p w:rsidR="0011214A" w:rsidRPr="00340B46" w:rsidRDefault="0011214A">
      <w:pPr>
        <w:pStyle w:val="FootnoteText"/>
        <w:rPr>
          <w:lang w:val="sr-Latn-RS"/>
        </w:rPr>
      </w:pPr>
      <w:r>
        <w:rPr>
          <w:rStyle w:val="FootnoteReference"/>
        </w:rPr>
        <w:footnoteRef/>
      </w:r>
      <w:r>
        <w:t xml:space="preserve"> </w:t>
      </w:r>
      <w:r w:rsidRPr="00340B46">
        <w:t>Analitički izveštaj o nedostacima i pravnim prazninama u implementaciji postojećih politika antidiskriminacije, prevencije nasilja, zločina i govora iz mržnje prema LGBT osobama, Komitet pravnika za ljudska prava YUCOM, str. 13.</w:t>
      </w:r>
    </w:p>
  </w:footnote>
  <w:footnote w:id="138">
    <w:p w:rsidR="0011214A" w:rsidRPr="00340B46" w:rsidRDefault="0011214A">
      <w:pPr>
        <w:pStyle w:val="FootnoteText"/>
        <w:rPr>
          <w:lang w:val="sr-Latn-RS"/>
        </w:rPr>
      </w:pPr>
      <w:r>
        <w:rPr>
          <w:rStyle w:val="FootnoteReference"/>
        </w:rPr>
        <w:footnoteRef/>
      </w:r>
      <w:r>
        <w:t xml:space="preserve"> </w:t>
      </w:r>
      <w:r w:rsidRPr="00340B46">
        <w:t>Dostupno na internet adresi: www.savetzastampu.rs/cirilica/izvestaji/110/2016/09/20/1251/rezultati-rada-komisije-za-zalbe-saveta-za-stampu-u-periodu-od-1_-maja-do-31_-avgusta.html.</w:t>
      </w:r>
    </w:p>
  </w:footnote>
  <w:footnote w:id="139">
    <w:p w:rsidR="0011214A" w:rsidRPr="00340B46" w:rsidRDefault="0011214A" w:rsidP="00340B46">
      <w:pPr>
        <w:pStyle w:val="FootnoteText"/>
        <w:jc w:val="left"/>
        <w:rPr>
          <w:lang w:val="sr-Latn-RS"/>
        </w:rPr>
      </w:pPr>
      <w:r>
        <w:rPr>
          <w:rStyle w:val="FootnoteReference"/>
        </w:rPr>
        <w:footnoteRef/>
      </w:r>
      <w:r>
        <w:t xml:space="preserve"> </w:t>
      </w:r>
      <w:r w:rsidRPr="00340B46">
        <w:t>Dostupno na internet adresi: www.savetzastampu.rs/doc/monitoring-2016/izvestaj-o-monitoringu-postovanja-kodeksa-novinara-srbije-u-dnevnim-stampanim-medijima-mart-avgust-2016.pdf.</w:t>
      </w:r>
    </w:p>
  </w:footnote>
  <w:footnote w:id="140">
    <w:p w:rsidR="0011214A" w:rsidRPr="004204FB" w:rsidRDefault="0011214A">
      <w:pPr>
        <w:pStyle w:val="FootnoteText"/>
        <w:rPr>
          <w:lang w:val="sr-Latn-RS"/>
        </w:rPr>
      </w:pPr>
      <w:r>
        <w:rPr>
          <w:rStyle w:val="FootnoteReference"/>
        </w:rPr>
        <w:footnoteRef/>
      </w:r>
      <w:r>
        <w:t xml:space="preserve"> </w:t>
      </w:r>
      <w:r w:rsidRPr="004204FB">
        <w:t>Vodič za novinar(k)e – nasilje u porodici, Tanja Ignjatović (ur.), Autonomni ženski centar, Beograd, 2016. Dostupno na internet adresi: www.womenngo.org.rs/images/publikacije-dp/2016/Vodic_za_novinarke-nasilje_u_porodici-II_izdanje.pdf.</w:t>
      </w:r>
    </w:p>
  </w:footnote>
  <w:footnote w:id="141">
    <w:p w:rsidR="0011214A" w:rsidRPr="004204FB" w:rsidRDefault="0011214A">
      <w:pPr>
        <w:pStyle w:val="FootnoteText"/>
        <w:rPr>
          <w:lang w:val="sr-Latn-RS"/>
        </w:rPr>
      </w:pPr>
      <w:r>
        <w:rPr>
          <w:rStyle w:val="FootnoteReference"/>
        </w:rPr>
        <w:footnoteRef/>
      </w:r>
      <w:r>
        <w:t xml:space="preserve"> </w:t>
      </w:r>
      <w:r w:rsidRPr="004204FB">
        <w:t>Isto, str. 32.</w:t>
      </w:r>
    </w:p>
  </w:footnote>
  <w:footnote w:id="142">
    <w:p w:rsidR="0011214A" w:rsidRPr="004204FB" w:rsidRDefault="0011214A">
      <w:pPr>
        <w:pStyle w:val="FootnoteText"/>
        <w:rPr>
          <w:lang w:val="sr-Latn-RS"/>
        </w:rPr>
      </w:pPr>
      <w:r>
        <w:rPr>
          <w:rStyle w:val="FootnoteReference"/>
        </w:rPr>
        <w:footnoteRef/>
      </w:r>
      <w:r>
        <w:t xml:space="preserve"> Isto, str. 32</w:t>
      </w:r>
      <w:r>
        <w:rPr>
          <w:lang w:val="sr-Latn-RS"/>
        </w:rPr>
        <w:t>-33</w:t>
      </w:r>
    </w:p>
  </w:footnote>
  <w:footnote w:id="143">
    <w:p w:rsidR="0011214A" w:rsidRPr="004204FB" w:rsidRDefault="0011214A">
      <w:pPr>
        <w:pStyle w:val="FootnoteText"/>
        <w:rPr>
          <w:lang w:val="sr-Latn-RS"/>
        </w:rPr>
      </w:pPr>
      <w:r>
        <w:rPr>
          <w:rStyle w:val="FootnoteReference"/>
        </w:rPr>
        <w:footnoteRef/>
      </w:r>
      <w:r>
        <w:t xml:space="preserve"> </w:t>
      </w:r>
      <w:r w:rsidRPr="004204FB">
        <w:t>Srbija od zemlje tranzita do zemlje destinacije, Beogradski centar za ljudska prava, Beograd, 2016. Dostupno na internet adresi: www.bgcentar.org.rs/bgcentar/wp-content/uploads/2016/06/Srbija-od-zemlje-tranzita-do-zemlje-destinacije-3.pdf.</w:t>
      </w:r>
    </w:p>
  </w:footnote>
  <w:footnote w:id="144">
    <w:p w:rsidR="0011214A" w:rsidRPr="00643D15" w:rsidRDefault="0011214A">
      <w:pPr>
        <w:pStyle w:val="FootnoteText"/>
        <w:rPr>
          <w:lang w:val="sr-Latn-RS"/>
        </w:rPr>
      </w:pPr>
      <w:r>
        <w:rPr>
          <w:rStyle w:val="FootnoteReference"/>
        </w:rPr>
        <w:footnoteRef/>
      </w:r>
      <w:r>
        <w:t xml:space="preserve"> </w:t>
      </w:r>
      <w:r w:rsidRPr="00643D15">
        <w:t>Publikacija pod nazivom Rodna analiza Zakona o azilu – Primena načela rodne ravnopravnosti u sistemu azila u Republici Srbiji, nastala je kao rezultat projekta „Izbeglička i migrantska kriza na Zapadnom Balkanu“, koji Beogradski centar za ljudska prava sprovodi u saradnji sa organizacijom Oxfam i UN Women. Dostupno na internet adresi: www.scribd.com/document/327315703/Rodna-analiza-Zakona-o-azilu-Asylum-Act-Gender-Analysis.</w:t>
      </w:r>
    </w:p>
  </w:footnote>
  <w:footnote w:id="145">
    <w:p w:rsidR="0011214A" w:rsidRPr="00643D15" w:rsidRDefault="0011214A">
      <w:pPr>
        <w:pStyle w:val="FootnoteText"/>
        <w:rPr>
          <w:lang w:val="sr-Latn-RS"/>
        </w:rPr>
      </w:pPr>
      <w:r>
        <w:rPr>
          <w:rStyle w:val="FootnoteReference"/>
        </w:rPr>
        <w:footnoteRef/>
      </w:r>
      <w:r>
        <w:t xml:space="preserve"> </w:t>
      </w:r>
      <w:r w:rsidRPr="00643D15">
        <w:t>Isto, str. 82.</w:t>
      </w:r>
    </w:p>
  </w:footnote>
  <w:footnote w:id="146">
    <w:p w:rsidR="0011214A" w:rsidRPr="00643D15" w:rsidRDefault="0011214A">
      <w:pPr>
        <w:pStyle w:val="FootnoteText"/>
        <w:rPr>
          <w:lang w:val="sr-Latn-RS"/>
        </w:rPr>
      </w:pPr>
      <w:r>
        <w:rPr>
          <w:rStyle w:val="FootnoteReference"/>
        </w:rPr>
        <w:footnoteRef/>
      </w:r>
      <w:r>
        <w:t xml:space="preserve"> Isto, str. 8</w:t>
      </w:r>
      <w:r>
        <w:rPr>
          <w:lang w:val="sr-Latn-RS"/>
        </w:rPr>
        <w:t>4</w:t>
      </w:r>
      <w:r w:rsidRPr="00643D15">
        <w:t>.</w:t>
      </w:r>
    </w:p>
  </w:footnote>
  <w:footnote w:id="147">
    <w:p w:rsidR="0011214A" w:rsidRPr="00C476DB" w:rsidRDefault="0011214A">
      <w:pPr>
        <w:pStyle w:val="FootnoteText"/>
        <w:rPr>
          <w:lang w:val="sr-Latn-RS"/>
        </w:rPr>
      </w:pPr>
      <w:r>
        <w:rPr>
          <w:rStyle w:val="FootnoteReference"/>
        </w:rPr>
        <w:footnoteRef/>
      </w:r>
      <w:r>
        <w:t xml:space="preserve"> </w:t>
      </w:r>
      <w:r w:rsidRPr="00C476DB">
        <w:t>Zaštita manjinskih prava Roma, Romski informativni centar, Kragujevac 2016. Dostupno na internet adresi: http://socijalnoukljucivanje.gov.rs/wp-content/uploads/2016/01/Zastita_manjinskih_prava_Roma.pdf.</w:t>
      </w:r>
    </w:p>
  </w:footnote>
  <w:footnote w:id="148">
    <w:p w:rsidR="0011214A" w:rsidRPr="00C476DB" w:rsidRDefault="0011214A">
      <w:pPr>
        <w:pStyle w:val="FootnoteText"/>
        <w:rPr>
          <w:lang w:val="sr-Latn-RS"/>
        </w:rPr>
      </w:pPr>
      <w:r>
        <w:rPr>
          <w:rStyle w:val="FootnoteReference"/>
        </w:rPr>
        <w:footnoteRef/>
      </w:r>
      <w:r>
        <w:t xml:space="preserve"> </w:t>
      </w:r>
      <w:r w:rsidRPr="00C476DB">
        <w:t xml:space="preserve">Zaštita manjinskih prava Roma, str. 25.  </w:t>
      </w:r>
    </w:p>
  </w:footnote>
  <w:footnote w:id="149">
    <w:p w:rsidR="0011214A" w:rsidRPr="00C476DB" w:rsidRDefault="0011214A">
      <w:pPr>
        <w:pStyle w:val="FootnoteText"/>
        <w:rPr>
          <w:lang w:val="sr-Latn-RS"/>
        </w:rPr>
      </w:pPr>
      <w:r>
        <w:rPr>
          <w:rStyle w:val="FootnoteReference"/>
        </w:rPr>
        <w:footnoteRef/>
      </w:r>
      <w:r>
        <w:t xml:space="preserve"> Isto, str. </w:t>
      </w:r>
      <w:r>
        <w:rPr>
          <w:lang w:val="sr-Latn-RS"/>
        </w:rPr>
        <w:t>27</w:t>
      </w:r>
    </w:p>
  </w:footnote>
  <w:footnote w:id="150">
    <w:p w:rsidR="0011214A" w:rsidRPr="001C1F2A" w:rsidRDefault="0011214A">
      <w:pPr>
        <w:pStyle w:val="FootnoteText"/>
        <w:rPr>
          <w:lang w:val="sr-Latn-RS"/>
        </w:rPr>
      </w:pPr>
      <w:r>
        <w:rPr>
          <w:rStyle w:val="FootnoteReference"/>
        </w:rPr>
        <w:footnoteRef/>
      </w:r>
      <w:r>
        <w:t xml:space="preserve"> Isto, str. </w:t>
      </w:r>
      <w:r>
        <w:rPr>
          <w:lang w:val="sr-Latn-RS"/>
        </w:rPr>
        <w:t>27</w:t>
      </w:r>
    </w:p>
  </w:footnote>
  <w:footnote w:id="151">
    <w:p w:rsidR="0011214A" w:rsidRPr="001C1F2A" w:rsidRDefault="0011214A">
      <w:pPr>
        <w:pStyle w:val="FootnoteText"/>
        <w:rPr>
          <w:lang w:val="sr-Latn-RS"/>
        </w:rPr>
      </w:pPr>
      <w:r>
        <w:rPr>
          <w:rStyle w:val="FootnoteReference"/>
        </w:rPr>
        <w:footnoteRef/>
      </w:r>
      <w:r>
        <w:t xml:space="preserve"> Isto, str. </w:t>
      </w:r>
      <w:r>
        <w:rPr>
          <w:lang w:val="sr-Latn-RS"/>
        </w:rPr>
        <w:t>51</w:t>
      </w:r>
    </w:p>
  </w:footnote>
  <w:footnote w:id="152">
    <w:p w:rsidR="0011214A" w:rsidRPr="001C1F2A" w:rsidRDefault="0011214A">
      <w:pPr>
        <w:pStyle w:val="FootnoteText"/>
        <w:rPr>
          <w:lang w:val="sr-Latn-RS"/>
        </w:rPr>
      </w:pPr>
      <w:r>
        <w:rPr>
          <w:rStyle w:val="FootnoteReference"/>
        </w:rPr>
        <w:footnoteRef/>
      </w:r>
      <w:r>
        <w:t xml:space="preserve"> Isto, str. </w:t>
      </w:r>
      <w:r>
        <w:rPr>
          <w:lang w:val="sr-Latn-RS"/>
        </w:rPr>
        <w:t>53</w:t>
      </w:r>
    </w:p>
  </w:footnote>
  <w:footnote w:id="153">
    <w:p w:rsidR="0011214A" w:rsidRPr="001C1F2A" w:rsidRDefault="0011214A">
      <w:pPr>
        <w:pStyle w:val="FootnoteText"/>
        <w:rPr>
          <w:lang w:val="sr-Latn-RS"/>
        </w:rPr>
      </w:pPr>
      <w:r>
        <w:rPr>
          <w:rStyle w:val="FootnoteReference"/>
        </w:rPr>
        <w:footnoteRef/>
      </w:r>
      <w:r>
        <w:t xml:space="preserve"> Isto, str. </w:t>
      </w:r>
      <w:r>
        <w:rPr>
          <w:lang w:val="sr-Latn-RS"/>
        </w:rPr>
        <w:t>54</w:t>
      </w:r>
    </w:p>
  </w:footnote>
  <w:footnote w:id="154">
    <w:p w:rsidR="0011214A" w:rsidRPr="00EC1BDA" w:rsidRDefault="0011214A">
      <w:pPr>
        <w:pStyle w:val="FootnoteText"/>
        <w:rPr>
          <w:lang w:val="sr-Latn-RS"/>
        </w:rPr>
      </w:pPr>
      <w:r>
        <w:rPr>
          <w:rStyle w:val="FootnoteReference"/>
        </w:rPr>
        <w:footnoteRef/>
      </w:r>
      <w:r>
        <w:t xml:space="preserve"> </w:t>
      </w:r>
      <w:r w:rsidRPr="00EC1BDA">
        <w:t>Dokument dostupan na engleskom jeziku na adresi: www.praxis.org.rs/images/praxis_downloads/Serbia-crc-submission-december-2016.pdf.</w:t>
      </w:r>
    </w:p>
  </w:footnote>
  <w:footnote w:id="155">
    <w:p w:rsidR="0011214A" w:rsidRPr="00EC1BDA" w:rsidRDefault="0011214A">
      <w:pPr>
        <w:pStyle w:val="FootnoteText"/>
        <w:rPr>
          <w:lang w:val="sr-Latn-RS"/>
        </w:rPr>
      </w:pPr>
      <w:r>
        <w:rPr>
          <w:rStyle w:val="FootnoteReference"/>
        </w:rPr>
        <w:footnoteRef/>
      </w:r>
      <w:r>
        <w:t xml:space="preserve"> </w:t>
      </w:r>
      <w:r w:rsidRPr="00EC1BDA">
        <w:t>Kao najveći problem se ističe to da prikupljanje podataka o etničkoj/nacionalnoj pripadnosti nije integralni deo tzv. Jedinstvenog informacionog sistema u prosveti Republike Srbije.</w:t>
      </w:r>
    </w:p>
  </w:footnote>
  <w:footnote w:id="156">
    <w:p w:rsidR="0011214A" w:rsidRPr="00EC1BDA" w:rsidRDefault="0011214A">
      <w:pPr>
        <w:pStyle w:val="FootnoteText"/>
        <w:rPr>
          <w:lang w:val="sr-Latn-RS"/>
        </w:rPr>
      </w:pPr>
      <w:r>
        <w:rPr>
          <w:rStyle w:val="FootnoteReference"/>
        </w:rPr>
        <w:footnoteRef/>
      </w:r>
      <w:r>
        <w:t xml:space="preserve"> </w:t>
      </w:r>
      <w:r w:rsidRPr="00EC1BDA">
        <w:t>Izveštaj Evropskog centra za prava Roma (ERRC) i NVO Praksis, str. 4</w:t>
      </w:r>
    </w:p>
  </w:footnote>
  <w:footnote w:id="157">
    <w:p w:rsidR="0011214A" w:rsidRPr="00EC1BDA" w:rsidRDefault="0011214A">
      <w:pPr>
        <w:pStyle w:val="FootnoteText"/>
        <w:rPr>
          <w:lang w:val="sr-Latn-RS"/>
        </w:rPr>
      </w:pPr>
      <w:r>
        <w:rPr>
          <w:rStyle w:val="FootnoteReference"/>
        </w:rPr>
        <w:footnoteRef/>
      </w:r>
      <w:r>
        <w:t xml:space="preserve"> </w:t>
      </w:r>
      <w:r>
        <w:rPr>
          <w:lang w:val="sr-Latn-RS"/>
        </w:rPr>
        <w:t>Isto, str. 5</w:t>
      </w:r>
    </w:p>
  </w:footnote>
  <w:footnote w:id="158">
    <w:p w:rsidR="0011214A" w:rsidRPr="00EC1BDA" w:rsidRDefault="0011214A">
      <w:pPr>
        <w:pStyle w:val="FootnoteText"/>
        <w:rPr>
          <w:lang w:val="sr-Latn-RS"/>
        </w:rPr>
      </w:pPr>
      <w:r>
        <w:rPr>
          <w:rStyle w:val="FootnoteReference"/>
        </w:rPr>
        <w:footnoteRef/>
      </w:r>
      <w:r>
        <w:t xml:space="preserve"> </w:t>
      </w:r>
      <w:r>
        <w:rPr>
          <w:lang w:val="sr-Latn-RS"/>
        </w:rPr>
        <w:t>Isto, str. 5</w:t>
      </w:r>
    </w:p>
  </w:footnote>
  <w:footnote w:id="159">
    <w:p w:rsidR="0011214A" w:rsidRPr="00EC1BDA" w:rsidRDefault="0011214A">
      <w:pPr>
        <w:pStyle w:val="FootnoteText"/>
        <w:rPr>
          <w:lang w:val="sr-Latn-RS"/>
        </w:rPr>
      </w:pPr>
      <w:r>
        <w:rPr>
          <w:rStyle w:val="FootnoteReference"/>
        </w:rPr>
        <w:footnoteRef/>
      </w:r>
      <w:r>
        <w:t xml:space="preserve"> </w:t>
      </w:r>
      <w:r w:rsidRPr="00EC1BDA">
        <w:t>Pozivajući se na član 7(1) Konvencije o pravima deteta, koji nalaže da upis rođenja mora biti odmah po rođenju, Ustavni sud je u septembru odbio ovu inicijativu.</w:t>
      </w:r>
    </w:p>
  </w:footnote>
  <w:footnote w:id="160">
    <w:p w:rsidR="0011214A" w:rsidRPr="008B2538" w:rsidRDefault="0011214A">
      <w:pPr>
        <w:pStyle w:val="FootnoteText"/>
        <w:rPr>
          <w:lang w:val="sr-Latn-RS"/>
        </w:rPr>
      </w:pPr>
      <w:r>
        <w:rPr>
          <w:rStyle w:val="FootnoteReference"/>
        </w:rPr>
        <w:footnoteRef/>
      </w:r>
      <w:r>
        <w:t xml:space="preserve"> </w:t>
      </w:r>
      <w:r w:rsidRPr="008B2538">
        <w:t xml:space="preserve">Statistički godišnjak, Republički zavod za statistiku, Beograd, 2016, str. 32. Izveštaj je dostupan na internet adresi: http://pod2.stat.gov.rs/ObjavljenePublikacije/G2016/pdf/G20162019.pdf.  </w:t>
      </w:r>
    </w:p>
  </w:footnote>
  <w:footnote w:id="161">
    <w:p w:rsidR="0011214A" w:rsidRPr="008B2538" w:rsidRDefault="0011214A">
      <w:pPr>
        <w:pStyle w:val="FootnoteText"/>
        <w:rPr>
          <w:lang w:val="sr-Latn-RS"/>
        </w:rPr>
      </w:pPr>
      <w:r>
        <w:rPr>
          <w:rStyle w:val="FootnoteReference"/>
        </w:rPr>
        <w:footnoteRef/>
      </w:r>
      <w:r>
        <w:t xml:space="preserve"> </w:t>
      </w:r>
      <w:r w:rsidRPr="008B2538">
        <w:t>Za život u zajednici, IDEAS, Beograd, 2016. Sažetak istraživanja dostupan je na internet adresi: http://ideje.rs/wp-content/uploads/2016/06/Saz%CC%8Cetak-istraz%CC%8Civanja-Za-z%CC%8Civot-u-zajednici.pdf.</w:t>
      </w:r>
    </w:p>
  </w:footnote>
  <w:footnote w:id="162">
    <w:p w:rsidR="0011214A" w:rsidRPr="008B2538" w:rsidRDefault="0011214A">
      <w:pPr>
        <w:pStyle w:val="FootnoteText"/>
        <w:rPr>
          <w:lang w:val="sr-Latn-RS"/>
        </w:rPr>
      </w:pPr>
      <w:r>
        <w:rPr>
          <w:rStyle w:val="FootnoteReference"/>
        </w:rPr>
        <w:footnoteRef/>
      </w:r>
      <w:r>
        <w:t xml:space="preserve"> </w:t>
      </w:r>
      <w:r w:rsidRPr="008B2538">
        <w:t>Podrška u svim domenima, kao i usluge nadzora i savetovanja, potrebne su pre svega za osobe s mentalnim i intelektualnim smetnjama i osobama s kombinovanim smetnjama. Intenzivna podrška osim u domenu komunikacije i socijalizacije potrebna je pre svega osobama s telesnim invaliditetom, navodi se u istraživanju (str. 7)</w:t>
      </w:r>
    </w:p>
  </w:footnote>
  <w:footnote w:id="163">
    <w:p w:rsidR="0011214A" w:rsidRPr="008B2538" w:rsidRDefault="0011214A">
      <w:pPr>
        <w:pStyle w:val="FootnoteText"/>
        <w:rPr>
          <w:lang w:val="sr-Latn-RS"/>
        </w:rPr>
      </w:pPr>
      <w:r>
        <w:rPr>
          <w:rStyle w:val="FootnoteReference"/>
        </w:rPr>
        <w:footnoteRef/>
      </w:r>
      <w:r>
        <w:t xml:space="preserve"> </w:t>
      </w:r>
      <w:r>
        <w:rPr>
          <w:lang w:val="sr-Latn-RS"/>
        </w:rPr>
        <w:t>Isto, str. 9</w:t>
      </w:r>
    </w:p>
  </w:footnote>
  <w:footnote w:id="164">
    <w:p w:rsidR="0011214A" w:rsidRPr="008B2538" w:rsidRDefault="0011214A">
      <w:pPr>
        <w:pStyle w:val="FootnoteText"/>
        <w:rPr>
          <w:lang w:val="sr-Latn-RS"/>
        </w:rPr>
      </w:pPr>
      <w:r>
        <w:rPr>
          <w:rStyle w:val="FootnoteReference"/>
        </w:rPr>
        <w:footnoteRef/>
      </w:r>
      <w:r>
        <w:t xml:space="preserve"> </w:t>
      </w:r>
      <w:r w:rsidRPr="008B2538">
        <w:t>Predlozi za unapređenje izbornih prava osoba sa invaliditetom, Centar za samostalni život osoba sa invaliditetom, Beograd, 2016. Dostupno na internet adresi: www.cilsrbija.org/ebib/201612231013400.cil-unapredjenje_izbornih_prava_osoba_sa_invaliditetom.pdf.</w:t>
      </w:r>
    </w:p>
  </w:footnote>
  <w:footnote w:id="165">
    <w:p w:rsidR="0011214A" w:rsidRPr="008B2538" w:rsidRDefault="0011214A">
      <w:pPr>
        <w:pStyle w:val="FootnoteText"/>
        <w:rPr>
          <w:lang w:val="sr-Latn-RS"/>
        </w:rPr>
      </w:pPr>
      <w:r>
        <w:rPr>
          <w:rStyle w:val="FootnoteReference"/>
        </w:rPr>
        <w:footnoteRef/>
      </w:r>
      <w:r>
        <w:t xml:space="preserve"> </w:t>
      </w:r>
      <w:r w:rsidRPr="008B2538">
        <w:t>Predlozi za unapređenje izbornih prava osoba sa invaliditetom, str. 14.</w:t>
      </w:r>
    </w:p>
  </w:footnote>
  <w:footnote w:id="166">
    <w:p w:rsidR="0011214A" w:rsidRPr="008B2538" w:rsidRDefault="0011214A">
      <w:pPr>
        <w:pStyle w:val="FootnoteText"/>
        <w:rPr>
          <w:lang w:val="sr-Latn-RS"/>
        </w:rPr>
      </w:pPr>
      <w:r>
        <w:rPr>
          <w:rStyle w:val="FootnoteReference"/>
        </w:rPr>
        <w:footnoteRef/>
      </w:r>
      <w:r>
        <w:t xml:space="preserve"> </w:t>
      </w:r>
      <w:r w:rsidRPr="008B2538">
        <w:t>Autori/ke podsećaju da za ovo rešenje već postoji presedan u zavodima za izvršenje zavodskih sankcija i na biračkim mestima u inostranstvu (str. 26).</w:t>
      </w:r>
    </w:p>
  </w:footnote>
  <w:footnote w:id="167">
    <w:p w:rsidR="0011214A" w:rsidRPr="008B2538" w:rsidRDefault="0011214A">
      <w:pPr>
        <w:pStyle w:val="FootnoteText"/>
        <w:rPr>
          <w:lang w:val="sr-Latn-RS"/>
        </w:rPr>
      </w:pPr>
      <w:r>
        <w:rPr>
          <w:rStyle w:val="FootnoteReference"/>
        </w:rPr>
        <w:footnoteRef/>
      </w:r>
      <w:r>
        <w:t xml:space="preserve"> </w:t>
      </w:r>
      <w:r w:rsidRPr="008B2538">
        <w:t>Vodič za pristupačnu izbornu kampanju, Centar za samostalni život osoba sa invaliditetom, Beograd, 2016. Dostupno na internet adresi: http://www.cilsrbija.org/ebib/201604062025320.vodic_za_pristupacnu_izbornu_kampanju.pdf.</w:t>
      </w:r>
    </w:p>
  </w:footnote>
  <w:footnote w:id="168">
    <w:p w:rsidR="0011214A" w:rsidRPr="008B2538" w:rsidRDefault="0011214A">
      <w:pPr>
        <w:pStyle w:val="FootnoteText"/>
        <w:rPr>
          <w:lang w:val="sr-Latn-RS"/>
        </w:rPr>
      </w:pPr>
      <w:r>
        <w:rPr>
          <w:rStyle w:val="FootnoteReference"/>
        </w:rPr>
        <w:footnoteRef/>
      </w:r>
      <w:r>
        <w:t xml:space="preserve"> </w:t>
      </w:r>
      <w:r w:rsidRPr="008B2538">
        <w:t>Jović, V. i dr., Priručnik za uspostavljanje i razvoj centara za zaštitu mentalnog zdravlja u zajednici,  Helsinški odbor za ljudska prava u Srbiji, Beograd, 2016. Dostupno na internet adresi: http://socijalnoukljucivanje.gov.rs/wp-content/uploads/2016/03/Prirucnik-za-uspostavljanje-i-razvoj-centara-za-zastitu-mentalnog-zdravlja-u-zajednici.pdf.</w:t>
      </w:r>
    </w:p>
  </w:footnote>
  <w:footnote w:id="169">
    <w:p w:rsidR="0011214A" w:rsidRPr="008B2538" w:rsidRDefault="0011214A">
      <w:pPr>
        <w:pStyle w:val="FootnoteText"/>
        <w:rPr>
          <w:lang w:val="sr-Latn-RS"/>
        </w:rPr>
      </w:pPr>
      <w:r>
        <w:rPr>
          <w:rStyle w:val="FootnoteReference"/>
        </w:rPr>
        <w:footnoteRef/>
      </w:r>
      <w:r>
        <w:t xml:space="preserve"> </w:t>
      </w:r>
      <w:r w:rsidRPr="008B2538">
        <w:t>Priručnik za uspostavljanje i razvoj centara za zaštitu mentalnog zdravlja u zajednici, str. 46.</w:t>
      </w:r>
    </w:p>
  </w:footnote>
  <w:footnote w:id="170">
    <w:p w:rsidR="0011214A" w:rsidRPr="008B2538" w:rsidRDefault="0011214A">
      <w:pPr>
        <w:pStyle w:val="FootnoteText"/>
        <w:rPr>
          <w:lang w:val="sr-Latn-RS"/>
        </w:rPr>
      </w:pPr>
      <w:r>
        <w:rPr>
          <w:rStyle w:val="FootnoteReference"/>
        </w:rPr>
        <w:footnoteRef/>
      </w:r>
      <w:r>
        <w:t xml:space="preserve"> </w:t>
      </w:r>
      <w:r w:rsidRPr="008B2538">
        <w:t>Sjeničić, M., Milenković, M., Društveni i pravni položaj osoba sa retkim bolestima i njihovih porodica u Srbiji, Udruženje pravnika za medicinsko i zdravstveno pravo Srbije – SUPRAM, Institut društvenih nauka, Beograd, 2016. Dostupno na internet adresi: www.supram.org.rs/wp-content/uploads/2016/09/Polozaj-osoba-sa-retkim-bolestima-FINAL.pdf.</w:t>
      </w:r>
    </w:p>
  </w:footnote>
  <w:footnote w:id="171">
    <w:p w:rsidR="0011214A" w:rsidRPr="008B2538" w:rsidRDefault="0011214A">
      <w:pPr>
        <w:pStyle w:val="FootnoteText"/>
        <w:rPr>
          <w:lang w:val="sr-Latn-RS"/>
        </w:rPr>
      </w:pPr>
      <w:r>
        <w:rPr>
          <w:rStyle w:val="FootnoteReference"/>
        </w:rPr>
        <w:footnoteRef/>
      </w:r>
      <w:r>
        <w:t xml:space="preserve"> </w:t>
      </w:r>
      <w:r w:rsidRPr="008B2538">
        <w:t>Društveni i pravni položaj osoba sa retkim bolestima i njihovih porodica u Srbiji, str. 191.</w:t>
      </w:r>
    </w:p>
  </w:footnote>
  <w:footnote w:id="172">
    <w:p w:rsidR="0011214A" w:rsidRPr="008B2538" w:rsidRDefault="0011214A">
      <w:pPr>
        <w:pStyle w:val="FootnoteText"/>
        <w:rPr>
          <w:lang w:val="sr-Latn-RS"/>
        </w:rPr>
      </w:pPr>
      <w:r>
        <w:rPr>
          <w:rStyle w:val="FootnoteReference"/>
        </w:rPr>
        <w:footnoteRef/>
      </w:r>
      <w:r>
        <w:t xml:space="preserve"> </w:t>
      </w:r>
      <w:r w:rsidRPr="008B2538">
        <w:t>Isto, str. 16.</w:t>
      </w:r>
    </w:p>
  </w:footnote>
  <w:footnote w:id="173">
    <w:p w:rsidR="0011214A" w:rsidRPr="008B2538" w:rsidRDefault="0011214A" w:rsidP="008B2538">
      <w:pPr>
        <w:pStyle w:val="FootnoteText"/>
        <w:jc w:val="left"/>
        <w:rPr>
          <w:lang w:val="sr-Latn-RS"/>
        </w:rPr>
      </w:pPr>
      <w:r>
        <w:rPr>
          <w:rStyle w:val="FootnoteReference"/>
        </w:rPr>
        <w:footnoteRef/>
      </w:r>
      <w:r>
        <w:t xml:space="preserve"> </w:t>
      </w:r>
      <w:r w:rsidRPr="008B2538">
        <w:t>Istraživanje je objavljeno 13. 3. 2017. godine; www.bgcentar.org.rs/bgcentar/wp-content/uploads/2013/04/Ljudska-prava-u-Srbiji-2016.pdf.</w:t>
      </w:r>
    </w:p>
  </w:footnote>
  <w:footnote w:id="174">
    <w:p w:rsidR="0011214A" w:rsidRPr="00960F7D" w:rsidRDefault="0011214A">
      <w:pPr>
        <w:pStyle w:val="FootnoteText"/>
        <w:rPr>
          <w:lang w:val="sr-Latn-RS"/>
        </w:rPr>
      </w:pPr>
      <w:r>
        <w:rPr>
          <w:rStyle w:val="FootnoteReference"/>
        </w:rPr>
        <w:footnoteRef/>
      </w:r>
      <w:r>
        <w:t xml:space="preserve"> </w:t>
      </w:r>
      <w:r w:rsidRPr="00960F7D">
        <w:t>Prethodno ustanovljeno u slučajevima Sejdić and Finci v. Bosnia and Herzegovina, predstavka br. 27996/06 i 34836/06, presuda od 22. decembra 2009. godine, i Zornić v. Bosnia and Herzegovina, predstavka br. 3681/06, presuda od 15. jula 2014. godine.</w:t>
      </w:r>
    </w:p>
  </w:footnote>
  <w:footnote w:id="175">
    <w:p w:rsidR="0011214A" w:rsidRPr="00960F7D" w:rsidRDefault="0011214A">
      <w:pPr>
        <w:pStyle w:val="FootnoteText"/>
        <w:rPr>
          <w:lang w:val="sr-Latn-RS"/>
        </w:rPr>
      </w:pPr>
      <w:r>
        <w:rPr>
          <w:rStyle w:val="FootnoteReference"/>
        </w:rPr>
        <w:footnoteRef/>
      </w:r>
      <w:r>
        <w:t xml:space="preserve"> </w:t>
      </w:r>
      <w:r w:rsidRPr="00960F7D">
        <w:t>Član V Ustava Bosne i Hercegovine.</w:t>
      </w:r>
    </w:p>
  </w:footnote>
  <w:footnote w:id="176">
    <w:p w:rsidR="0011214A" w:rsidRPr="00960F7D" w:rsidRDefault="0011214A">
      <w:pPr>
        <w:pStyle w:val="FootnoteText"/>
        <w:rPr>
          <w:lang w:val="sr-Latn-RS"/>
        </w:rPr>
      </w:pPr>
      <w:r>
        <w:rPr>
          <w:rStyle w:val="FootnoteReference"/>
        </w:rPr>
        <w:footnoteRef/>
      </w:r>
      <w:r>
        <w:t xml:space="preserve"> </w:t>
      </w:r>
      <w:r w:rsidRPr="00960F7D">
        <w:t>Situacija u pogledu priznanja istopolnih brakova u Francuskoj je promenjena jer su isti legalizovani u maju 2013. godine.</w:t>
      </w:r>
    </w:p>
  </w:footnote>
  <w:footnote w:id="177">
    <w:p w:rsidR="0011214A" w:rsidRPr="00960F7D" w:rsidRDefault="0011214A">
      <w:pPr>
        <w:pStyle w:val="FootnoteText"/>
        <w:rPr>
          <w:lang w:val="sr-Latn-RS"/>
        </w:rPr>
      </w:pPr>
      <w:r>
        <w:rPr>
          <w:rStyle w:val="FootnoteReference"/>
        </w:rPr>
        <w:footnoteRef/>
      </w:r>
      <w:r>
        <w:t xml:space="preserve"> </w:t>
      </w:r>
      <w:r w:rsidRPr="00960F7D">
        <w:t>Schalk and Kopf v. Austria, predstavka br. 30141/04, presuda od 24. juna 2010. godine.</w:t>
      </w:r>
    </w:p>
  </w:footnote>
  <w:footnote w:id="178">
    <w:p w:rsidR="0011214A" w:rsidRPr="00960F7D" w:rsidRDefault="0011214A">
      <w:pPr>
        <w:pStyle w:val="FootnoteText"/>
        <w:rPr>
          <w:lang w:val="sr-Latn-RS"/>
        </w:rPr>
      </w:pPr>
      <w:r>
        <w:rPr>
          <w:rStyle w:val="FootnoteReference"/>
        </w:rPr>
        <w:footnoteRef/>
      </w:r>
      <w:r>
        <w:t xml:space="preserve"> </w:t>
      </w:r>
      <w:r w:rsidRPr="00960F7D">
        <w:t>Gas and Dubois v. France, predstavka br. 25951/07, presuda od 15. marta 2012. godine.</w:t>
      </w:r>
    </w:p>
  </w:footnote>
  <w:footnote w:id="179">
    <w:p w:rsidR="0011214A" w:rsidRPr="00960F7D" w:rsidRDefault="0011214A">
      <w:pPr>
        <w:pStyle w:val="FootnoteText"/>
        <w:rPr>
          <w:lang w:val="sr-Latn-RS"/>
        </w:rPr>
      </w:pPr>
      <w:r>
        <w:rPr>
          <w:rStyle w:val="FootnoteReference"/>
        </w:rPr>
        <w:footnoteRef/>
      </w:r>
      <w:r>
        <w:t xml:space="preserve"> </w:t>
      </w:r>
      <w:r w:rsidRPr="00960F7D">
        <w:t>Schalk and Kopf v. Austria, predstavka br. 30141/04, presuda od 24. juna 2010. godine.</w:t>
      </w:r>
    </w:p>
  </w:footnote>
  <w:footnote w:id="180">
    <w:p w:rsidR="0011214A" w:rsidRPr="004E68B8" w:rsidRDefault="0011214A">
      <w:pPr>
        <w:pStyle w:val="FootnoteText"/>
        <w:rPr>
          <w:lang w:val="sr-Latn-RS"/>
        </w:rPr>
      </w:pPr>
      <w:r>
        <w:rPr>
          <w:rStyle w:val="FootnoteReference"/>
        </w:rPr>
        <w:footnoteRef/>
      </w:r>
      <w:r>
        <w:t xml:space="preserve"> </w:t>
      </w:r>
      <w:r w:rsidRPr="004E68B8">
        <w:t>„Službeni glasnik RS“, broj 68/15.</w:t>
      </w:r>
    </w:p>
  </w:footnote>
  <w:footnote w:id="181">
    <w:p w:rsidR="0011214A" w:rsidRPr="00266D7B" w:rsidRDefault="0011214A">
      <w:pPr>
        <w:pStyle w:val="FootnoteText"/>
        <w:rPr>
          <w:lang w:val="sr-Latn-RS"/>
        </w:rPr>
      </w:pPr>
      <w:r>
        <w:rPr>
          <w:rStyle w:val="FootnoteReference"/>
        </w:rPr>
        <w:footnoteRef/>
      </w:r>
      <w:r>
        <w:t xml:space="preserve"> </w:t>
      </w:r>
      <w:r w:rsidRPr="00266D7B">
        <w:t>Predlog strategije unapređenja položaja osoba sa invaliditetom u Republici Srbiji za period do 2020. godine. Dostupno na internet adresi: www.noois.rs/pdf/zakoni/Predlog_Strategija_OSI_2020.pdf.</w:t>
      </w:r>
    </w:p>
  </w:footnote>
  <w:footnote w:id="182">
    <w:p w:rsidR="0011214A" w:rsidRPr="00266D7B" w:rsidRDefault="0011214A">
      <w:pPr>
        <w:pStyle w:val="FootnoteText"/>
        <w:rPr>
          <w:lang w:val="sr-Latn-RS"/>
        </w:rPr>
      </w:pPr>
      <w:r>
        <w:rPr>
          <w:rStyle w:val="FootnoteReference"/>
        </w:rPr>
        <w:footnoteRef/>
      </w:r>
      <w:r>
        <w:t xml:space="preserve"> </w:t>
      </w:r>
      <w:r w:rsidRPr="00266D7B">
        <w:t xml:space="preserve">Statistički godišnjak, Republički zavod za statistiku, Beograd, 2016, str. 32. Izveštaj je dostupan na internet adresi: http://pod2.stat.gov.rs/ObjavljenePublikacije/G2016/pdf/G20162019.pdf.  </w:t>
      </w:r>
    </w:p>
  </w:footnote>
  <w:footnote w:id="183">
    <w:p w:rsidR="0011214A" w:rsidRPr="00266D7B" w:rsidRDefault="0011214A">
      <w:pPr>
        <w:pStyle w:val="FootnoteText"/>
        <w:rPr>
          <w:lang w:val="sr-Latn-RS"/>
        </w:rPr>
      </w:pPr>
      <w:r>
        <w:rPr>
          <w:rStyle w:val="FootnoteReference"/>
        </w:rPr>
        <w:footnoteRef/>
      </w:r>
      <w:r>
        <w:t xml:space="preserve"> </w:t>
      </w:r>
      <w:r w:rsidRPr="00266D7B">
        <w:t>Za život u zajednici, IDEAS, Beograd, 2016. Sažetak istraživanja dostupan je na internet adresi: http://ideje.rs/wp-content/uploads/2016/06/Saz%CC%8Cetak-istraz%CC%8Civanja-Za-z%CC%8Civot-u-zajednici.pdf.</w:t>
      </w:r>
    </w:p>
  </w:footnote>
  <w:footnote w:id="184">
    <w:p w:rsidR="0011214A" w:rsidRPr="00266D7B" w:rsidRDefault="0011214A">
      <w:pPr>
        <w:pStyle w:val="FootnoteText"/>
        <w:rPr>
          <w:lang w:val="sr-Latn-RS"/>
        </w:rPr>
      </w:pPr>
      <w:r>
        <w:rPr>
          <w:rStyle w:val="FootnoteReference"/>
        </w:rPr>
        <w:footnoteRef/>
      </w:r>
      <w:r>
        <w:t xml:space="preserve"> </w:t>
      </w:r>
      <w:r w:rsidRPr="00266D7B">
        <w:t>Tim za socijalno uključivanje i smanjenje siromaštva, Beograd, 2016. Dostupno na internet adresi: http://socijalnoukljucivanje.gov.rs/wp-content/uploads/2016/12/Mapiranje-usluga-socijalne-zastite.pdf.</w:t>
      </w:r>
    </w:p>
  </w:footnote>
  <w:footnote w:id="185">
    <w:p w:rsidR="0011214A" w:rsidRPr="00266D7B" w:rsidRDefault="0011214A">
      <w:pPr>
        <w:pStyle w:val="FootnoteText"/>
        <w:rPr>
          <w:lang w:val="sr-Latn-RS"/>
        </w:rPr>
      </w:pPr>
      <w:r>
        <w:rPr>
          <w:rStyle w:val="FootnoteReference"/>
        </w:rPr>
        <w:footnoteRef/>
      </w:r>
      <w:r>
        <w:t xml:space="preserve"> </w:t>
      </w:r>
      <w:r w:rsidRPr="00266D7B">
        <w:t xml:space="preserve">Isključivanje i segregacija dece sa smetnjama u razvoju na rezidencijalnom smeštaju iz obrazovnog sistema; rezultati istraživanja Biljane Janjić i Kosane Beker, „Obrazovanje i život u zajednici kao preduslov ravnopravnosti dece sa smetnjama u razvoju“, mart 2016. Dostupno na internet adresi: http://www.mdri-s.org/wp-content/uploads/2016/04/Publikacija-SRB-1.pdf.  </w:t>
      </w:r>
    </w:p>
  </w:footnote>
  <w:footnote w:id="186">
    <w:p w:rsidR="0011214A" w:rsidRPr="00EA4986" w:rsidRDefault="0011214A" w:rsidP="00EA4986">
      <w:pPr>
        <w:pStyle w:val="FootnoteText"/>
        <w:jc w:val="left"/>
        <w:rPr>
          <w:lang w:val="sr-Latn-RS"/>
        </w:rPr>
      </w:pPr>
      <w:r>
        <w:rPr>
          <w:rStyle w:val="FootnoteReference"/>
        </w:rPr>
        <w:footnoteRef/>
      </w:r>
      <w:r>
        <w:t xml:space="preserve"> </w:t>
      </w:r>
      <w:r w:rsidRPr="00EA4986">
        <w:t>Izveštaj je dostupan na internet adresi: www.seio.gov.rs/upload/documents/eu_dokumenta/godisnji_izvestaji_ek_o_napretku/izvestaj_ek_srbija_2016.pdf.</w:t>
      </w:r>
    </w:p>
  </w:footnote>
  <w:footnote w:id="187">
    <w:p w:rsidR="0011214A" w:rsidRPr="00EA4986" w:rsidRDefault="0011214A" w:rsidP="00EA4986">
      <w:pPr>
        <w:pStyle w:val="FootnoteText"/>
        <w:jc w:val="left"/>
        <w:rPr>
          <w:lang w:val="sr-Latn-RS"/>
        </w:rPr>
      </w:pPr>
      <w:r>
        <w:rPr>
          <w:rStyle w:val="FootnoteReference"/>
        </w:rPr>
        <w:footnoteRef/>
      </w:r>
      <w:r>
        <w:t xml:space="preserve"> </w:t>
      </w:r>
      <w:r w:rsidRPr="00EA4986">
        <w:t>Dostupno na internet adresi: www.ljudskaprava.gov.rs/sites/default/files/dokument_file/zakljucna_zapazanja_komiteta_za_prava_osoba_sa_invaliditetom_srb.pdf.</w:t>
      </w:r>
    </w:p>
  </w:footnote>
  <w:footnote w:id="188">
    <w:p w:rsidR="0011214A" w:rsidRPr="00EA4986" w:rsidRDefault="0011214A">
      <w:pPr>
        <w:pStyle w:val="FootnoteText"/>
        <w:rPr>
          <w:lang w:val="sr-Latn-RS"/>
        </w:rPr>
      </w:pPr>
      <w:r>
        <w:rPr>
          <w:rStyle w:val="FootnoteReference"/>
        </w:rPr>
        <w:footnoteRef/>
      </w:r>
      <w:r>
        <w:t xml:space="preserve"> </w:t>
      </w:r>
      <w:r w:rsidRPr="00EA4986">
        <w:t>Dostupno na internet adresi: www.ohchr.org/EN/HRBodies/CRPD/Pages/CRPDIndex.aspx</w:t>
      </w:r>
    </w:p>
  </w:footnote>
  <w:footnote w:id="189">
    <w:p w:rsidR="0011214A" w:rsidRPr="00BB7954" w:rsidRDefault="0011214A" w:rsidP="00BB7954">
      <w:pPr>
        <w:pStyle w:val="FootnoteText"/>
        <w:jc w:val="left"/>
        <w:rPr>
          <w:lang w:val="sr-Latn-RS"/>
        </w:rPr>
      </w:pPr>
      <w:r>
        <w:rPr>
          <w:rStyle w:val="FootnoteReference"/>
        </w:rPr>
        <w:footnoteRef/>
      </w:r>
      <w:r>
        <w:t xml:space="preserve"> </w:t>
      </w:r>
      <w:r w:rsidRPr="00BB7954">
        <w:t>Publikacije Centra za samostalni život osoba sa invaliditetom, Beograd 2016. Dostupno na internet adresama: www.cilsrbija.org/ebib/201604062025320.vodic_za_pristupacnu_izbornu_kampanju.pdf; www.cilsrbija.org/ebib/201612231013400.cil-unapredjenje_izbornih_prava_osoba_sa_invaliditetom.pdf.</w:t>
      </w:r>
    </w:p>
  </w:footnote>
  <w:footnote w:id="190">
    <w:p w:rsidR="0011214A" w:rsidRPr="00D719FC" w:rsidRDefault="0011214A">
      <w:pPr>
        <w:pStyle w:val="FootnoteText"/>
        <w:rPr>
          <w:lang w:val="sr-Latn-RS"/>
        </w:rPr>
      </w:pPr>
      <w:r>
        <w:rPr>
          <w:rStyle w:val="FootnoteReference"/>
        </w:rPr>
        <w:footnoteRef/>
      </w:r>
      <w:r>
        <w:t xml:space="preserve"> </w:t>
      </w:r>
      <w:r w:rsidRPr="00D719FC">
        <w:t>Inicijativu za izračunavanje Indeksa rodne ravnopravnosti za Republiku Srbiju pokrenuli su Koordinaciono telo za rodnu ravnopravnost Vlade Republike Srbije, Tim za socijalno uključivanje i smanjenje siromaštva Vlade Republike Srbije i Republički zavod za statistiku, uz veliku podršku Evropskog instituta za rodnu ravnopravnost u Viljnusu. Za potrebe izrade Indeksa rodne ravnopravnosti formirana je Radna grupa Vlade Republike Srbije, koja je uključila predstavnike svih relevantnih javnih institucija, organizacija civilnog društva, kao i stručne i akademske zajednice.</w:t>
      </w:r>
    </w:p>
  </w:footnote>
  <w:footnote w:id="191">
    <w:p w:rsidR="0011214A" w:rsidRPr="00D719FC" w:rsidRDefault="0011214A">
      <w:pPr>
        <w:pStyle w:val="FootnoteText"/>
        <w:rPr>
          <w:lang w:val="sr-Latn-RS"/>
        </w:rPr>
      </w:pPr>
      <w:r>
        <w:rPr>
          <w:rStyle w:val="FootnoteReference"/>
        </w:rPr>
        <w:footnoteRef/>
      </w:r>
      <w:r>
        <w:t xml:space="preserve"> </w:t>
      </w:r>
      <w:r w:rsidRPr="00D719FC">
        <w:t>Indeks rodne ravnopravnosti za Srbiju, str. 84.</w:t>
      </w:r>
    </w:p>
  </w:footnote>
  <w:footnote w:id="192">
    <w:p w:rsidR="0011214A" w:rsidRPr="00D719FC" w:rsidRDefault="0011214A">
      <w:pPr>
        <w:pStyle w:val="FootnoteText"/>
        <w:rPr>
          <w:lang w:val="sr-Latn-RS"/>
        </w:rPr>
      </w:pPr>
      <w:r>
        <w:rPr>
          <w:rStyle w:val="FootnoteReference"/>
        </w:rPr>
        <w:footnoteRef/>
      </w:r>
      <w:r>
        <w:t xml:space="preserve"> </w:t>
      </w:r>
      <w:r w:rsidRPr="00D719FC">
        <w:t>Mogućnost pristupa ekonomskim šansama u Srbiji za žene, Tim za socijalno uključivanje i smanjenje siromaštva, Beograd, 2016. Dostupno na internet adresi: http://socijalnoukljucivanje.gov.rs/wp-content/uploads/2016/11/Mogucnost_pristupa_ekonomskim_sansama_u_Srbiji_za_zene.pdf.</w:t>
      </w:r>
    </w:p>
  </w:footnote>
  <w:footnote w:id="193">
    <w:p w:rsidR="0011214A" w:rsidRPr="004507F0" w:rsidRDefault="0011214A">
      <w:pPr>
        <w:pStyle w:val="FootnoteText"/>
        <w:rPr>
          <w:lang w:val="sr-Latn-RS"/>
        </w:rPr>
      </w:pPr>
      <w:r>
        <w:rPr>
          <w:rStyle w:val="FootnoteReference"/>
        </w:rPr>
        <w:footnoteRef/>
      </w:r>
      <w:r>
        <w:t xml:space="preserve"> </w:t>
      </w:r>
      <w:r>
        <w:rPr>
          <w:lang w:val="sr-Latn-RS"/>
        </w:rPr>
        <w:t>Isto, str. 6</w:t>
      </w:r>
    </w:p>
  </w:footnote>
  <w:footnote w:id="194">
    <w:p w:rsidR="0011214A" w:rsidRPr="004507F0" w:rsidRDefault="0011214A" w:rsidP="004507F0">
      <w:pPr>
        <w:pStyle w:val="FootnoteText"/>
        <w:rPr>
          <w:lang w:val="sr-Latn-RS"/>
        </w:rPr>
      </w:pPr>
      <w:r>
        <w:rPr>
          <w:rStyle w:val="FootnoteReference"/>
        </w:rPr>
        <w:footnoteRef/>
      </w:r>
      <w:r>
        <w:t xml:space="preserve"> Primena principa rodne ravnopravnosti u jedinicama lokalne samouprave u AP Vojvodini, Pokrajinski ombudsman, Novi Sad, 2016. Podaci su prikupljeni upitnikom od 29. januara do 3. marta 2016. godine, a na njega je odgovorilo 27 od 45 jedinica lokalne samouprave. Izveštaj je dostupan na internet adresi: www.ombudsmanapv.org/riv/attachments/article/1827/Primena_principa_rodne_ravnopravnosti_2015.pdf</w:t>
      </w:r>
    </w:p>
  </w:footnote>
  <w:footnote w:id="195">
    <w:p w:rsidR="0011214A" w:rsidRPr="004507F0" w:rsidRDefault="0011214A">
      <w:pPr>
        <w:pStyle w:val="FootnoteText"/>
        <w:rPr>
          <w:lang w:val="sr-Latn-RS"/>
        </w:rPr>
      </w:pPr>
      <w:r>
        <w:rPr>
          <w:rStyle w:val="FootnoteReference"/>
        </w:rPr>
        <w:footnoteRef/>
      </w:r>
      <w:r>
        <w:t xml:space="preserve"> </w:t>
      </w:r>
      <w:r w:rsidRPr="004507F0">
        <w:t>Istraživanje Pokrajinskog ombudsmana „Primena principa rodne ravnopravnosti u jedinicama lokalne samouprave u AP Vojvodini“, str. 14.</w:t>
      </w:r>
    </w:p>
  </w:footnote>
  <w:footnote w:id="196">
    <w:p w:rsidR="0011214A" w:rsidRPr="004507F0" w:rsidRDefault="0011214A">
      <w:pPr>
        <w:pStyle w:val="FootnoteText"/>
        <w:rPr>
          <w:lang w:val="sr-Latn-RS"/>
        </w:rPr>
      </w:pPr>
      <w:r>
        <w:rPr>
          <w:rStyle w:val="FootnoteReference"/>
        </w:rPr>
        <w:footnoteRef/>
      </w:r>
      <w:r>
        <w:t xml:space="preserve"> </w:t>
      </w:r>
      <w:r>
        <w:rPr>
          <w:lang w:val="sr-Latn-RS"/>
        </w:rPr>
        <w:t>Isto, str. 11</w:t>
      </w:r>
    </w:p>
  </w:footnote>
  <w:footnote w:id="197">
    <w:p w:rsidR="0011214A" w:rsidRPr="004507F0" w:rsidRDefault="0011214A">
      <w:pPr>
        <w:pStyle w:val="FootnoteText"/>
        <w:rPr>
          <w:lang w:val="sr-Latn-RS"/>
        </w:rPr>
      </w:pPr>
      <w:r>
        <w:rPr>
          <w:rStyle w:val="FootnoteReference"/>
        </w:rPr>
        <w:footnoteRef/>
      </w:r>
      <w:r>
        <w:t xml:space="preserve"> </w:t>
      </w:r>
      <w:r w:rsidRPr="004507F0">
        <w:t>Zaštita žena od nasilja u porodici i partnerskim odnosima – izabrane preporuke Zaštitnika građana, Beograd, 2013.</w:t>
      </w:r>
    </w:p>
  </w:footnote>
  <w:footnote w:id="198">
    <w:p w:rsidR="0011214A" w:rsidRPr="004507F0" w:rsidRDefault="0011214A">
      <w:pPr>
        <w:pStyle w:val="FootnoteText"/>
        <w:rPr>
          <w:lang w:val="sr-Latn-RS"/>
        </w:rPr>
      </w:pPr>
      <w:r>
        <w:rPr>
          <w:rStyle w:val="FootnoteReference"/>
        </w:rPr>
        <w:footnoteRef/>
      </w:r>
      <w:r>
        <w:t xml:space="preserve"> </w:t>
      </w:r>
      <w:r>
        <w:rPr>
          <w:lang w:val="sr-Latn-RS"/>
        </w:rPr>
        <w:t>Isto, str. 23</w:t>
      </w:r>
    </w:p>
  </w:footnote>
  <w:footnote w:id="199">
    <w:p w:rsidR="0011214A" w:rsidRPr="004507F0" w:rsidRDefault="0011214A" w:rsidP="004507F0">
      <w:pPr>
        <w:pStyle w:val="FootnoteText"/>
        <w:jc w:val="left"/>
        <w:rPr>
          <w:lang w:val="sr-Latn-RS"/>
        </w:rPr>
      </w:pPr>
      <w:r>
        <w:rPr>
          <w:rStyle w:val="FootnoteReference"/>
        </w:rPr>
        <w:footnoteRef/>
      </w:r>
      <w:r>
        <w:t xml:space="preserve"> </w:t>
      </w:r>
      <w:r w:rsidRPr="004507F0">
        <w:t>Nedeljkov, J., Banauh Brusin, M., Zbirka konferencija slučaja nasilja nad ženama u porodici i partnerskim odnosima, Pokrajinski sekretarijat za socijalnu politiku, demografiju i ravnopravnost polova, Novi Sad, 2016. Dostupno na internet adresi: www.womenngo.org.rs/images/publikacije-dp/2016/Zbirka_konferencija_slucaja_nasilja_nad_zenama_u_porodici_i_partnerskim_odnosima.pdf.</w:t>
      </w:r>
    </w:p>
  </w:footnote>
  <w:footnote w:id="200">
    <w:p w:rsidR="0011214A" w:rsidRPr="004507F0" w:rsidRDefault="0011214A">
      <w:pPr>
        <w:pStyle w:val="FootnoteText"/>
        <w:rPr>
          <w:lang w:val="sr-Latn-RS"/>
        </w:rPr>
      </w:pPr>
      <w:r>
        <w:rPr>
          <w:rStyle w:val="FootnoteReference"/>
        </w:rPr>
        <w:footnoteRef/>
      </w:r>
      <w:r>
        <w:t xml:space="preserve"> </w:t>
      </w:r>
      <w:r w:rsidRPr="004507F0">
        <w:t>Zbirka konferencija slučaja nasilja nad ženama u porodici i partnerskim odnosima, str. 4</w:t>
      </w:r>
    </w:p>
  </w:footnote>
  <w:footnote w:id="201">
    <w:p w:rsidR="0011214A" w:rsidRPr="002374D9" w:rsidRDefault="0011214A" w:rsidP="002374D9">
      <w:pPr>
        <w:pStyle w:val="FootnoteText"/>
        <w:jc w:val="left"/>
        <w:rPr>
          <w:lang w:val="sr-Latn-RS"/>
        </w:rPr>
      </w:pPr>
      <w:r>
        <w:rPr>
          <w:rStyle w:val="FootnoteReference"/>
        </w:rPr>
        <w:footnoteRef/>
      </w:r>
      <w:r>
        <w:t xml:space="preserve"> </w:t>
      </w:r>
      <w:r w:rsidRPr="002374D9">
        <w:t>Janković, B., Krstić, I., Andonov, A. i Jakobi, T., Priručnik za novinare i novinarke – Borba za ravnopravnost, Poverenik za zaštitu ravnopravnosti, Beograd 2016. Dostupno na internet adresi: http://poverenik.symbolgames.netdna-cdn.com/wp-content/uploads/2017/01/Prirucnik-za-novinarke-i-novinare-Borba-za-ravnopravnost.pdf.</w:t>
      </w:r>
    </w:p>
  </w:footnote>
  <w:footnote w:id="202">
    <w:p w:rsidR="0011214A" w:rsidRPr="002374D9" w:rsidRDefault="0011214A">
      <w:pPr>
        <w:pStyle w:val="FootnoteText"/>
        <w:rPr>
          <w:lang w:val="sr-Latn-RS"/>
        </w:rPr>
      </w:pPr>
      <w:r>
        <w:rPr>
          <w:rStyle w:val="FootnoteReference"/>
        </w:rPr>
        <w:footnoteRef/>
      </w:r>
      <w:r>
        <w:t xml:space="preserve"> </w:t>
      </w:r>
      <w:r w:rsidRPr="002374D9">
        <w:t>Vodič za novinar(k)e – nasilje u porodici, Tanja Ignjatović (ur.), Autonomni ženski centar, Beograd 2016. Dostupno na internet adresi: www.womenngo.org.rs/images/publikacije-dp/2016/Vodic_za_novinarke-nasilje_u_porodici-II_izdanje.pdf.</w:t>
      </w:r>
    </w:p>
  </w:footnote>
  <w:footnote w:id="203">
    <w:p w:rsidR="0011214A" w:rsidRPr="002374D9" w:rsidRDefault="0011214A">
      <w:pPr>
        <w:pStyle w:val="FootnoteText"/>
        <w:rPr>
          <w:lang w:val="sr-Latn-RS"/>
        </w:rPr>
      </w:pPr>
      <w:r>
        <w:rPr>
          <w:rStyle w:val="FootnoteReference"/>
        </w:rPr>
        <w:footnoteRef/>
      </w:r>
      <w:r>
        <w:t xml:space="preserve"> </w:t>
      </w:r>
      <w:r>
        <w:rPr>
          <w:lang w:val="sr-Latn-RS"/>
        </w:rPr>
        <w:t>Isto, str. 32</w:t>
      </w:r>
    </w:p>
  </w:footnote>
  <w:footnote w:id="204">
    <w:p w:rsidR="0011214A" w:rsidRPr="0017695C" w:rsidRDefault="0011214A">
      <w:pPr>
        <w:pStyle w:val="FootnoteText"/>
        <w:rPr>
          <w:lang w:val="sr-Latn-RS"/>
        </w:rPr>
      </w:pPr>
      <w:r>
        <w:rPr>
          <w:rStyle w:val="FootnoteReference"/>
        </w:rPr>
        <w:footnoteRef/>
      </w:r>
      <w:r>
        <w:t xml:space="preserve"> </w:t>
      </w:r>
      <w:r>
        <w:rPr>
          <w:lang w:val="sr-Latn-RS"/>
        </w:rPr>
        <w:t>Isto, str. 32-33</w:t>
      </w:r>
    </w:p>
  </w:footnote>
  <w:footnote w:id="205">
    <w:p w:rsidR="0011214A" w:rsidRPr="004B3C4A" w:rsidRDefault="0011214A">
      <w:pPr>
        <w:pStyle w:val="FootnoteText"/>
        <w:rPr>
          <w:lang w:val="sr-Latn-RS"/>
        </w:rPr>
      </w:pPr>
      <w:r>
        <w:rPr>
          <w:rStyle w:val="FootnoteReference"/>
        </w:rPr>
        <w:footnoteRef/>
      </w:r>
      <w:r>
        <w:t xml:space="preserve"> </w:t>
      </w:r>
      <w:r w:rsidRPr="004B3C4A">
        <w:t>Popis stanovništva, domaćinstava i stanova 2011. u Republici Srbiji – Starost i pol, podaci po naseljima. Dostupno na internet adresi: http://pod2.stat.gov.rs/ObjavljenePublikacije/Popis2011/Starost%20i%20pol-Age%20and%20sex.pdf.</w:t>
      </w:r>
    </w:p>
  </w:footnote>
  <w:footnote w:id="206">
    <w:p w:rsidR="0011214A" w:rsidRPr="004B3C4A" w:rsidRDefault="0011214A" w:rsidP="004B3C4A">
      <w:pPr>
        <w:pStyle w:val="FootnoteText"/>
        <w:jc w:val="left"/>
        <w:rPr>
          <w:lang w:val="sr-Latn-RS"/>
        </w:rPr>
      </w:pPr>
      <w:r>
        <w:rPr>
          <w:rStyle w:val="FootnoteReference"/>
        </w:rPr>
        <w:footnoteRef/>
      </w:r>
      <w:r>
        <w:t xml:space="preserve"> </w:t>
      </w:r>
      <w:r w:rsidRPr="004B3C4A">
        <w:t>Istraživanje dostupno na internet adresi: https://drive.google.com/file/d/0B1QaDisvv7K3c19yTVd3Z1ZuQ0U/view.</w:t>
      </w:r>
    </w:p>
  </w:footnote>
  <w:footnote w:id="207">
    <w:p w:rsidR="0011214A" w:rsidRPr="004B3C4A" w:rsidRDefault="0011214A">
      <w:pPr>
        <w:pStyle w:val="FootnoteText"/>
        <w:rPr>
          <w:lang w:val="sr-Latn-RS"/>
        </w:rPr>
      </w:pPr>
      <w:r>
        <w:rPr>
          <w:rStyle w:val="FootnoteReference"/>
        </w:rPr>
        <w:footnoteRef/>
      </w:r>
      <w:r>
        <w:t xml:space="preserve"> </w:t>
      </w:r>
      <w:r w:rsidRPr="004B3C4A">
        <w:t>Pravilnik o licenciranju organizacija socijalne zaštite. Dostupno na internet adresi: www.minrzs.gov.rs/lat/o-ministarstvu/pomocnici-ministra/itemlist/category/15-briga-o-porodici.</w:t>
      </w:r>
    </w:p>
  </w:footnote>
  <w:footnote w:id="208">
    <w:p w:rsidR="0011214A" w:rsidRPr="004B3C4A" w:rsidRDefault="0011214A">
      <w:pPr>
        <w:pStyle w:val="FootnoteText"/>
        <w:rPr>
          <w:lang w:val="sr-Latn-RS"/>
        </w:rPr>
      </w:pPr>
      <w:r>
        <w:rPr>
          <w:rStyle w:val="FootnoteReference"/>
        </w:rPr>
        <w:footnoteRef/>
      </w:r>
      <w:r>
        <w:t xml:space="preserve"> </w:t>
      </w:r>
      <w:r w:rsidRPr="004B3C4A">
        <w:t>„Službeni glasnik RS“, broj 22/16.</w:t>
      </w:r>
    </w:p>
  </w:footnote>
  <w:footnote w:id="209">
    <w:p w:rsidR="0011214A" w:rsidRPr="00956AF8" w:rsidRDefault="0011214A">
      <w:pPr>
        <w:pStyle w:val="FootnoteText"/>
        <w:rPr>
          <w:lang w:val="sr-Latn-RS"/>
        </w:rPr>
      </w:pPr>
      <w:r>
        <w:rPr>
          <w:rStyle w:val="FootnoteReference"/>
        </w:rPr>
        <w:footnoteRef/>
      </w:r>
      <w:r>
        <w:t xml:space="preserve"> </w:t>
      </w:r>
      <w:r w:rsidRPr="00956AF8">
        <w:t>Istraživanje javnog mnjenja „Odnos građana i građanki prema diskriminaciji u Srbiji“. Dostupno na internet adresi: https://drive.google.com/file/d/0B1QaDisvv7K3c19yTVd3Z1ZuQ0U/view</w:t>
      </w:r>
    </w:p>
  </w:footnote>
  <w:footnote w:id="210">
    <w:p w:rsidR="0011214A" w:rsidRPr="00956AF8" w:rsidRDefault="0011214A" w:rsidP="00956AF8">
      <w:pPr>
        <w:pStyle w:val="FootnoteText"/>
        <w:jc w:val="left"/>
        <w:rPr>
          <w:lang w:val="sr-Latn-RS"/>
        </w:rPr>
      </w:pPr>
      <w:r>
        <w:rPr>
          <w:rStyle w:val="FootnoteReference"/>
        </w:rPr>
        <w:footnoteRef/>
      </w:r>
      <w:r>
        <w:t xml:space="preserve"> </w:t>
      </w:r>
      <w:r w:rsidRPr="00956AF8">
        <w:t>Izveštaj dostupan na internet adresi: www.seio.gov.rs/upload/documents/eu_dokumenta/godisnji_izvestaji_ek_o_napretku/izvestaj_ek_srbija_2016.pdf.</w:t>
      </w:r>
    </w:p>
  </w:footnote>
  <w:footnote w:id="211">
    <w:p w:rsidR="0011214A" w:rsidRPr="00235474" w:rsidRDefault="0011214A" w:rsidP="00235474">
      <w:pPr>
        <w:pStyle w:val="FootnoteText"/>
        <w:jc w:val="left"/>
        <w:rPr>
          <w:lang w:val="sr-Latn-RS"/>
        </w:rPr>
      </w:pPr>
      <w:r>
        <w:rPr>
          <w:rStyle w:val="FootnoteReference"/>
        </w:rPr>
        <w:footnoteRef/>
      </w:r>
      <w:r>
        <w:t xml:space="preserve"> </w:t>
      </w:r>
      <w:r w:rsidRPr="00235474">
        <w:t>Dostupno na internet adresi: http://tbinternet.ohchr.org/_layouts/treatybodyexternal/Download.aspx?symbolno=CERD%2fC%2fSRB%2f2-5&amp;Lang=en.</w:t>
      </w:r>
    </w:p>
  </w:footnote>
  <w:footnote w:id="212">
    <w:p w:rsidR="0011214A" w:rsidRPr="00235474" w:rsidRDefault="0011214A">
      <w:pPr>
        <w:pStyle w:val="FootnoteText"/>
        <w:rPr>
          <w:lang w:val="sr-Latn-RS"/>
        </w:rPr>
      </w:pPr>
      <w:r>
        <w:rPr>
          <w:rStyle w:val="FootnoteReference"/>
        </w:rPr>
        <w:footnoteRef/>
      </w:r>
      <w:r>
        <w:t xml:space="preserve"> </w:t>
      </w:r>
      <w:r w:rsidRPr="00235474">
        <w:t>Dostupno na internet adresi: www.amnesty.org/en/documents/pol10/2552/2016/en/.</w:t>
      </w:r>
    </w:p>
  </w:footnote>
  <w:footnote w:id="213">
    <w:p w:rsidR="0011214A" w:rsidRPr="00CD5CF9" w:rsidRDefault="0011214A">
      <w:pPr>
        <w:pStyle w:val="FootnoteText"/>
        <w:rPr>
          <w:lang w:val="sr-Latn-RS"/>
        </w:rPr>
      </w:pPr>
      <w:r>
        <w:rPr>
          <w:rStyle w:val="FootnoteReference"/>
        </w:rPr>
        <w:footnoteRef/>
      </w:r>
      <w:r>
        <w:t xml:space="preserve"> </w:t>
      </w:r>
      <w:r w:rsidRPr="00CD5CF9">
        <w:t>Dostupno na internet adresi: http://ravnopravnost.gov.rs/rs/preporuka-mera-gradskoj-opstini-zemun-zbog-prinudnog-iseljavanja-stanovnika-romskog-naselja/.</w:t>
      </w:r>
    </w:p>
  </w:footnote>
  <w:footnote w:id="214">
    <w:p w:rsidR="0011214A" w:rsidRPr="00CD5CF9" w:rsidRDefault="0011214A" w:rsidP="00CD5CF9">
      <w:pPr>
        <w:pStyle w:val="FootnoteText"/>
        <w:jc w:val="left"/>
        <w:rPr>
          <w:lang w:val="sr-Latn-RS"/>
        </w:rPr>
      </w:pPr>
      <w:r>
        <w:rPr>
          <w:rStyle w:val="FootnoteReference"/>
        </w:rPr>
        <w:footnoteRef/>
      </w:r>
      <w:r>
        <w:t xml:space="preserve"> </w:t>
      </w:r>
      <w:r w:rsidRPr="00CD5CF9">
        <w:t>Dostupno na internet adresi: www.mpravde.gov.rs/files/Izve%C5%A1taj%20br.%204-2016%20o%20sprovo%C4%91enju%20Akcionog%20plana%20za%20Poglavlje%2023.pdf.</w:t>
      </w:r>
    </w:p>
  </w:footnote>
  <w:footnote w:id="215">
    <w:p w:rsidR="0011214A" w:rsidRPr="00CD5CF9" w:rsidRDefault="0011214A">
      <w:pPr>
        <w:pStyle w:val="FootnoteText"/>
        <w:rPr>
          <w:lang w:val="sr-Latn-RS"/>
        </w:rPr>
      </w:pPr>
      <w:r>
        <w:rPr>
          <w:rStyle w:val="FootnoteReference"/>
        </w:rPr>
        <w:footnoteRef/>
      </w:r>
      <w:r>
        <w:t xml:space="preserve"> </w:t>
      </w:r>
      <w:r w:rsidRPr="00CD5CF9">
        <w:t>„Službeni glasnik RS“, broj 12/16.</w:t>
      </w:r>
    </w:p>
  </w:footnote>
  <w:footnote w:id="216">
    <w:p w:rsidR="0011214A" w:rsidRPr="00CD5CF9" w:rsidRDefault="0011214A">
      <w:pPr>
        <w:pStyle w:val="FootnoteText"/>
        <w:rPr>
          <w:lang w:val="sr-Latn-RS"/>
        </w:rPr>
      </w:pPr>
      <w:r>
        <w:rPr>
          <w:rStyle w:val="FootnoteReference"/>
        </w:rPr>
        <w:footnoteRef/>
      </w:r>
      <w:r>
        <w:t xml:space="preserve"> „Službeni glasnik RS“, broj </w:t>
      </w:r>
      <w:r>
        <w:rPr>
          <w:lang w:val="sr-Latn-RS"/>
        </w:rPr>
        <w:t>4</w:t>
      </w:r>
      <w:r w:rsidRPr="00CD5CF9">
        <w:t>2/16.</w:t>
      </w:r>
    </w:p>
  </w:footnote>
  <w:footnote w:id="217">
    <w:p w:rsidR="0011214A" w:rsidRPr="00CD5CF9" w:rsidRDefault="0011214A">
      <w:pPr>
        <w:pStyle w:val="FootnoteText"/>
        <w:rPr>
          <w:lang w:val="sr-Latn-RS"/>
        </w:rPr>
      </w:pPr>
      <w:r>
        <w:rPr>
          <w:rStyle w:val="FootnoteReference"/>
        </w:rPr>
        <w:footnoteRef/>
      </w:r>
      <w:r>
        <w:t xml:space="preserve"> </w:t>
      </w:r>
      <w:r w:rsidRPr="00CD5CF9">
        <w:t>Analiza primene afirmativnih mera u oblasti obrazovanja Roma i Romkinja i preporuke za unapređenje mera, Tim za socijalno uključivanje i smanjenje siromaštva, Beograd, 2016. Dostupno na internet adresi: http://socijalnoukljucivanje.gov.rs/wp-content/uploads/2016/07/Analiza-primene-afirmativnih-mera-u-oblasti-obrazovanja-Roma-i-Romkinja-i-preporuke-za-unapredjenje-mera.pdf.</w:t>
      </w:r>
    </w:p>
  </w:footnote>
  <w:footnote w:id="218">
    <w:p w:rsidR="0011214A" w:rsidRPr="00CD5CF9" w:rsidRDefault="0011214A">
      <w:pPr>
        <w:pStyle w:val="FootnoteText"/>
        <w:rPr>
          <w:lang w:val="sr-Latn-RS"/>
        </w:rPr>
      </w:pPr>
      <w:r>
        <w:rPr>
          <w:rStyle w:val="FootnoteReference"/>
        </w:rPr>
        <w:footnoteRef/>
      </w:r>
      <w:r>
        <w:t xml:space="preserve"> </w:t>
      </w:r>
      <w:r>
        <w:rPr>
          <w:lang w:val="sr-Latn-RS"/>
        </w:rPr>
        <w:t>Isto, str. 49</w:t>
      </w:r>
    </w:p>
  </w:footnote>
  <w:footnote w:id="219">
    <w:p w:rsidR="0011214A" w:rsidRPr="00CD5CF9" w:rsidRDefault="0011214A" w:rsidP="00CD5CF9">
      <w:pPr>
        <w:pStyle w:val="FootnoteText"/>
        <w:jc w:val="left"/>
        <w:rPr>
          <w:lang w:val="sr-Latn-RS"/>
        </w:rPr>
      </w:pPr>
      <w:r>
        <w:rPr>
          <w:rStyle w:val="FootnoteReference"/>
        </w:rPr>
        <w:footnoteRef/>
      </w:r>
      <w:r>
        <w:t xml:space="preserve"> </w:t>
      </w:r>
      <w:r w:rsidRPr="00CD5CF9">
        <w:t xml:space="preserve">Dostupno na internet adresi: www.ombudsman.rs/attachments/article/5018/Izvestaj%20o%20informisanju%20na%20jezicima%20nacionalnih%20manjina%20nakon%20privatizacije%20medija.pdf.  </w:t>
      </w:r>
    </w:p>
  </w:footnote>
  <w:footnote w:id="220">
    <w:p w:rsidR="0011214A" w:rsidRPr="00CD5CF9" w:rsidRDefault="0011214A">
      <w:pPr>
        <w:pStyle w:val="FootnoteText"/>
        <w:rPr>
          <w:lang w:val="sr-Latn-RS"/>
        </w:rPr>
      </w:pPr>
      <w:r>
        <w:rPr>
          <w:rStyle w:val="FootnoteReference"/>
        </w:rPr>
        <w:footnoteRef/>
      </w:r>
      <w:r>
        <w:t xml:space="preserve"> </w:t>
      </w:r>
      <w:r>
        <w:rPr>
          <w:lang w:val="sr-Latn-RS"/>
        </w:rPr>
        <w:t>Isto, str. 11</w:t>
      </w:r>
    </w:p>
  </w:footnote>
  <w:footnote w:id="221">
    <w:p w:rsidR="0011214A" w:rsidRPr="003358D4" w:rsidRDefault="0011214A">
      <w:pPr>
        <w:pStyle w:val="FootnoteText"/>
        <w:rPr>
          <w:lang w:val="sr-Latn-RS"/>
        </w:rPr>
      </w:pPr>
      <w:r>
        <w:rPr>
          <w:rStyle w:val="FootnoteReference"/>
        </w:rPr>
        <w:footnoteRef/>
      </w:r>
      <w:r>
        <w:t xml:space="preserve"> </w:t>
      </w:r>
      <w:r>
        <w:rPr>
          <w:lang w:val="sr-Latn-RS"/>
        </w:rPr>
        <w:t>Isto, str. 15</w:t>
      </w:r>
    </w:p>
  </w:footnote>
  <w:footnote w:id="222">
    <w:p w:rsidR="0011214A" w:rsidRPr="003358D4" w:rsidRDefault="0011214A">
      <w:pPr>
        <w:pStyle w:val="FootnoteText"/>
        <w:rPr>
          <w:lang w:val="sr-Latn-RS"/>
        </w:rPr>
      </w:pPr>
      <w:r>
        <w:rPr>
          <w:rStyle w:val="FootnoteReference"/>
        </w:rPr>
        <w:footnoteRef/>
      </w:r>
      <w:r>
        <w:t xml:space="preserve"> </w:t>
      </w:r>
      <w:r w:rsidRPr="003358D4">
        <w:t>Kao najveći problem se ističe to da prikupljanje podataka o etničkoj/nacionalnoj pripadnosti nije integralni deo tzv. Jedinstvenog informacionog sistema u prosveti Republike Srbije.</w:t>
      </w:r>
    </w:p>
  </w:footnote>
  <w:footnote w:id="223">
    <w:p w:rsidR="0011214A" w:rsidRPr="003358D4" w:rsidRDefault="0011214A">
      <w:pPr>
        <w:pStyle w:val="FootnoteText"/>
        <w:rPr>
          <w:lang w:val="sr-Latn-RS"/>
        </w:rPr>
      </w:pPr>
      <w:r>
        <w:rPr>
          <w:rStyle w:val="FootnoteReference"/>
        </w:rPr>
        <w:footnoteRef/>
      </w:r>
      <w:r>
        <w:t xml:space="preserve"> </w:t>
      </w:r>
      <w:r w:rsidRPr="003358D4">
        <w:t>Izveštaj Evropskog centra za prava Roma (ERRC) i NVO Praksis, str. 4.</w:t>
      </w:r>
    </w:p>
  </w:footnote>
  <w:footnote w:id="224">
    <w:p w:rsidR="0011214A" w:rsidRPr="003358D4" w:rsidRDefault="0011214A">
      <w:pPr>
        <w:pStyle w:val="FootnoteText"/>
        <w:rPr>
          <w:lang w:val="sr-Latn-RS"/>
        </w:rPr>
      </w:pPr>
      <w:r>
        <w:rPr>
          <w:rStyle w:val="FootnoteReference"/>
        </w:rPr>
        <w:footnoteRef/>
      </w:r>
      <w:r>
        <w:t xml:space="preserve"> </w:t>
      </w:r>
      <w:r>
        <w:rPr>
          <w:lang w:val="sr-Latn-RS"/>
        </w:rPr>
        <w:t>Isto, str. 5</w:t>
      </w:r>
    </w:p>
  </w:footnote>
  <w:footnote w:id="225">
    <w:p w:rsidR="0011214A" w:rsidRPr="003358D4" w:rsidRDefault="0011214A">
      <w:pPr>
        <w:pStyle w:val="FootnoteText"/>
        <w:rPr>
          <w:lang w:val="sr-Latn-RS"/>
        </w:rPr>
      </w:pPr>
      <w:r>
        <w:rPr>
          <w:rStyle w:val="FootnoteReference"/>
        </w:rPr>
        <w:footnoteRef/>
      </w:r>
      <w:r>
        <w:t xml:space="preserve"> </w:t>
      </w:r>
      <w:r>
        <w:rPr>
          <w:lang w:val="sr-Latn-RS"/>
        </w:rPr>
        <w:t>Isto, str. 5</w:t>
      </w:r>
    </w:p>
  </w:footnote>
  <w:footnote w:id="226">
    <w:p w:rsidR="0011214A" w:rsidRPr="003358D4" w:rsidRDefault="0011214A">
      <w:pPr>
        <w:pStyle w:val="FootnoteText"/>
        <w:rPr>
          <w:lang w:val="sr-Latn-RS"/>
        </w:rPr>
      </w:pPr>
      <w:r>
        <w:rPr>
          <w:rStyle w:val="FootnoteReference"/>
        </w:rPr>
        <w:footnoteRef/>
      </w:r>
      <w:r>
        <w:t xml:space="preserve"> </w:t>
      </w:r>
      <w:r w:rsidRPr="003358D4">
        <w:t>Pozivajući se na član 7(1) Konvencije o pravima deteta, koji nalaže da upis rođenja mora biti odmah po rođenju. Ustavni sud je u septembru odbio ovu inicijativu.</w:t>
      </w:r>
    </w:p>
  </w:footnote>
  <w:footnote w:id="227">
    <w:p w:rsidR="0011214A" w:rsidRPr="004047ED" w:rsidRDefault="0011214A">
      <w:pPr>
        <w:pStyle w:val="FootnoteText"/>
        <w:rPr>
          <w:lang w:val="sr-Latn-RS"/>
        </w:rPr>
      </w:pPr>
      <w:r>
        <w:rPr>
          <w:rStyle w:val="FootnoteReference"/>
        </w:rPr>
        <w:footnoteRef/>
      </w:r>
      <w:r>
        <w:t xml:space="preserve"> </w:t>
      </w:r>
      <w:r w:rsidRPr="004047ED">
        <w:t>Dostupno na: https://drive.google.com/file/d/0B1QaDisvv7K3c19yTVd3Z1ZuQ0U/view.</w:t>
      </w:r>
    </w:p>
  </w:footnote>
  <w:footnote w:id="228">
    <w:p w:rsidR="0011214A" w:rsidRPr="003C4211" w:rsidRDefault="0011214A" w:rsidP="003C4211">
      <w:pPr>
        <w:pStyle w:val="FootnoteText"/>
        <w:jc w:val="left"/>
        <w:rPr>
          <w:lang w:val="sr-Latn-RS"/>
        </w:rPr>
      </w:pPr>
      <w:r>
        <w:rPr>
          <w:rStyle w:val="FootnoteReference"/>
        </w:rPr>
        <w:footnoteRef/>
      </w:r>
      <w:r>
        <w:t xml:space="preserve"> </w:t>
      </w:r>
      <w:r w:rsidRPr="003C4211">
        <w:t>Jović, V. i dr., Priručnik za uspostavljanje i razvoj centara za zaštitu mentalnog zdravlja u zajednici, Helsinški odbor za ljudska prava u Srbiji, Beograd, 2016. Dostupno na internet adresi: http://socijalnoukljucivanje.gov.rs/wp-content/uploads/2016/03/Prirucnik-za-uspostavljanje-i-razvoj-centara-za-zastitu-mentalnog-zdravlja-u-zajednici.pdf.</w:t>
      </w:r>
    </w:p>
  </w:footnote>
  <w:footnote w:id="229">
    <w:p w:rsidR="0011214A" w:rsidRPr="003C4211" w:rsidRDefault="0011214A">
      <w:pPr>
        <w:pStyle w:val="FootnoteText"/>
        <w:rPr>
          <w:lang w:val="sr-Latn-RS"/>
        </w:rPr>
      </w:pPr>
      <w:r>
        <w:rPr>
          <w:rStyle w:val="FootnoteReference"/>
        </w:rPr>
        <w:footnoteRef/>
      </w:r>
      <w:r>
        <w:t xml:space="preserve"> </w:t>
      </w:r>
      <w:r w:rsidRPr="003C4211">
        <w:t>Sjeničić, M., Milenković, M., Društveni i pravni položaj osoba sa retkim bolestima i njihovih porodica u Srbiji, Udruženje pravnika za medicinsko i zdravstveno pravo Srbije – SUPRAM, Institut društvenih nauka, Beograd, 2016. Dostupno na internet adresi: www.supram.org.rs/wp-content/uploads/2016/09/Polozaj-osoba-sa-retkim-bolestima-FINAL.pdf.</w:t>
      </w:r>
    </w:p>
  </w:footnote>
  <w:footnote w:id="230">
    <w:p w:rsidR="0011214A" w:rsidRPr="003C4211" w:rsidRDefault="0011214A">
      <w:pPr>
        <w:pStyle w:val="FootnoteText"/>
        <w:rPr>
          <w:lang w:val="sr-Latn-RS"/>
        </w:rPr>
      </w:pPr>
      <w:r>
        <w:rPr>
          <w:rStyle w:val="FootnoteReference"/>
        </w:rPr>
        <w:footnoteRef/>
      </w:r>
      <w:r>
        <w:t xml:space="preserve"> </w:t>
      </w:r>
      <w:r w:rsidRPr="003C4211">
        <w:t>Društveni i pravni položaj osoba sa retkim bolestima i njihovih porodica u Srbiji, str. 15.</w:t>
      </w:r>
    </w:p>
  </w:footnote>
  <w:footnote w:id="231">
    <w:p w:rsidR="0011214A" w:rsidRPr="006F0E29" w:rsidRDefault="0011214A">
      <w:pPr>
        <w:pStyle w:val="FootnoteText"/>
        <w:rPr>
          <w:lang w:val="sr-Latn-RS"/>
        </w:rPr>
      </w:pPr>
      <w:r>
        <w:rPr>
          <w:rStyle w:val="FootnoteReference"/>
        </w:rPr>
        <w:footnoteRef/>
      </w:r>
      <w:r>
        <w:t xml:space="preserve"> </w:t>
      </w:r>
      <w:r>
        <w:rPr>
          <w:lang w:val="sr-Latn-RS"/>
        </w:rPr>
        <w:t>Isto, str. 16</w:t>
      </w:r>
    </w:p>
  </w:footnote>
  <w:footnote w:id="232">
    <w:p w:rsidR="0011214A" w:rsidRPr="006F0E29" w:rsidRDefault="0011214A">
      <w:pPr>
        <w:pStyle w:val="FootnoteText"/>
        <w:rPr>
          <w:lang w:val="sr-Latn-RS"/>
        </w:rPr>
      </w:pPr>
      <w:r>
        <w:rPr>
          <w:rStyle w:val="FootnoteReference"/>
        </w:rPr>
        <w:footnoteRef/>
      </w:r>
      <w:r>
        <w:t xml:space="preserve"> </w:t>
      </w:r>
      <w:r>
        <w:rPr>
          <w:lang w:val="sr-Latn-RS"/>
        </w:rPr>
        <w:t>Isto, str. 139</w:t>
      </w:r>
    </w:p>
  </w:footnote>
  <w:footnote w:id="233">
    <w:p w:rsidR="0011214A" w:rsidRPr="00D77464" w:rsidRDefault="0011214A">
      <w:pPr>
        <w:pStyle w:val="FootnoteText"/>
        <w:rPr>
          <w:lang w:val="sr-Latn-RS"/>
        </w:rPr>
      </w:pPr>
      <w:r>
        <w:rPr>
          <w:rStyle w:val="FootnoteReference"/>
        </w:rPr>
        <w:footnoteRef/>
      </w:r>
      <w:r>
        <w:t xml:space="preserve"> </w:t>
      </w:r>
      <w:r w:rsidRPr="00D77464">
        <w:t>„S</w:t>
      </w:r>
      <w:r>
        <w:t>lužbeni glasnik RS“, broj 60/30</w:t>
      </w:r>
    </w:p>
  </w:footnote>
  <w:footnote w:id="234">
    <w:p w:rsidR="0011214A" w:rsidRPr="00D77464" w:rsidRDefault="0011214A">
      <w:pPr>
        <w:pStyle w:val="FootnoteText"/>
        <w:rPr>
          <w:lang w:val="sr-Latn-RS"/>
        </w:rPr>
      </w:pPr>
      <w:r>
        <w:rPr>
          <w:rStyle w:val="FootnoteReference"/>
        </w:rPr>
        <w:footnoteRef/>
      </w:r>
      <w:r>
        <w:t xml:space="preserve"> </w:t>
      </w:r>
      <w:r w:rsidRPr="00D77464">
        <w:t>Prema kriterijumu izloženosti diskriminaciji različitih društvenih grupa iz perspektive građana, osobe koje žive sa HIV-om spadaju u grupu koja je najviše diskriminisana, nakon Roma, pripadnika LGBT populacije i osoba sa intelektualnim poteškoćama i mentalnim smetnjama, koji čine prvu grupu. Istraživanje je dostupno na internet adresi: https://drive.google.com/file/d/0B1QaDisvv7K3c19yTVd3Z1ZuQ0U/view.</w:t>
      </w:r>
    </w:p>
  </w:footnote>
  <w:footnote w:id="235">
    <w:p w:rsidR="0011214A" w:rsidRPr="00D77464" w:rsidRDefault="0011214A">
      <w:pPr>
        <w:pStyle w:val="FootnoteText"/>
        <w:rPr>
          <w:lang w:val="sr-Latn-RS"/>
        </w:rPr>
      </w:pPr>
      <w:r>
        <w:rPr>
          <w:rStyle w:val="FootnoteReference"/>
        </w:rPr>
        <w:footnoteRef/>
      </w:r>
      <w:r>
        <w:t xml:space="preserve"> </w:t>
      </w:r>
      <w:r w:rsidRPr="00D77464">
        <w:t>Izveštaj dostupan na internet adresi: http://drpi.research.yorku.ca/wp-content/uploads/2016/06/.</w:t>
      </w:r>
    </w:p>
  </w:footnote>
  <w:footnote w:id="236">
    <w:p w:rsidR="0011214A" w:rsidRPr="00D77464" w:rsidRDefault="0011214A">
      <w:pPr>
        <w:pStyle w:val="FootnoteText"/>
        <w:rPr>
          <w:lang w:val="sr-Latn-RS"/>
        </w:rPr>
      </w:pPr>
      <w:r>
        <w:rPr>
          <w:rStyle w:val="FootnoteReference"/>
        </w:rPr>
        <w:footnoteRef/>
      </w:r>
      <w:r>
        <w:t xml:space="preserve"> </w:t>
      </w:r>
      <w:r w:rsidRPr="00D77464">
        <w:t>Monitoring ljudskih prava osoba koje žive sa HIV/sidom u Republici Srbiji, str. 5.</w:t>
      </w:r>
    </w:p>
  </w:footnote>
  <w:footnote w:id="237">
    <w:p w:rsidR="0011214A" w:rsidRPr="00D77464" w:rsidRDefault="0011214A">
      <w:pPr>
        <w:pStyle w:val="FootnoteText"/>
        <w:rPr>
          <w:lang w:val="sr-Latn-RS"/>
        </w:rPr>
      </w:pPr>
      <w:r>
        <w:rPr>
          <w:rStyle w:val="FootnoteReference"/>
        </w:rPr>
        <w:footnoteRef/>
      </w:r>
      <w:r>
        <w:t xml:space="preserve"> </w:t>
      </w:r>
      <w:r>
        <w:rPr>
          <w:lang w:val="sr-Latn-RS"/>
        </w:rPr>
        <w:t>Isto, str. 52</w:t>
      </w:r>
    </w:p>
  </w:footnote>
  <w:footnote w:id="238">
    <w:p w:rsidR="0011214A" w:rsidRPr="00D77464" w:rsidRDefault="0011214A" w:rsidP="00D77464">
      <w:pPr>
        <w:pStyle w:val="FootnoteText"/>
        <w:jc w:val="left"/>
        <w:rPr>
          <w:lang w:val="sr-Latn-RS"/>
        </w:rPr>
      </w:pPr>
      <w:r>
        <w:rPr>
          <w:rStyle w:val="FootnoteReference"/>
        </w:rPr>
        <w:footnoteRef/>
      </w:r>
      <w:r>
        <w:t xml:space="preserve"> </w:t>
      </w:r>
      <w:r w:rsidRPr="00D77464">
        <w:t>Izveštaj Evropske komisije o napretku Republike Srbije u procesu evropskih integracija za 2016. godinu. Dostupno na internet adresi: www.seio.gov.rs/upload/documents/eu_dokumenta/godisnji_izvestaji_ek_o_napretku/izvestaj_ek_srbija_2016.pdf.</w:t>
      </w:r>
    </w:p>
  </w:footnote>
  <w:footnote w:id="239">
    <w:p w:rsidR="0011214A" w:rsidRPr="00D77464" w:rsidRDefault="0011214A">
      <w:pPr>
        <w:pStyle w:val="FootnoteText"/>
        <w:rPr>
          <w:lang w:val="sr-Latn-RS"/>
        </w:rPr>
      </w:pPr>
      <w:r>
        <w:rPr>
          <w:rStyle w:val="FootnoteReference"/>
        </w:rPr>
        <w:footnoteRef/>
      </w:r>
      <w:r>
        <w:t xml:space="preserve"> </w:t>
      </w:r>
      <w:r w:rsidRPr="00906E67">
        <w:t>Izveštaj Evropske komisije o napretku Republike Srbije u procesu evropskih integracija za 2016. godinu, str. 63.</w:t>
      </w:r>
    </w:p>
  </w:footnote>
  <w:footnote w:id="240">
    <w:p w:rsidR="0011214A" w:rsidRPr="00CE4C1F" w:rsidRDefault="0011214A">
      <w:pPr>
        <w:pStyle w:val="FootnoteText"/>
        <w:rPr>
          <w:lang w:val="sr-Latn-RS"/>
        </w:rPr>
      </w:pPr>
      <w:r>
        <w:rPr>
          <w:rStyle w:val="FootnoteReference"/>
        </w:rPr>
        <w:footnoteRef/>
      </w:r>
      <w:r>
        <w:t xml:space="preserve"> </w:t>
      </w:r>
      <w:r w:rsidRPr="00CE4C1F">
        <w:t>Dostupno na internet adresi: www.socijalnainkluzija.rs/2016/11/18/odrzan-je-okrugli-sto-buducnost-srbije-u-borbi-protiv-aids-a/.</w:t>
      </w:r>
    </w:p>
  </w:footnote>
  <w:footnote w:id="241">
    <w:p w:rsidR="0011214A" w:rsidRPr="009D6D5F" w:rsidRDefault="0011214A">
      <w:pPr>
        <w:pStyle w:val="FootnoteText"/>
        <w:rPr>
          <w:lang w:val="sr-Latn-RS"/>
        </w:rPr>
      </w:pPr>
      <w:r>
        <w:rPr>
          <w:rStyle w:val="FootnoteReference"/>
        </w:rPr>
        <w:footnoteRef/>
      </w:r>
      <w:r>
        <w:t xml:space="preserve"> </w:t>
      </w:r>
      <w:r w:rsidRPr="009D6D5F">
        <w:t>Istraživanje „Kako reforma sektora bezbednosti utiče na ljudsku bezbednost u Srbiji? Ponovna procena uticaja reforme sektora bezbednosti na LGBT populaciju“ dostupno na internet adresi: www.publicpolicy.rs/publikacije/1e3805279a1e038df09eb5658bae2186577edddd.pdf.</w:t>
      </w:r>
    </w:p>
  </w:footnote>
  <w:footnote w:id="242">
    <w:p w:rsidR="0011214A" w:rsidRPr="009D6D5F" w:rsidRDefault="0011214A" w:rsidP="009D6D5F">
      <w:pPr>
        <w:pStyle w:val="FootnoteText"/>
        <w:jc w:val="left"/>
        <w:rPr>
          <w:lang w:val="sr-Latn-RS"/>
        </w:rPr>
      </w:pPr>
      <w:r>
        <w:rPr>
          <w:rStyle w:val="FootnoteReference"/>
        </w:rPr>
        <w:footnoteRef/>
      </w:r>
      <w:r>
        <w:t xml:space="preserve"> </w:t>
      </w:r>
      <w:r w:rsidRPr="009D6D5F">
        <w:t>Izveštaj dostupan na internet adresi: www.seio.gov.rs/upload/documents/eu_dokumenta/godisnji_izvestaji_ek_o_napretku/izvestaj_ek_srbija_2016.pdf.</w:t>
      </w:r>
    </w:p>
  </w:footnote>
  <w:footnote w:id="243">
    <w:p w:rsidR="0011214A" w:rsidRPr="009D6D5F" w:rsidRDefault="0011214A">
      <w:pPr>
        <w:pStyle w:val="FootnoteText"/>
        <w:rPr>
          <w:lang w:val="sr-Latn-RS"/>
        </w:rPr>
      </w:pPr>
      <w:r>
        <w:rPr>
          <w:rStyle w:val="FootnoteReference"/>
        </w:rPr>
        <w:footnoteRef/>
      </w:r>
      <w:r>
        <w:t xml:space="preserve"> </w:t>
      </w:r>
      <w:r w:rsidRPr="009D6D5F">
        <w:t>Dostupno na internet adresi: www.amnesty.org/en/documents/pol10/2552/2016/en/.</w:t>
      </w:r>
    </w:p>
  </w:footnote>
  <w:footnote w:id="244">
    <w:p w:rsidR="0011214A" w:rsidRPr="009D6D5F" w:rsidRDefault="0011214A">
      <w:pPr>
        <w:pStyle w:val="FootnoteText"/>
        <w:rPr>
          <w:lang w:val="sr-Latn-RS"/>
        </w:rPr>
      </w:pPr>
      <w:r>
        <w:rPr>
          <w:rStyle w:val="FootnoteReference"/>
        </w:rPr>
        <w:footnoteRef/>
      </w:r>
      <w:r>
        <w:t xml:space="preserve"> </w:t>
      </w:r>
      <w:r w:rsidRPr="009D6D5F">
        <w:t>Analitički izveštaj o nedostacima i pravnim prazninama u implementaciji postojećih politika antidiskriminacije, prevencije nasilja, zločina i govora iz mržnje prema LGBT osobama, Komitet pravnika za ljudska prava YUCOM, Beograd, 2016. Dostupno na internet adresi: www.yucom.org.rs/wp-content/uploads/2016/11/Analiticki-izvestaj-i-preporuke-LGBT-prava.pdf.</w:t>
      </w:r>
    </w:p>
  </w:footnote>
  <w:footnote w:id="245">
    <w:p w:rsidR="0011214A" w:rsidRPr="00FA4DF1" w:rsidRDefault="0011214A" w:rsidP="00FA4DF1">
      <w:pPr>
        <w:pStyle w:val="FootnoteText"/>
        <w:jc w:val="left"/>
        <w:rPr>
          <w:lang w:val="sr-Latn-RS"/>
        </w:rPr>
      </w:pPr>
      <w:r>
        <w:rPr>
          <w:rStyle w:val="FootnoteReference"/>
        </w:rPr>
        <w:footnoteRef/>
      </w:r>
      <w:r>
        <w:t xml:space="preserve"> </w:t>
      </w:r>
      <w:r>
        <w:rPr>
          <w:lang w:val="sr-Latn-RS"/>
        </w:rPr>
        <w:t>ww</w:t>
      </w:r>
      <w:r w:rsidRPr="00FA4DF1">
        <w:t>w.parlament.gov.rs/upload/documents/activities/Zakljucak%20odbora%20za%20evropske%20integracije%20i%20za%20ljudska%20i%20amnjinska%20prava%20i%20ravnopravnost%20polova.pdf</w:t>
      </w:r>
    </w:p>
  </w:footnote>
  <w:footnote w:id="246">
    <w:p w:rsidR="0011214A" w:rsidRPr="00FA4DF1" w:rsidRDefault="0011214A">
      <w:pPr>
        <w:pStyle w:val="FootnoteText"/>
        <w:rPr>
          <w:lang w:val="sr-Latn-RS"/>
        </w:rPr>
      </w:pPr>
      <w:r>
        <w:rPr>
          <w:rStyle w:val="FootnoteReference"/>
        </w:rPr>
        <w:footnoteRef/>
      </w:r>
      <w:r>
        <w:t xml:space="preserve"> </w:t>
      </w:r>
      <w:r w:rsidRPr="00FA4DF1">
        <w:t>Poverenik za zaštitu ravnopravnosti: http://ravnopravnost.gov.rs/analiza-propisa-od-znacaja-za-pravni-polozaj-transpolnih-osoba/.</w:t>
      </w:r>
    </w:p>
  </w:footnote>
  <w:footnote w:id="247">
    <w:p w:rsidR="0011214A" w:rsidRPr="004C19B0" w:rsidRDefault="0011214A" w:rsidP="004C19B0">
      <w:pPr>
        <w:pStyle w:val="FootnoteText"/>
        <w:jc w:val="left"/>
        <w:rPr>
          <w:lang w:val="sr-Latn-RS"/>
        </w:rPr>
      </w:pPr>
      <w:r>
        <w:rPr>
          <w:rStyle w:val="FootnoteReference"/>
        </w:rPr>
        <w:footnoteRef/>
      </w:r>
      <w:r>
        <w:t xml:space="preserve"> </w:t>
      </w:r>
      <w:r w:rsidRPr="004C19B0">
        <w:t>Izveštaj Evropske komisije o napretku Republike Srbije za 2016. godinu, Brisel 2016. Dostupno na internet adresi: www.seio.gov.rs/upload/documents/eu_dokumenta/godisnji_izvestaji_ek_o_napretku/godisnji_izvestaj_16_eng.pdf.</w:t>
      </w:r>
    </w:p>
  </w:footnote>
  <w:footnote w:id="248">
    <w:p w:rsidR="0011214A" w:rsidRPr="004C19B0" w:rsidRDefault="0011214A">
      <w:pPr>
        <w:pStyle w:val="FootnoteText"/>
        <w:rPr>
          <w:lang w:val="sr-Latn-RS"/>
        </w:rPr>
      </w:pPr>
      <w:r>
        <w:rPr>
          <w:rStyle w:val="FootnoteReference"/>
        </w:rPr>
        <w:footnoteRef/>
      </w:r>
      <w:r>
        <w:t xml:space="preserve"> </w:t>
      </w:r>
      <w:r w:rsidRPr="004C19B0">
        <w:t xml:space="preserve">Dostupno na internet adresi: www.amnesty.org/en/documents/pol10/2552/2016/en/.  </w:t>
      </w:r>
    </w:p>
  </w:footnote>
  <w:footnote w:id="249">
    <w:p w:rsidR="0011214A" w:rsidRPr="004C19B0" w:rsidRDefault="0011214A">
      <w:pPr>
        <w:pStyle w:val="FootnoteText"/>
        <w:rPr>
          <w:lang w:val="sr-Latn-RS"/>
        </w:rPr>
      </w:pPr>
      <w:r>
        <w:rPr>
          <w:rStyle w:val="FootnoteReference"/>
        </w:rPr>
        <w:footnoteRef/>
      </w:r>
      <w:r>
        <w:t xml:space="preserve"> </w:t>
      </w:r>
      <w:r w:rsidRPr="001C4065">
        <w:rPr>
          <w:rFonts w:ascii="Arial" w:hAnsi="Arial" w:cs="Arial"/>
          <w:i/>
          <w:sz w:val="16"/>
          <w:szCs w:val="16"/>
        </w:rPr>
        <w:t>Србија од земље транзита до земље дестинације,</w:t>
      </w:r>
      <w:r w:rsidRPr="001C4065">
        <w:rPr>
          <w:rFonts w:ascii="Arial" w:hAnsi="Arial" w:cs="Arial"/>
          <w:sz w:val="16"/>
          <w:szCs w:val="16"/>
        </w:rPr>
        <w:t xml:space="preserve"> Београдски центар за људска права, Београд, 2016. Доступно на интернет адреси: </w:t>
      </w:r>
      <w:r w:rsidRPr="001421DC">
        <w:rPr>
          <w:rFonts w:ascii="Arial" w:hAnsi="Arial" w:cs="Arial"/>
          <w:sz w:val="16"/>
          <w:szCs w:val="16"/>
        </w:rPr>
        <w:t>www.bgcentar.org.rs/bgcentar/wp-content/uploads/2016/06/Srbija-od-zemlje-tranzita-do-zemlje-destinacije-3.pdf</w:t>
      </w:r>
      <w:r>
        <w:rPr>
          <w:rFonts w:ascii="Arial" w:hAnsi="Arial" w:cs="Arial"/>
          <w:sz w:val="16"/>
          <w:szCs w:val="16"/>
        </w:rPr>
        <w:t>.</w:t>
      </w:r>
    </w:p>
  </w:footnote>
  <w:footnote w:id="250">
    <w:p w:rsidR="0011214A" w:rsidRPr="004C19B0" w:rsidRDefault="0011214A">
      <w:pPr>
        <w:pStyle w:val="FootnoteText"/>
        <w:rPr>
          <w:lang w:val="sr-Latn-RS"/>
        </w:rPr>
      </w:pPr>
      <w:r>
        <w:rPr>
          <w:rStyle w:val="FootnoteReference"/>
        </w:rPr>
        <w:footnoteRef/>
      </w:r>
      <w:r>
        <w:t xml:space="preserve"> </w:t>
      </w:r>
      <w:r>
        <w:rPr>
          <w:lang w:val="sr-Latn-RS"/>
        </w:rPr>
        <w:t>Isto, str. 27</w:t>
      </w:r>
    </w:p>
  </w:footnote>
  <w:footnote w:id="251">
    <w:p w:rsidR="0011214A" w:rsidRPr="004C19B0" w:rsidRDefault="0011214A">
      <w:pPr>
        <w:pStyle w:val="FootnoteText"/>
        <w:rPr>
          <w:lang w:val="sr-Latn-RS"/>
        </w:rPr>
      </w:pPr>
      <w:r>
        <w:rPr>
          <w:rStyle w:val="FootnoteReference"/>
        </w:rPr>
        <w:footnoteRef/>
      </w:r>
      <w:r>
        <w:t xml:space="preserve"> </w:t>
      </w:r>
      <w:r w:rsidRPr="004C19B0">
        <w:t xml:space="preserve">Dostupno na internet adresi: www.scribd.com/document/327315703/Rodna-analiza-Zakona-o-azilu-Asylum-Act-Gender-Analysis.   </w:t>
      </w:r>
    </w:p>
  </w:footnote>
  <w:footnote w:id="252">
    <w:p w:rsidR="0011214A" w:rsidRPr="004C19B0" w:rsidRDefault="0011214A">
      <w:pPr>
        <w:pStyle w:val="FootnoteText"/>
        <w:rPr>
          <w:lang w:val="sr-Latn-RS"/>
        </w:rPr>
      </w:pPr>
      <w:r>
        <w:rPr>
          <w:rStyle w:val="FootnoteReference"/>
        </w:rPr>
        <w:footnoteRef/>
      </w:r>
      <w:r>
        <w:t xml:space="preserve"> </w:t>
      </w:r>
      <w:r w:rsidRPr="004C19B0">
        <w:t>Dostupno na internet adresi: http://ideje.rs/wp-content/uploads/2016/09/Standardne-operativne-procedure-za-zastitu-dece-izbeglica-i-migranata.pdf.</w:t>
      </w:r>
    </w:p>
  </w:footnote>
  <w:footnote w:id="253">
    <w:p w:rsidR="0011214A" w:rsidRPr="004C19B0" w:rsidRDefault="0011214A" w:rsidP="004C19B0">
      <w:pPr>
        <w:pStyle w:val="FootnoteText"/>
        <w:jc w:val="left"/>
        <w:rPr>
          <w:lang w:val="sr-Latn-RS"/>
        </w:rPr>
      </w:pPr>
      <w:r>
        <w:rPr>
          <w:rStyle w:val="FootnoteReference"/>
        </w:rPr>
        <w:footnoteRef/>
      </w:r>
      <w:r>
        <w:t xml:space="preserve"> </w:t>
      </w:r>
      <w:r w:rsidRPr="004C19B0">
        <w:t>Istraživanje je dostupno na internet adresi: https://drive.google.com/file/d/0B1QaDisvv7K3c19yTVd3Z1ZuQ0U/view.</w:t>
      </w:r>
    </w:p>
  </w:footnote>
  <w:footnote w:id="254">
    <w:p w:rsidR="0011214A" w:rsidRPr="004C19B0" w:rsidRDefault="0011214A">
      <w:pPr>
        <w:pStyle w:val="FootnoteText"/>
        <w:rPr>
          <w:lang w:val="sr-Latn-RS"/>
        </w:rPr>
      </w:pPr>
      <w:r>
        <w:rPr>
          <w:rStyle w:val="FootnoteReference"/>
        </w:rPr>
        <w:footnoteRef/>
      </w:r>
      <w:r>
        <w:t xml:space="preserve"> </w:t>
      </w:r>
      <w:r w:rsidRPr="004C19B0">
        <w:t>www.unhcr.rs/dokumenti/istrazivanja.</w:t>
      </w:r>
    </w:p>
  </w:footnote>
  <w:footnote w:id="255">
    <w:p w:rsidR="0011214A" w:rsidRPr="004C19B0" w:rsidRDefault="0011214A">
      <w:pPr>
        <w:pStyle w:val="FootnoteText"/>
        <w:rPr>
          <w:lang w:val="sr-Latn-RS"/>
        </w:rPr>
      </w:pPr>
      <w:r>
        <w:rPr>
          <w:rStyle w:val="FootnoteReference"/>
        </w:rPr>
        <w:footnoteRef/>
      </w:r>
      <w:r>
        <w:t xml:space="preserve"> </w:t>
      </w:r>
      <w:r w:rsidRPr="004C19B0">
        <w:t>Izveštaj Evropske Komisije o napretku Republike Srbije za 2016. godinu, Brisel 2016. Dostupno na internet adresi: www.seio.gov.rs/upload/documents/eu_dokumenta/godisnji_izvestaji_ek_o_napretku/godisnji_izvestaj_16_eng.pdf.</w:t>
      </w:r>
    </w:p>
  </w:footnote>
  <w:footnote w:id="256">
    <w:p w:rsidR="0011214A" w:rsidRPr="00F304B2" w:rsidRDefault="0011214A">
      <w:pPr>
        <w:pStyle w:val="FootnoteText"/>
        <w:rPr>
          <w:lang w:val="sr-Latn-RS"/>
        </w:rPr>
      </w:pPr>
      <w:r>
        <w:rPr>
          <w:rStyle w:val="FootnoteReference"/>
        </w:rPr>
        <w:footnoteRef/>
      </w:r>
      <w:r>
        <w:t xml:space="preserve"> </w:t>
      </w:r>
      <w:r w:rsidRPr="00F304B2">
        <w:t>Na primer, starija žena sa invaliditetom može biti diskriminisana po osnovu pola, starosnog doba i invaliditeta.</w:t>
      </w:r>
    </w:p>
  </w:footnote>
  <w:footnote w:id="257">
    <w:p w:rsidR="0011214A" w:rsidRPr="004464F9" w:rsidRDefault="0011214A">
      <w:pPr>
        <w:pStyle w:val="FootnoteText"/>
        <w:rPr>
          <w:lang w:val="sr-Latn-RS"/>
        </w:rPr>
      </w:pPr>
      <w:r>
        <w:rPr>
          <w:rStyle w:val="FootnoteReference"/>
        </w:rPr>
        <w:footnoteRef/>
      </w:r>
      <w:r>
        <w:t xml:space="preserve"> </w:t>
      </w:r>
      <w:r w:rsidRPr="004464F9">
        <w:t>„Službeni glasnik RS“, br. 79/05, 81/05, 64/07, 67/07, 11/08, 104/09 i 99/14.</w:t>
      </w:r>
    </w:p>
  </w:footnote>
  <w:footnote w:id="258">
    <w:p w:rsidR="0011214A" w:rsidRPr="00200C16" w:rsidRDefault="0011214A">
      <w:pPr>
        <w:pStyle w:val="FootnoteText"/>
        <w:rPr>
          <w:lang w:val="sr-Latn-RS"/>
        </w:rPr>
      </w:pPr>
      <w:r>
        <w:rPr>
          <w:rStyle w:val="FootnoteReference"/>
        </w:rPr>
        <w:footnoteRef/>
      </w:r>
      <w:r>
        <w:t xml:space="preserve"> </w:t>
      </w:r>
      <w:r w:rsidRPr="00200C16">
        <w:t>Zakon o potvrđivanju Konvencija Saveta Evrope o sprečavanju i borbi protiv nasilja nad ženama i nasilja u porodici („Službeni glasnik RS – Međunarodni ugovori“, broj 12/13).</w:t>
      </w:r>
    </w:p>
  </w:footnote>
  <w:footnote w:id="259">
    <w:p w:rsidR="0011214A" w:rsidRPr="00573E3D" w:rsidRDefault="0011214A">
      <w:pPr>
        <w:pStyle w:val="FootnoteText"/>
        <w:rPr>
          <w:lang w:val="sr-Latn-RS"/>
        </w:rPr>
      </w:pPr>
      <w:r>
        <w:rPr>
          <w:rStyle w:val="FootnoteReference"/>
        </w:rPr>
        <w:footnoteRef/>
      </w:r>
      <w:r>
        <w:t xml:space="preserve"> </w:t>
      </w:r>
      <w:r w:rsidRPr="00573E3D">
        <w:t>„Službeni glasnik RS“, br. 16/95 i 101/05 – dr. zakon.</w:t>
      </w:r>
    </w:p>
  </w:footnote>
  <w:footnote w:id="260">
    <w:p w:rsidR="0011214A" w:rsidRPr="00573E3D" w:rsidRDefault="0011214A">
      <w:pPr>
        <w:pStyle w:val="FootnoteText"/>
        <w:rPr>
          <w:lang w:val="sr-Latn-RS"/>
        </w:rPr>
      </w:pPr>
      <w:r>
        <w:rPr>
          <w:rStyle w:val="FootnoteReference"/>
        </w:rPr>
        <w:footnoteRef/>
      </w:r>
      <w:r>
        <w:t xml:space="preserve"> </w:t>
      </w:r>
      <w:r w:rsidRPr="00573E3D">
        <w:t>„Službeni glasnik RS“, broj 22/09.</w:t>
      </w:r>
    </w:p>
  </w:footnote>
  <w:footnote w:id="261">
    <w:p w:rsidR="0011214A" w:rsidRPr="00573E3D" w:rsidRDefault="0011214A">
      <w:pPr>
        <w:pStyle w:val="FootnoteText"/>
        <w:rPr>
          <w:lang w:val="sr-Latn-RS"/>
        </w:rPr>
      </w:pPr>
      <w:r>
        <w:rPr>
          <w:rStyle w:val="FootnoteReference"/>
        </w:rPr>
        <w:footnoteRef/>
      </w:r>
      <w:r>
        <w:t xml:space="preserve"> </w:t>
      </w:r>
      <w:r w:rsidRPr="00573E3D">
        <w:t>„Službeni glasnik RS“, br. 33/06 i 13/16.</w:t>
      </w:r>
    </w:p>
  </w:footnote>
  <w:footnote w:id="262">
    <w:p w:rsidR="0011214A" w:rsidRPr="00182F27" w:rsidRDefault="0011214A">
      <w:pPr>
        <w:pStyle w:val="FootnoteText"/>
        <w:rPr>
          <w:lang w:val="sr-Latn-RS"/>
        </w:rPr>
      </w:pPr>
      <w:r>
        <w:rPr>
          <w:rStyle w:val="FootnoteReference"/>
        </w:rPr>
        <w:footnoteRef/>
      </w:r>
      <w:r>
        <w:t xml:space="preserve"> </w:t>
      </w:r>
      <w:r w:rsidRPr="00182F27">
        <w:t>„Službeni glasnik RS“, br. 79/05, 81/05 – ispravka, 83/05 – ispravka, 64/07, 67/07 – ispravka, 116/08, 104/09 i 99/14.</w:t>
      </w:r>
    </w:p>
  </w:footnote>
  <w:footnote w:id="263">
    <w:p w:rsidR="0011214A" w:rsidRPr="00664080" w:rsidRDefault="0011214A">
      <w:pPr>
        <w:pStyle w:val="FootnoteText"/>
        <w:rPr>
          <w:lang w:val="sr-Latn-RS"/>
        </w:rPr>
      </w:pPr>
      <w:r>
        <w:rPr>
          <w:rStyle w:val="FootnoteReference"/>
        </w:rPr>
        <w:footnoteRef/>
      </w:r>
      <w:r>
        <w:t xml:space="preserve"> </w:t>
      </w:r>
      <w:r w:rsidRPr="00664080">
        <w:t>Službeni glasnik RS“, br. 85/05, 88/05 – ispr., 107/05 – ispr., 72/09, 111/09, 121/12 i 104/13.</w:t>
      </w:r>
    </w:p>
  </w:footnote>
  <w:footnote w:id="264">
    <w:p w:rsidR="0011214A" w:rsidRPr="00664080" w:rsidRDefault="0011214A">
      <w:pPr>
        <w:pStyle w:val="FootnoteText"/>
        <w:rPr>
          <w:lang w:val="sr-Latn-RS"/>
        </w:rPr>
      </w:pPr>
      <w:r>
        <w:rPr>
          <w:rStyle w:val="FootnoteReference"/>
        </w:rPr>
        <w:footnoteRef/>
      </w:r>
      <w:r>
        <w:t xml:space="preserve"> </w:t>
      </w:r>
      <w:r w:rsidRPr="00664080">
        <w:t>„Službeni  glasnik RS“, br. 24/05, 61/05, 54/09, 32/2013 i 75/14.</w:t>
      </w:r>
    </w:p>
  </w:footnote>
  <w:footnote w:id="265">
    <w:p w:rsidR="0011214A" w:rsidRPr="00664080" w:rsidRDefault="0011214A">
      <w:pPr>
        <w:pStyle w:val="FootnoteText"/>
        <w:rPr>
          <w:lang w:val="sr-Latn-RS"/>
        </w:rPr>
      </w:pPr>
      <w:r>
        <w:rPr>
          <w:rStyle w:val="FootnoteReference"/>
        </w:rPr>
        <w:footnoteRef/>
      </w:r>
      <w:r>
        <w:t xml:space="preserve"> </w:t>
      </w:r>
      <w:r w:rsidRPr="00664080">
        <w:t>„Službeni glasnik RS“, br. 34/03, 64/04 – odluka USRS, 84/04 – dr. zakon, 85/05, 101/05 – dr. zakon, 63/06 – odluka USRS, 5/09, 107/09, 101/10, 93/12, 62/13, 108/13, 75/14 i 142/14.</w:t>
      </w:r>
    </w:p>
  </w:footnote>
  <w:footnote w:id="266">
    <w:p w:rsidR="0011214A" w:rsidRPr="00546B13" w:rsidRDefault="0011214A">
      <w:pPr>
        <w:pStyle w:val="FootnoteText"/>
        <w:rPr>
          <w:lang w:val="sr-Latn-RS"/>
        </w:rPr>
      </w:pPr>
      <w:r>
        <w:rPr>
          <w:rStyle w:val="FootnoteReference"/>
        </w:rPr>
        <w:footnoteRef/>
      </w:r>
      <w:r>
        <w:t xml:space="preserve"> </w:t>
      </w:r>
      <w:r w:rsidRPr="00546B13">
        <w:t>„Službeni glasnik RS“, broj 55/08.</w:t>
      </w:r>
    </w:p>
  </w:footnote>
  <w:footnote w:id="267">
    <w:p w:rsidR="0011214A" w:rsidRPr="00546B13" w:rsidRDefault="0011214A">
      <w:pPr>
        <w:pStyle w:val="FootnoteText"/>
        <w:rPr>
          <w:lang w:val="sr-Latn-RS"/>
        </w:rPr>
      </w:pPr>
      <w:r>
        <w:rPr>
          <w:rStyle w:val="FootnoteReference"/>
        </w:rPr>
        <w:footnoteRef/>
      </w:r>
      <w:r>
        <w:t xml:space="preserve"> „Službeni glasnik RS“, broj 5</w:t>
      </w:r>
      <w:r>
        <w:rPr>
          <w:lang w:val="sr-Latn-RS"/>
        </w:rPr>
        <w:t>0</w:t>
      </w:r>
      <w:r w:rsidRPr="00546B13">
        <w:t>/</w:t>
      </w:r>
      <w:r>
        <w:rPr>
          <w:lang w:val="sr-Latn-RS"/>
        </w:rPr>
        <w:t>11</w:t>
      </w:r>
      <w:r w:rsidRPr="00546B13">
        <w:t>.</w:t>
      </w:r>
    </w:p>
  </w:footnote>
  <w:footnote w:id="268">
    <w:p w:rsidR="0011214A" w:rsidRPr="00A90793" w:rsidRDefault="0011214A">
      <w:pPr>
        <w:pStyle w:val="FootnoteText"/>
        <w:rPr>
          <w:lang w:val="sr-Latn-RS"/>
        </w:rPr>
      </w:pPr>
      <w:r>
        <w:rPr>
          <w:rStyle w:val="FootnoteReference"/>
        </w:rPr>
        <w:footnoteRef/>
      </w:r>
      <w:r>
        <w:t xml:space="preserve"> </w:t>
      </w:r>
      <w:r w:rsidRPr="00A90793">
        <w:t>„Službeni list grada Beograda“, broj 54/15.</w:t>
      </w:r>
    </w:p>
  </w:footnote>
  <w:footnote w:id="269">
    <w:p w:rsidR="0011214A" w:rsidRPr="00A90793" w:rsidRDefault="0011214A">
      <w:pPr>
        <w:pStyle w:val="FootnoteText"/>
        <w:rPr>
          <w:lang w:val="sr-Latn-RS"/>
        </w:rPr>
      </w:pPr>
      <w:r>
        <w:rPr>
          <w:rStyle w:val="FootnoteReference"/>
        </w:rPr>
        <w:footnoteRef/>
      </w:r>
      <w:r>
        <w:t xml:space="preserve"> </w:t>
      </w:r>
      <w:r w:rsidRPr="00A90793">
        <w:t>„Službeni list SFRJ“, br. 53/82, 25/85, 75/85, 44/89, 87/89, 20/90, 42/90 i 24/98; član 2. stav 1. tačka 6.</w:t>
      </w:r>
    </w:p>
  </w:footnote>
  <w:footnote w:id="270">
    <w:p w:rsidR="0011214A" w:rsidRPr="00A90793" w:rsidRDefault="0011214A">
      <w:pPr>
        <w:pStyle w:val="FootnoteText"/>
        <w:rPr>
          <w:lang w:val="sr-Latn-RS"/>
        </w:rPr>
      </w:pPr>
      <w:r>
        <w:rPr>
          <w:rStyle w:val="FootnoteReference"/>
        </w:rPr>
        <w:footnoteRef/>
      </w:r>
      <w:r>
        <w:t xml:space="preserve"> </w:t>
      </w:r>
      <w:r w:rsidRPr="00A90793">
        <w:t>Službeni  list SRJ“, br. 24/98, 29/98 – ispr. i 25/00 – odluka SUS i „Službeni glasnik RS“, br. 101/05 – dr. zakon i 111/09 – dr. zakon.</w:t>
      </w:r>
    </w:p>
  </w:footnote>
  <w:footnote w:id="271">
    <w:p w:rsidR="0011214A" w:rsidRPr="00A90793" w:rsidRDefault="0011214A">
      <w:pPr>
        <w:pStyle w:val="FootnoteText"/>
        <w:rPr>
          <w:lang w:val="sr-Latn-RS"/>
        </w:rPr>
      </w:pPr>
      <w:r>
        <w:rPr>
          <w:rStyle w:val="FootnoteReference"/>
        </w:rPr>
        <w:footnoteRef/>
      </w:r>
      <w:r>
        <w:t xml:space="preserve"> </w:t>
      </w:r>
      <w:r w:rsidRPr="00A90793">
        <w:t>„Službeni list SCG – Međunarodni ugovori“, broj 9/03.</w:t>
      </w:r>
    </w:p>
  </w:footnote>
  <w:footnote w:id="272">
    <w:p w:rsidR="0011214A" w:rsidRPr="000467FC" w:rsidRDefault="0011214A">
      <w:pPr>
        <w:pStyle w:val="FootnoteText"/>
        <w:rPr>
          <w:lang w:val="sr-Latn-RS"/>
        </w:rPr>
      </w:pPr>
      <w:r>
        <w:rPr>
          <w:rStyle w:val="FootnoteReference"/>
        </w:rPr>
        <w:footnoteRef/>
      </w:r>
      <w:r>
        <w:t xml:space="preserve"> </w:t>
      </w:r>
      <w:r w:rsidRPr="000467FC">
        <w:t>„Službeni glasnik RS“, br. 76/05, 100/07 – autentično tumačenje, 97/08, 44/10, 93/12, 89/13, 99/14, 45/15 – autentično tumačenje i 68/15.</w:t>
      </w:r>
    </w:p>
  </w:footnote>
  <w:footnote w:id="273">
    <w:p w:rsidR="0011214A" w:rsidRPr="00E15568" w:rsidRDefault="0011214A">
      <w:pPr>
        <w:pStyle w:val="FootnoteText"/>
        <w:rPr>
          <w:lang w:val="sr-Latn-RS"/>
        </w:rPr>
      </w:pPr>
      <w:r>
        <w:rPr>
          <w:rStyle w:val="FootnoteReference"/>
        </w:rPr>
        <w:footnoteRef/>
      </w:r>
      <w:r>
        <w:t xml:space="preserve"> </w:t>
      </w:r>
      <w:r w:rsidRPr="00E15568">
        <w:t>Ustav Republike Srbije, „Službeni glasnik RS“, broj 98/06.</w:t>
      </w:r>
    </w:p>
  </w:footnote>
  <w:footnote w:id="274">
    <w:p w:rsidR="0011214A" w:rsidRPr="00E15568" w:rsidRDefault="0011214A">
      <w:pPr>
        <w:pStyle w:val="FootnoteText"/>
        <w:rPr>
          <w:lang w:val="sr-Latn-RS"/>
        </w:rPr>
      </w:pPr>
      <w:r>
        <w:rPr>
          <w:rStyle w:val="FootnoteReference"/>
        </w:rPr>
        <w:footnoteRef/>
      </w:r>
      <w:r>
        <w:t xml:space="preserve"> </w:t>
      </w:r>
      <w:r w:rsidRPr="00E15568">
        <w:t>http://webrzs.stat.gov.rs/WebSite/repository/documents/00/01/25/63/PD10_366_srb.pdf.</w:t>
      </w:r>
    </w:p>
  </w:footnote>
  <w:footnote w:id="275">
    <w:p w:rsidR="0011214A" w:rsidRPr="00E15568" w:rsidRDefault="0011214A">
      <w:pPr>
        <w:pStyle w:val="FootnoteText"/>
        <w:rPr>
          <w:lang w:val="sr-Latn-RS"/>
        </w:rPr>
      </w:pPr>
      <w:r>
        <w:rPr>
          <w:rStyle w:val="FootnoteReference"/>
        </w:rPr>
        <w:footnoteRef/>
      </w:r>
      <w:r>
        <w:t xml:space="preserve"> </w:t>
      </w:r>
      <w:r w:rsidRPr="00E15568">
        <w:t>„Službeni glasnik RS“, br. 33/06 i 13/16.</w:t>
      </w:r>
    </w:p>
  </w:footnote>
  <w:footnote w:id="276">
    <w:p w:rsidR="0011214A" w:rsidRPr="001371E1" w:rsidRDefault="0011214A" w:rsidP="001371E1">
      <w:pPr>
        <w:rPr>
          <w:rFonts w:ascii="Calibri" w:hAnsi="Calibri"/>
          <w:sz w:val="20"/>
          <w:szCs w:val="20"/>
          <w:lang w:val="sr-Latn-RS"/>
        </w:rPr>
      </w:pPr>
      <w:r>
        <w:rPr>
          <w:rStyle w:val="FootnoteReference"/>
        </w:rPr>
        <w:footnoteRef/>
      </w:r>
      <w:r>
        <w:t xml:space="preserve"> </w:t>
      </w:r>
      <w:r w:rsidRPr="001371E1">
        <w:rPr>
          <w:rFonts w:ascii="Calibri" w:hAnsi="Calibri"/>
          <w:sz w:val="20"/>
          <w:szCs w:val="20"/>
        </w:rPr>
        <w:t>„Službeni glasnik RS“, br. 97/08, 104/09 – dr. zak</w:t>
      </w:r>
      <w:r>
        <w:rPr>
          <w:rFonts w:ascii="Calibri" w:hAnsi="Calibri"/>
          <w:sz w:val="20"/>
          <w:szCs w:val="20"/>
        </w:rPr>
        <w:t>on, 68/12 – odluka US i 107/12</w:t>
      </w:r>
    </w:p>
  </w:footnote>
  <w:footnote w:id="277">
    <w:p w:rsidR="0011214A" w:rsidRPr="00FD08DD" w:rsidRDefault="0011214A">
      <w:pPr>
        <w:pStyle w:val="FootnoteText"/>
        <w:rPr>
          <w:lang w:val="sr-Latn-RS"/>
        </w:rPr>
      </w:pPr>
      <w:r>
        <w:rPr>
          <w:rStyle w:val="FootnoteReference"/>
        </w:rPr>
        <w:footnoteRef/>
      </w:r>
      <w:r>
        <w:t xml:space="preserve"> </w:t>
      </w:r>
      <w:r w:rsidRPr="00FD08DD">
        <w:t>„Službeni glasnik RS“, broj 103/15.</w:t>
      </w:r>
    </w:p>
  </w:footnote>
  <w:footnote w:id="278">
    <w:p w:rsidR="0011214A" w:rsidRPr="00410A7C" w:rsidRDefault="0011214A">
      <w:pPr>
        <w:pStyle w:val="FootnoteText"/>
        <w:rPr>
          <w:lang w:val="sr-Latn-RS"/>
        </w:rPr>
      </w:pPr>
      <w:r>
        <w:rPr>
          <w:rStyle w:val="FootnoteReference"/>
        </w:rPr>
        <w:footnoteRef/>
      </w:r>
      <w:r>
        <w:t xml:space="preserve"> </w:t>
      </w:r>
      <w:r w:rsidRPr="00BD30AC">
        <w:rPr>
          <w:rFonts w:ascii="Arial" w:hAnsi="Arial" w:cs="Arial"/>
          <w:sz w:val="16"/>
          <w:szCs w:val="16"/>
        </w:rPr>
        <w:t>„</w:t>
      </w:r>
      <w:r w:rsidRPr="00410A7C">
        <w:rPr>
          <w:rFonts w:ascii="Arial" w:hAnsi="Arial" w:cs="Arial"/>
          <w:sz w:val="16"/>
          <w:szCs w:val="16"/>
        </w:rPr>
        <w:t>„Službeni glasnik RS“, broj 94/16.</w:t>
      </w:r>
    </w:p>
  </w:footnote>
  <w:footnote w:id="279">
    <w:p w:rsidR="0011214A" w:rsidRPr="00410A7C" w:rsidRDefault="0011214A">
      <w:pPr>
        <w:pStyle w:val="FootnoteText"/>
        <w:rPr>
          <w:lang w:val="sr-Latn-RS"/>
        </w:rPr>
      </w:pPr>
      <w:r>
        <w:rPr>
          <w:rStyle w:val="FootnoteReference"/>
        </w:rPr>
        <w:footnoteRef/>
      </w:r>
      <w:r>
        <w:t xml:space="preserve"> </w:t>
      </w:r>
      <w:r w:rsidRPr="00410A7C">
        <w:t>„Službeni glasnik RS“, broj 94/16.</w:t>
      </w:r>
    </w:p>
  </w:footnote>
  <w:footnote w:id="280">
    <w:p w:rsidR="0011214A" w:rsidRPr="00410A7C" w:rsidRDefault="0011214A">
      <w:pPr>
        <w:pStyle w:val="FootnoteText"/>
        <w:rPr>
          <w:lang w:val="sr-Latn-RS"/>
        </w:rPr>
      </w:pPr>
      <w:r>
        <w:rPr>
          <w:rStyle w:val="FootnoteReference"/>
        </w:rPr>
        <w:footnoteRef/>
      </w:r>
      <w:r>
        <w:t xml:space="preserve"> „Službeni glasnik RS“, broj </w:t>
      </w:r>
      <w:r>
        <w:rPr>
          <w:lang w:val="sr-Latn-RS"/>
        </w:rPr>
        <w:t>21</w:t>
      </w:r>
      <w:r w:rsidRPr="00410A7C">
        <w:t>/16.</w:t>
      </w:r>
    </w:p>
  </w:footnote>
  <w:footnote w:id="281">
    <w:p w:rsidR="0011214A" w:rsidRPr="00410A7C" w:rsidRDefault="0011214A">
      <w:pPr>
        <w:pStyle w:val="FootnoteText"/>
        <w:rPr>
          <w:lang w:val="sr-Latn-RS"/>
        </w:rPr>
      </w:pPr>
      <w:r>
        <w:rPr>
          <w:rStyle w:val="FootnoteReference"/>
        </w:rPr>
        <w:footnoteRef/>
      </w:r>
      <w:r>
        <w:t xml:space="preserve"> „Službeni glasnik RS“, broj </w:t>
      </w:r>
      <w:r w:rsidRPr="00410A7C">
        <w:t>4/16.</w:t>
      </w:r>
    </w:p>
  </w:footnote>
  <w:footnote w:id="282">
    <w:p w:rsidR="0011214A" w:rsidRPr="00410A7C" w:rsidRDefault="0011214A">
      <w:pPr>
        <w:pStyle w:val="FootnoteText"/>
        <w:rPr>
          <w:lang w:val="sr-Latn-RS"/>
        </w:rPr>
      </w:pPr>
      <w:r>
        <w:rPr>
          <w:rStyle w:val="FootnoteReference"/>
        </w:rPr>
        <w:footnoteRef/>
      </w:r>
      <w:r>
        <w:t xml:space="preserve"> „Službeni glasnik RS“, broj </w:t>
      </w:r>
      <w:r>
        <w:rPr>
          <w:lang w:val="sr-Latn-RS"/>
        </w:rPr>
        <w:t>26</w:t>
      </w:r>
      <w:r w:rsidRPr="00410A7C">
        <w:t>/16.</w:t>
      </w:r>
    </w:p>
  </w:footnote>
  <w:footnote w:id="283">
    <w:p w:rsidR="0011214A" w:rsidRPr="00410A7C" w:rsidRDefault="0011214A">
      <w:pPr>
        <w:pStyle w:val="FootnoteText"/>
        <w:rPr>
          <w:lang w:val="sr-Latn-RS"/>
        </w:rPr>
      </w:pPr>
      <w:r>
        <w:rPr>
          <w:rStyle w:val="FootnoteReference"/>
        </w:rPr>
        <w:footnoteRef/>
      </w:r>
      <w:r>
        <w:t xml:space="preserve"> „Službeni glasnik RS“, broj </w:t>
      </w:r>
      <w:r>
        <w:rPr>
          <w:lang w:val="sr-Latn-RS"/>
        </w:rPr>
        <w:t>12</w:t>
      </w:r>
      <w:r w:rsidRPr="00410A7C">
        <w:t>/16.</w:t>
      </w:r>
    </w:p>
  </w:footnote>
  <w:footnote w:id="284">
    <w:p w:rsidR="0011214A" w:rsidRPr="00410A7C" w:rsidRDefault="0011214A">
      <w:pPr>
        <w:pStyle w:val="FootnoteText"/>
        <w:rPr>
          <w:lang w:val="sr-Latn-RS"/>
        </w:rPr>
      </w:pPr>
      <w:r>
        <w:rPr>
          <w:rStyle w:val="FootnoteReference"/>
        </w:rPr>
        <w:footnoteRef/>
      </w:r>
      <w:r>
        <w:t xml:space="preserve"> </w:t>
      </w:r>
      <w:r w:rsidRPr="00410A7C">
        <w:t xml:space="preserve">„Službeni glasnik RS“, broj </w:t>
      </w:r>
      <w:r>
        <w:rPr>
          <w:lang w:val="sr-Latn-RS"/>
        </w:rPr>
        <w:t>42</w:t>
      </w:r>
      <w:r w:rsidRPr="00410A7C">
        <w:t>/16.</w:t>
      </w:r>
    </w:p>
  </w:footnote>
  <w:footnote w:id="285">
    <w:p w:rsidR="0011214A" w:rsidRPr="00410A7C" w:rsidRDefault="0011214A">
      <w:pPr>
        <w:pStyle w:val="FootnoteText"/>
        <w:rPr>
          <w:lang w:val="sr-Latn-RS"/>
        </w:rPr>
      </w:pPr>
      <w:r>
        <w:rPr>
          <w:rStyle w:val="FootnoteReference"/>
        </w:rPr>
        <w:footnoteRef/>
      </w:r>
      <w:r>
        <w:t xml:space="preserve"> „Službeni glasnik RS“, broj </w:t>
      </w:r>
      <w:r>
        <w:rPr>
          <w:lang w:val="sr-Latn-RS"/>
        </w:rPr>
        <w:t>22</w:t>
      </w:r>
      <w:r w:rsidRPr="00410A7C">
        <w:t>/16.</w:t>
      </w:r>
    </w:p>
  </w:footnote>
  <w:footnote w:id="286">
    <w:p w:rsidR="0011214A" w:rsidRPr="00410A7C" w:rsidRDefault="0011214A">
      <w:pPr>
        <w:pStyle w:val="FootnoteText"/>
        <w:rPr>
          <w:lang w:val="sr-Latn-RS"/>
        </w:rPr>
      </w:pPr>
      <w:r>
        <w:rPr>
          <w:rStyle w:val="FootnoteReference"/>
        </w:rPr>
        <w:footnoteRef/>
      </w:r>
      <w:r>
        <w:t xml:space="preserve"> „Službeni glasnik RS“, broj </w:t>
      </w:r>
      <w:r>
        <w:rPr>
          <w:lang w:val="sr-Latn-RS"/>
        </w:rPr>
        <w:t>75</w:t>
      </w:r>
      <w:r w:rsidRPr="00410A7C">
        <w:t>/16.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4DE2"/>
    <w:multiLevelType w:val="hybridMultilevel"/>
    <w:tmpl w:val="B3381E3E"/>
    <w:lvl w:ilvl="0" w:tplc="9AF41158">
      <w:start w:val="4"/>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10374E"/>
    <w:multiLevelType w:val="hybridMultilevel"/>
    <w:tmpl w:val="2E96B27A"/>
    <w:lvl w:ilvl="0" w:tplc="AC92CEDE">
      <w:start w:val="1"/>
      <w:numFmt w:val="decimal"/>
      <w:lvlText w:val="3.6.1.%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30D6A"/>
    <w:multiLevelType w:val="hybridMultilevel"/>
    <w:tmpl w:val="67688226"/>
    <w:lvl w:ilvl="0" w:tplc="7E5AA0DC">
      <w:start w:val="1"/>
      <w:numFmt w:val="decimal"/>
      <w:lvlText w:val="3.6.4.%1."/>
      <w:lvlJc w:val="left"/>
      <w:pPr>
        <w:ind w:left="930" w:hanging="360"/>
      </w:pPr>
      <w:rPr>
        <w:rFonts w:hint="default"/>
        <w:b w:val="0"/>
        <w:i/>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nsid w:val="11E66536"/>
    <w:multiLevelType w:val="hybridMultilevel"/>
    <w:tmpl w:val="78DC01D8"/>
    <w:lvl w:ilvl="0" w:tplc="464666A2">
      <w:start w:val="5"/>
      <w:numFmt w:val="decimal"/>
      <w:lvlText w:val="3.%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5F6AC0"/>
    <w:multiLevelType w:val="hybridMultilevel"/>
    <w:tmpl w:val="36F6D5D0"/>
    <w:lvl w:ilvl="0" w:tplc="08E6DEBC">
      <w:start w:val="1"/>
      <w:numFmt w:val="decimal"/>
      <w:lvlText w:val="4.4.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932861"/>
    <w:multiLevelType w:val="hybridMultilevel"/>
    <w:tmpl w:val="BAEE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E44DDA"/>
    <w:multiLevelType w:val="hybridMultilevel"/>
    <w:tmpl w:val="D5584052"/>
    <w:lvl w:ilvl="0" w:tplc="E502F930">
      <w:start w:val="9"/>
      <w:numFmt w:val="decimal"/>
      <w:lvlText w:val="3.6.%1."/>
      <w:lvlJc w:val="left"/>
      <w:pPr>
        <w:ind w:left="1863"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6E7630"/>
    <w:multiLevelType w:val="hybridMultilevel"/>
    <w:tmpl w:val="E2C8A67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271A3C2D"/>
    <w:multiLevelType w:val="multilevel"/>
    <w:tmpl w:val="4140827E"/>
    <w:lvl w:ilvl="0">
      <w:start w:val="3"/>
      <w:numFmt w:val="decimal"/>
      <w:lvlText w:val="%1."/>
      <w:lvlJc w:val="left"/>
      <w:pPr>
        <w:ind w:left="540" w:hanging="540"/>
      </w:pPr>
      <w:rPr>
        <w:rFonts w:hint="default"/>
      </w:rPr>
    </w:lvl>
    <w:lvl w:ilvl="1">
      <w:start w:val="10"/>
      <w:numFmt w:val="decimal"/>
      <w:lvlText w:val="%1.%2."/>
      <w:lvlJc w:val="left"/>
      <w:pPr>
        <w:ind w:left="2217" w:hanging="720"/>
      </w:pPr>
      <w:rPr>
        <w:rFonts w:ascii="Arial" w:hAnsi="Arial" w:cs="Arial" w:hint="default"/>
        <w:color w:val="auto"/>
      </w:rPr>
    </w:lvl>
    <w:lvl w:ilvl="2">
      <w:start w:val="3"/>
      <w:numFmt w:val="decimal"/>
      <w:lvlText w:val="3.11.%3."/>
      <w:lvlJc w:val="left"/>
      <w:pPr>
        <w:ind w:left="3714" w:hanging="720"/>
      </w:pPr>
      <w:rPr>
        <w:rFonts w:hint="default"/>
      </w:rPr>
    </w:lvl>
    <w:lvl w:ilvl="3">
      <w:start w:val="1"/>
      <w:numFmt w:val="decimal"/>
      <w:lvlText w:val="%1.%2.%3.%4."/>
      <w:lvlJc w:val="left"/>
      <w:pPr>
        <w:ind w:left="5571" w:hanging="1080"/>
      </w:pPr>
      <w:rPr>
        <w:rFonts w:hint="default"/>
      </w:rPr>
    </w:lvl>
    <w:lvl w:ilvl="4">
      <w:start w:val="1"/>
      <w:numFmt w:val="decimal"/>
      <w:lvlText w:val="%1.%2.%3.%4.%5."/>
      <w:lvlJc w:val="left"/>
      <w:pPr>
        <w:ind w:left="7068" w:hanging="1080"/>
      </w:pPr>
      <w:rPr>
        <w:rFonts w:hint="default"/>
      </w:rPr>
    </w:lvl>
    <w:lvl w:ilvl="5">
      <w:start w:val="1"/>
      <w:numFmt w:val="decimal"/>
      <w:lvlText w:val="%1.%2.%3.%4.%5.%6."/>
      <w:lvlJc w:val="left"/>
      <w:pPr>
        <w:ind w:left="8925" w:hanging="1440"/>
      </w:pPr>
      <w:rPr>
        <w:rFonts w:hint="default"/>
      </w:rPr>
    </w:lvl>
    <w:lvl w:ilvl="6">
      <w:start w:val="1"/>
      <w:numFmt w:val="decimal"/>
      <w:lvlText w:val="%1.%2.%3.%4.%5.%6.%7."/>
      <w:lvlJc w:val="left"/>
      <w:pPr>
        <w:ind w:left="10422" w:hanging="1440"/>
      </w:pPr>
      <w:rPr>
        <w:rFonts w:hint="default"/>
      </w:rPr>
    </w:lvl>
    <w:lvl w:ilvl="7">
      <w:start w:val="1"/>
      <w:numFmt w:val="decimal"/>
      <w:lvlText w:val="%1.%2.%3.%4.%5.%6.%7.%8."/>
      <w:lvlJc w:val="left"/>
      <w:pPr>
        <w:ind w:left="12279" w:hanging="1800"/>
      </w:pPr>
      <w:rPr>
        <w:rFonts w:hint="default"/>
      </w:rPr>
    </w:lvl>
    <w:lvl w:ilvl="8">
      <w:start w:val="1"/>
      <w:numFmt w:val="decimal"/>
      <w:lvlText w:val="%1.%2.%3.%4.%5.%6.%7.%8.%9."/>
      <w:lvlJc w:val="left"/>
      <w:pPr>
        <w:ind w:left="13776" w:hanging="1800"/>
      </w:pPr>
      <w:rPr>
        <w:rFonts w:hint="default"/>
      </w:rPr>
    </w:lvl>
  </w:abstractNum>
  <w:abstractNum w:abstractNumId="9">
    <w:nsid w:val="29653E13"/>
    <w:multiLevelType w:val="hybridMultilevel"/>
    <w:tmpl w:val="0EEA7B00"/>
    <w:lvl w:ilvl="0" w:tplc="4380E82E">
      <w:start w:val="1"/>
      <w:numFmt w:val="decimal"/>
      <w:lvlText w:val="4.%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BC3070"/>
    <w:multiLevelType w:val="multilevel"/>
    <w:tmpl w:val="8BEA0906"/>
    <w:styleLink w:val="Style1"/>
    <w:lvl w:ilvl="0">
      <w:start w:val="1"/>
      <w:numFmt w:val="decimal"/>
      <w:lvlText w:val="%1."/>
      <w:lvlJc w:val="left"/>
      <w:pPr>
        <w:ind w:left="357" w:hanging="357"/>
      </w:pPr>
      <w:rPr>
        <w:rFonts w:hint="default"/>
      </w:rPr>
    </w:lvl>
    <w:lvl w:ilvl="1">
      <w:start w:val="1"/>
      <w:numFmt w:val="decimal"/>
      <w:lvlText w:val="1.%2."/>
      <w:lvlJc w:val="left"/>
      <w:pPr>
        <w:ind w:left="357" w:hanging="357"/>
      </w:pPr>
      <w:rPr>
        <w:rFonts w:ascii="Arial" w:hAnsi="Arial" w:cs="Arial" w:hint="default"/>
        <w:b/>
      </w:rPr>
    </w:lvl>
    <w:lvl w:ilvl="2">
      <w:start w:val="1"/>
      <w:numFmt w:val="decimal"/>
      <w:isLgl/>
      <w:lvlText w:val="%1.%2.%3."/>
      <w:lvlJc w:val="left"/>
      <w:pPr>
        <w:tabs>
          <w:tab w:val="num" w:pos="720"/>
        </w:tabs>
        <w:ind w:left="357" w:hanging="357"/>
      </w:pPr>
      <w:rPr>
        <w:rFonts w:ascii="Arial Bold" w:hAnsi="Arial Bold" w:cs="Times New Roman" w:hint="default"/>
        <w:b/>
        <w:i w:val="0"/>
        <w:iCs w:val="0"/>
        <w:caps w:val="0"/>
        <w:smallCaps w:val="0"/>
        <w:strike w:val="0"/>
        <w:dstrike w:val="0"/>
        <w:vanish w:val="0"/>
        <w:color w:val="000000"/>
        <w:spacing w:val="0"/>
        <w:position w:val="0"/>
        <w:sz w:val="24"/>
        <w:u w:val="none"/>
        <w:vertAlign w:val="baseline"/>
        <w:em w:val="none"/>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1">
    <w:nsid w:val="38BF3452"/>
    <w:multiLevelType w:val="hybridMultilevel"/>
    <w:tmpl w:val="0706DE62"/>
    <w:lvl w:ilvl="0" w:tplc="FD843C06">
      <w:start w:val="1"/>
      <w:numFmt w:val="decimal"/>
      <w:pStyle w:val="Heading4"/>
      <w:lvlText w:val="3.6.2.%1."/>
      <w:lvlJc w:val="left"/>
      <w:pPr>
        <w:ind w:left="72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5823A7"/>
    <w:multiLevelType w:val="hybridMultilevel"/>
    <w:tmpl w:val="3F3A04D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3B24181C"/>
    <w:multiLevelType w:val="multilevel"/>
    <w:tmpl w:val="3EA00820"/>
    <w:lvl w:ilvl="0">
      <w:start w:val="3"/>
      <w:numFmt w:val="decimal"/>
      <w:lvlText w:val="%1."/>
      <w:lvlJc w:val="left"/>
      <w:pPr>
        <w:ind w:left="720" w:hanging="720"/>
      </w:pPr>
      <w:rPr>
        <w:rFonts w:cs="Times New Roman" w:hint="default"/>
      </w:rPr>
    </w:lvl>
    <w:lvl w:ilvl="1">
      <w:start w:val="8"/>
      <w:numFmt w:val="decimal"/>
      <w:lvlText w:val="%1.%2."/>
      <w:lvlJc w:val="left"/>
      <w:pPr>
        <w:ind w:left="1718" w:hanging="720"/>
      </w:pPr>
      <w:rPr>
        <w:rFonts w:cs="Times New Roman" w:hint="default"/>
        <w:color w:val="auto"/>
      </w:rPr>
    </w:lvl>
    <w:lvl w:ilvl="2">
      <w:start w:val="7"/>
      <w:numFmt w:val="decimal"/>
      <w:lvlText w:val="%1.%2.%3."/>
      <w:lvlJc w:val="left"/>
      <w:pPr>
        <w:ind w:left="2716" w:hanging="720"/>
      </w:pPr>
      <w:rPr>
        <w:rFonts w:cs="Times New Roman" w:hint="default"/>
      </w:rPr>
    </w:lvl>
    <w:lvl w:ilvl="3">
      <w:start w:val="9"/>
      <w:numFmt w:val="decimal"/>
      <w:lvlText w:val="3.6.%4.1"/>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14">
    <w:nsid w:val="3EA165F3"/>
    <w:multiLevelType w:val="multilevel"/>
    <w:tmpl w:val="E45087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nsid w:val="3F6A7FF7"/>
    <w:multiLevelType w:val="multilevel"/>
    <w:tmpl w:val="478AEFB2"/>
    <w:lvl w:ilvl="0">
      <w:start w:val="3"/>
      <w:numFmt w:val="decimal"/>
      <w:lvlText w:val="%1."/>
      <w:lvlJc w:val="left"/>
      <w:pPr>
        <w:ind w:left="720" w:hanging="720"/>
      </w:pPr>
      <w:rPr>
        <w:rFonts w:cs="Times New Roman" w:hint="default"/>
      </w:rPr>
    </w:lvl>
    <w:lvl w:ilvl="1">
      <w:start w:val="9"/>
      <w:numFmt w:val="decimal"/>
      <w:lvlText w:val="%1.%2."/>
      <w:lvlJc w:val="left"/>
      <w:pPr>
        <w:ind w:left="1718" w:hanging="720"/>
      </w:pPr>
      <w:rPr>
        <w:rFonts w:cs="Times New Roman" w:hint="default"/>
        <w:b/>
        <w:color w:val="auto"/>
      </w:rPr>
    </w:lvl>
    <w:lvl w:ilvl="2">
      <w:start w:val="7"/>
      <w:numFmt w:val="decimal"/>
      <w:lvlText w:val="%1.%2.%3."/>
      <w:lvlJc w:val="left"/>
      <w:pPr>
        <w:ind w:left="2716" w:hanging="720"/>
      </w:pPr>
      <w:rPr>
        <w:rFonts w:cs="Times New Roman" w:hint="default"/>
      </w:rPr>
    </w:lvl>
    <w:lvl w:ilvl="3">
      <w:start w:val="9"/>
      <w:numFmt w:val="decimal"/>
      <w:lvlText w:val="3.6.%4.1"/>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16">
    <w:nsid w:val="409268D1"/>
    <w:multiLevelType w:val="hybridMultilevel"/>
    <w:tmpl w:val="D1CC324A"/>
    <w:lvl w:ilvl="0" w:tplc="E60259E2">
      <w:start w:val="1"/>
      <w:numFmt w:val="decimal"/>
      <w:pStyle w:val="TOCHeading"/>
      <w:lvlText w:val="5.%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C74638"/>
    <w:multiLevelType w:val="hybridMultilevel"/>
    <w:tmpl w:val="32A8C196"/>
    <w:lvl w:ilvl="0" w:tplc="452E6B9E">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796054"/>
    <w:multiLevelType w:val="multilevel"/>
    <w:tmpl w:val="6314637E"/>
    <w:lvl w:ilvl="0">
      <w:start w:val="3"/>
      <w:numFmt w:val="decimal"/>
      <w:lvlText w:val="%1."/>
      <w:lvlJc w:val="left"/>
      <w:pPr>
        <w:ind w:left="540" w:hanging="540"/>
      </w:pPr>
      <w:rPr>
        <w:rFonts w:hint="default"/>
      </w:rPr>
    </w:lvl>
    <w:lvl w:ilvl="1">
      <w:start w:val="9"/>
      <w:numFmt w:val="decimal"/>
      <w:lvlText w:val="%1.%2."/>
      <w:lvlJc w:val="left"/>
      <w:pPr>
        <w:ind w:left="2217" w:hanging="720"/>
      </w:pPr>
      <w:rPr>
        <w:rFonts w:ascii="Arial" w:hAnsi="Arial" w:cs="Arial" w:hint="default"/>
        <w:color w:val="auto"/>
      </w:rPr>
    </w:lvl>
    <w:lvl w:ilvl="2">
      <w:start w:val="1"/>
      <w:numFmt w:val="decimal"/>
      <w:lvlText w:val="3.9.%3."/>
      <w:lvlJc w:val="left"/>
      <w:pPr>
        <w:ind w:left="3714" w:hanging="720"/>
      </w:pPr>
      <w:rPr>
        <w:rFonts w:hint="default"/>
        <w:b/>
        <w:i/>
      </w:rPr>
    </w:lvl>
    <w:lvl w:ilvl="3">
      <w:start w:val="1"/>
      <w:numFmt w:val="decimal"/>
      <w:lvlText w:val="%1.%2.%3.%4."/>
      <w:lvlJc w:val="left"/>
      <w:pPr>
        <w:ind w:left="5571" w:hanging="1080"/>
      </w:pPr>
      <w:rPr>
        <w:rFonts w:hint="default"/>
      </w:rPr>
    </w:lvl>
    <w:lvl w:ilvl="4">
      <w:start w:val="1"/>
      <w:numFmt w:val="decimal"/>
      <w:lvlText w:val="%1.%2.%3.%4.%5."/>
      <w:lvlJc w:val="left"/>
      <w:pPr>
        <w:ind w:left="7068" w:hanging="1080"/>
      </w:pPr>
      <w:rPr>
        <w:rFonts w:hint="default"/>
      </w:rPr>
    </w:lvl>
    <w:lvl w:ilvl="5">
      <w:start w:val="1"/>
      <w:numFmt w:val="decimal"/>
      <w:lvlText w:val="%1.%2.%3.%4.%5.%6."/>
      <w:lvlJc w:val="left"/>
      <w:pPr>
        <w:ind w:left="8925" w:hanging="1440"/>
      </w:pPr>
      <w:rPr>
        <w:rFonts w:hint="default"/>
      </w:rPr>
    </w:lvl>
    <w:lvl w:ilvl="6">
      <w:start w:val="1"/>
      <w:numFmt w:val="decimal"/>
      <w:lvlText w:val="%1.%2.%3.%4.%5.%6.%7."/>
      <w:lvlJc w:val="left"/>
      <w:pPr>
        <w:ind w:left="10422" w:hanging="1440"/>
      </w:pPr>
      <w:rPr>
        <w:rFonts w:hint="default"/>
      </w:rPr>
    </w:lvl>
    <w:lvl w:ilvl="7">
      <w:start w:val="1"/>
      <w:numFmt w:val="decimal"/>
      <w:lvlText w:val="%1.%2.%3.%4.%5.%6.%7.%8."/>
      <w:lvlJc w:val="left"/>
      <w:pPr>
        <w:ind w:left="12279" w:hanging="1800"/>
      </w:pPr>
      <w:rPr>
        <w:rFonts w:hint="default"/>
      </w:rPr>
    </w:lvl>
    <w:lvl w:ilvl="8">
      <w:start w:val="1"/>
      <w:numFmt w:val="decimal"/>
      <w:lvlText w:val="%1.%2.%3.%4.%5.%6.%7.%8.%9."/>
      <w:lvlJc w:val="left"/>
      <w:pPr>
        <w:ind w:left="13776" w:hanging="1800"/>
      </w:pPr>
      <w:rPr>
        <w:rFonts w:hint="default"/>
      </w:rPr>
    </w:lvl>
  </w:abstractNum>
  <w:abstractNum w:abstractNumId="19">
    <w:nsid w:val="48B80A40"/>
    <w:multiLevelType w:val="hybridMultilevel"/>
    <w:tmpl w:val="FE18A828"/>
    <w:lvl w:ilvl="0" w:tplc="1D2A160A">
      <w:start w:val="1"/>
      <w:numFmt w:val="decimal"/>
      <w:lvlText w:val="3.6.5.%1."/>
      <w:lvlJc w:val="left"/>
      <w:pPr>
        <w:ind w:left="930" w:hanging="360"/>
      </w:pPr>
      <w:rPr>
        <w:rFonts w:hint="default"/>
        <w:b w:val="0"/>
        <w:i/>
      </w:rPr>
    </w:lvl>
    <w:lvl w:ilvl="1" w:tplc="04090019" w:tentative="1">
      <w:start w:val="1"/>
      <w:numFmt w:val="lowerLetter"/>
      <w:lvlText w:val="%2."/>
      <w:lvlJc w:val="left"/>
      <w:pPr>
        <w:ind w:left="1650" w:hanging="360"/>
      </w:pPr>
    </w:lvl>
    <w:lvl w:ilvl="2" w:tplc="0409001B">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nsid w:val="4AF970BF"/>
    <w:multiLevelType w:val="hybridMultilevel"/>
    <w:tmpl w:val="DCBA701A"/>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4B18185B"/>
    <w:multiLevelType w:val="multilevel"/>
    <w:tmpl w:val="E71E2A18"/>
    <w:lvl w:ilvl="0">
      <w:start w:val="1"/>
      <w:numFmt w:val="decimal"/>
      <w:lvlText w:val="%1."/>
      <w:lvlJc w:val="left"/>
      <w:pPr>
        <w:ind w:left="357" w:hanging="357"/>
      </w:pPr>
      <w:rPr>
        <w:rFonts w:hint="default"/>
      </w:rPr>
    </w:lvl>
    <w:lvl w:ilvl="1">
      <w:start w:val="1"/>
      <w:numFmt w:val="decimal"/>
      <w:lvlText w:val="1.%2."/>
      <w:lvlJc w:val="left"/>
      <w:pPr>
        <w:ind w:left="357" w:hanging="357"/>
      </w:pPr>
      <w:rPr>
        <w:rFonts w:ascii="Arial" w:hAnsi="Arial" w:cs="Arial" w:hint="default"/>
        <w:b/>
      </w:rPr>
    </w:lvl>
    <w:lvl w:ilvl="2">
      <w:start w:val="1"/>
      <w:numFmt w:val="decimal"/>
      <w:lvlText w:val="5.3.%3."/>
      <w:lvlJc w:val="left"/>
      <w:pPr>
        <w:tabs>
          <w:tab w:val="num" w:pos="2978"/>
        </w:tabs>
        <w:ind w:left="2978" w:hanging="851"/>
      </w:pPr>
      <w:rPr>
        <w:rFonts w:hint="default"/>
        <w:b/>
        <w:i/>
        <w:iCs w:val="0"/>
        <w:caps w:val="0"/>
        <w:smallCaps w:val="0"/>
        <w:strike w:val="0"/>
        <w:dstrike w:val="0"/>
        <w:vanish w:val="0"/>
        <w:color w:val="000000"/>
        <w:spacing w:val="0"/>
        <w:position w:val="0"/>
        <w:sz w:val="22"/>
        <w:u w:val="none"/>
        <w:vertAlign w:val="baseline"/>
        <w:em w:val="none"/>
      </w:rPr>
    </w:lvl>
    <w:lvl w:ilvl="3">
      <w:start w:val="1"/>
      <w:numFmt w:val="decimal"/>
      <w:lvlText w:val="5.4.2.%4."/>
      <w:lvlJc w:val="left"/>
      <w:pPr>
        <w:ind w:left="357" w:hanging="357"/>
      </w:pPr>
      <w:rPr>
        <w:rFonts w:hint="default"/>
        <w:b w:val="0"/>
      </w:rPr>
    </w:lvl>
    <w:lvl w:ilvl="4">
      <w:start w:val="1"/>
      <w:numFmt w:val="decimal"/>
      <w:pStyle w:val="Heading5"/>
      <w:lvlText w:val="%1.%2.%3.%4.%5"/>
      <w:lvlJc w:val="left"/>
      <w:pPr>
        <w:ind w:left="357" w:hanging="357"/>
      </w:pPr>
      <w:rPr>
        <w:rFonts w:hint="default"/>
      </w:rPr>
    </w:lvl>
    <w:lvl w:ilvl="5">
      <w:start w:val="1"/>
      <w:numFmt w:val="decimal"/>
      <w:pStyle w:val="Heading6"/>
      <w:lvlText w:val="%1.%2.%3.%4.%5.%6"/>
      <w:lvlJc w:val="left"/>
      <w:pPr>
        <w:ind w:left="357" w:hanging="357"/>
      </w:pPr>
      <w:rPr>
        <w:rFonts w:hint="default"/>
      </w:rPr>
    </w:lvl>
    <w:lvl w:ilvl="6">
      <w:start w:val="1"/>
      <w:numFmt w:val="decimal"/>
      <w:pStyle w:val="Heading7"/>
      <w:lvlText w:val="%1.%2.%3.%4.%5.%6.%7"/>
      <w:lvlJc w:val="left"/>
      <w:pPr>
        <w:ind w:left="357" w:hanging="357"/>
      </w:pPr>
      <w:rPr>
        <w:rFonts w:hint="default"/>
      </w:rPr>
    </w:lvl>
    <w:lvl w:ilvl="7">
      <w:start w:val="1"/>
      <w:numFmt w:val="decimal"/>
      <w:pStyle w:val="Heading8"/>
      <w:lvlText w:val="%1.%2.%3.%4.%5.%6.%7.%8"/>
      <w:lvlJc w:val="left"/>
      <w:pPr>
        <w:ind w:left="357" w:hanging="357"/>
      </w:pPr>
      <w:rPr>
        <w:rFonts w:hint="default"/>
      </w:rPr>
    </w:lvl>
    <w:lvl w:ilvl="8">
      <w:start w:val="1"/>
      <w:numFmt w:val="decimal"/>
      <w:pStyle w:val="Heading9"/>
      <w:lvlText w:val="%1.%2.%3.%4.%5.%6.%7.%8.%9"/>
      <w:lvlJc w:val="left"/>
      <w:pPr>
        <w:ind w:left="357" w:hanging="357"/>
      </w:pPr>
      <w:rPr>
        <w:rFonts w:hint="default"/>
      </w:rPr>
    </w:lvl>
  </w:abstractNum>
  <w:abstractNum w:abstractNumId="22">
    <w:nsid w:val="508B271D"/>
    <w:multiLevelType w:val="hybridMultilevel"/>
    <w:tmpl w:val="2AEC0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A51C07"/>
    <w:multiLevelType w:val="multilevel"/>
    <w:tmpl w:val="3D7635BC"/>
    <w:lvl w:ilvl="0">
      <w:start w:val="3"/>
      <w:numFmt w:val="decimal"/>
      <w:lvlText w:val="%1."/>
      <w:lvlJc w:val="left"/>
      <w:pPr>
        <w:ind w:left="720" w:hanging="720"/>
      </w:pPr>
      <w:rPr>
        <w:rFonts w:cs="Times New Roman" w:hint="default"/>
      </w:rPr>
    </w:lvl>
    <w:lvl w:ilvl="1">
      <w:start w:val="6"/>
      <w:numFmt w:val="decimal"/>
      <w:lvlText w:val="%1.%2."/>
      <w:lvlJc w:val="left"/>
      <w:pPr>
        <w:ind w:left="1718" w:hanging="720"/>
      </w:pPr>
      <w:rPr>
        <w:rFonts w:cs="Times New Roman" w:hint="default"/>
        <w:color w:val="auto"/>
      </w:rPr>
    </w:lvl>
    <w:lvl w:ilvl="2">
      <w:start w:val="3"/>
      <w:numFmt w:val="decimal"/>
      <w:lvlText w:val="%1.%2.%3."/>
      <w:lvlJc w:val="left"/>
      <w:pPr>
        <w:ind w:left="2716" w:hanging="720"/>
      </w:pPr>
      <w:rPr>
        <w:rFonts w:cs="Times New Roman" w:hint="default"/>
      </w:rPr>
    </w:lvl>
    <w:lvl w:ilvl="3">
      <w:start w:val="1"/>
      <w:numFmt w:val="decimal"/>
      <w:lvlText w:val="3.6.2.%4."/>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24">
    <w:nsid w:val="530D6187"/>
    <w:multiLevelType w:val="hybridMultilevel"/>
    <w:tmpl w:val="878477E8"/>
    <w:lvl w:ilvl="0" w:tplc="B75A98C0">
      <w:start w:val="8"/>
      <w:numFmt w:val="decimal"/>
      <w:lvlText w:val="3.6.%1."/>
      <w:lvlJc w:val="left"/>
      <w:pPr>
        <w:ind w:left="1863"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B90321"/>
    <w:multiLevelType w:val="multilevel"/>
    <w:tmpl w:val="DC4037DE"/>
    <w:lvl w:ilvl="0">
      <w:start w:val="3"/>
      <w:numFmt w:val="decimal"/>
      <w:lvlText w:val="%1."/>
      <w:lvlJc w:val="left"/>
      <w:pPr>
        <w:ind w:left="720" w:hanging="720"/>
      </w:pPr>
      <w:rPr>
        <w:rFonts w:cs="Times New Roman" w:hint="default"/>
      </w:rPr>
    </w:lvl>
    <w:lvl w:ilvl="1">
      <w:start w:val="6"/>
      <w:numFmt w:val="decimal"/>
      <w:lvlText w:val="%1.%2."/>
      <w:lvlJc w:val="left"/>
      <w:pPr>
        <w:ind w:left="1718" w:hanging="720"/>
      </w:pPr>
      <w:rPr>
        <w:rFonts w:cs="Times New Roman" w:hint="default"/>
        <w:color w:val="auto"/>
      </w:rPr>
    </w:lvl>
    <w:lvl w:ilvl="2">
      <w:start w:val="7"/>
      <w:numFmt w:val="decimal"/>
      <w:lvlText w:val="%1.%2.%3."/>
      <w:lvlJc w:val="left"/>
      <w:pPr>
        <w:ind w:left="2716" w:hanging="720"/>
      </w:pPr>
      <w:rPr>
        <w:rFonts w:cs="Times New Roman" w:hint="default"/>
      </w:rPr>
    </w:lvl>
    <w:lvl w:ilvl="3">
      <w:start w:val="3"/>
      <w:numFmt w:val="decimal"/>
      <w:lvlText w:val="3.6.7.%4."/>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26">
    <w:nsid w:val="5AB52E22"/>
    <w:multiLevelType w:val="multilevel"/>
    <w:tmpl w:val="B88ED580"/>
    <w:lvl w:ilvl="0">
      <w:start w:val="1"/>
      <w:numFmt w:val="decimal"/>
      <w:pStyle w:val="Heading1"/>
      <w:lvlText w:val="%1."/>
      <w:lvlJc w:val="left"/>
      <w:pPr>
        <w:ind w:left="499" w:hanging="357"/>
      </w:pPr>
      <w:rPr>
        <w:rFonts w:hint="default"/>
        <w:color w:val="auto"/>
        <w:sz w:val="24"/>
      </w:rPr>
    </w:lvl>
    <w:lvl w:ilvl="1">
      <w:start w:val="1"/>
      <w:numFmt w:val="decimal"/>
      <w:lvlText w:val="1.%2."/>
      <w:lvlJc w:val="left"/>
      <w:pPr>
        <w:tabs>
          <w:tab w:val="num" w:pos="357"/>
        </w:tabs>
        <w:ind w:left="357" w:hanging="357"/>
      </w:pPr>
      <w:rPr>
        <w:rFonts w:hint="default"/>
        <w:b/>
        <w:i w:val="0"/>
        <w:color w:val="auto"/>
        <w:sz w:val="24"/>
      </w:rPr>
    </w:lvl>
    <w:lvl w:ilvl="2">
      <w:start w:val="1"/>
      <w:numFmt w:val="decimal"/>
      <w:lvlText w:val="%1.%2.%3."/>
      <w:lvlJc w:val="left"/>
      <w:pPr>
        <w:ind w:left="357" w:hanging="357"/>
      </w:pPr>
      <w:rPr>
        <w:rFonts w:hint="default"/>
        <w:b/>
        <w:i w:val="0"/>
      </w:rPr>
    </w:lvl>
    <w:lvl w:ilvl="3">
      <w:start w:val="1"/>
      <w:numFmt w:val="decimal"/>
      <w:lvlText w:val="3.6.%4.1."/>
      <w:lvlJc w:val="left"/>
      <w:pPr>
        <w:ind w:left="357" w:hanging="357"/>
      </w:pPr>
      <w:rPr>
        <w:rFonts w:hint="default"/>
        <w:b w:val="0"/>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7">
    <w:nsid w:val="5BCA11C9"/>
    <w:multiLevelType w:val="hybridMultilevel"/>
    <w:tmpl w:val="8996B486"/>
    <w:lvl w:ilvl="0" w:tplc="B97C47FA">
      <w:start w:val="1"/>
      <w:numFmt w:val="decimal"/>
      <w:lvlText w:val="3.%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0B5A64"/>
    <w:multiLevelType w:val="multilevel"/>
    <w:tmpl w:val="533E0466"/>
    <w:lvl w:ilvl="0">
      <w:start w:val="9"/>
      <w:numFmt w:val="decimal"/>
      <w:lvlText w:val="3.6.%1.1"/>
      <w:lvlJc w:val="left"/>
      <w:pPr>
        <w:ind w:left="720" w:hanging="720"/>
      </w:pPr>
      <w:rPr>
        <w:rFonts w:hint="default"/>
        <w:b w:val="0"/>
      </w:rPr>
    </w:lvl>
    <w:lvl w:ilvl="1">
      <w:start w:val="6"/>
      <w:numFmt w:val="decimal"/>
      <w:lvlText w:val="%1.%2."/>
      <w:lvlJc w:val="left"/>
      <w:pPr>
        <w:ind w:left="1718" w:hanging="720"/>
      </w:pPr>
      <w:rPr>
        <w:rFonts w:cs="Times New Roman" w:hint="default"/>
        <w:color w:val="auto"/>
      </w:rPr>
    </w:lvl>
    <w:lvl w:ilvl="2">
      <w:start w:val="7"/>
      <w:numFmt w:val="decimal"/>
      <w:lvlText w:val="%1.%2.%3."/>
      <w:lvlJc w:val="left"/>
      <w:pPr>
        <w:ind w:left="2716" w:hanging="720"/>
      </w:pPr>
      <w:rPr>
        <w:rFonts w:cs="Times New Roman" w:hint="default"/>
      </w:rPr>
    </w:lvl>
    <w:lvl w:ilvl="3">
      <w:start w:val="9"/>
      <w:numFmt w:val="decimal"/>
      <w:lvlText w:val="3.6.%4.1"/>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29">
    <w:nsid w:val="5CEB7062"/>
    <w:multiLevelType w:val="multilevel"/>
    <w:tmpl w:val="C346DE3C"/>
    <w:lvl w:ilvl="0">
      <w:start w:val="3"/>
      <w:numFmt w:val="decimal"/>
      <w:lvlText w:val="%1."/>
      <w:lvlJc w:val="left"/>
      <w:pPr>
        <w:ind w:left="720" w:hanging="720"/>
      </w:pPr>
      <w:rPr>
        <w:rFonts w:cs="Times New Roman" w:hint="default"/>
      </w:rPr>
    </w:lvl>
    <w:lvl w:ilvl="1">
      <w:start w:val="6"/>
      <w:numFmt w:val="decimal"/>
      <w:lvlText w:val="%1.%2."/>
      <w:lvlJc w:val="left"/>
      <w:pPr>
        <w:ind w:left="1718" w:hanging="720"/>
      </w:pPr>
      <w:rPr>
        <w:rFonts w:cs="Times New Roman" w:hint="default"/>
        <w:color w:val="auto"/>
      </w:rPr>
    </w:lvl>
    <w:lvl w:ilvl="2">
      <w:start w:val="2"/>
      <w:numFmt w:val="decimal"/>
      <w:lvlText w:val="%1.%2.%3."/>
      <w:lvlJc w:val="left"/>
      <w:pPr>
        <w:ind w:left="2716" w:hanging="720"/>
      </w:pPr>
      <w:rPr>
        <w:rFonts w:cs="Times New Roman" w:hint="default"/>
      </w:rPr>
    </w:lvl>
    <w:lvl w:ilvl="3">
      <w:start w:val="1"/>
      <w:numFmt w:val="decimal"/>
      <w:lvlText w:val="3.6.6.%4."/>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30">
    <w:nsid w:val="64711346"/>
    <w:multiLevelType w:val="multilevel"/>
    <w:tmpl w:val="8A4E476C"/>
    <w:lvl w:ilvl="0">
      <w:start w:val="3"/>
      <w:numFmt w:val="decimal"/>
      <w:lvlText w:val="%1."/>
      <w:lvlJc w:val="left"/>
      <w:pPr>
        <w:ind w:left="540" w:hanging="540"/>
      </w:pPr>
      <w:rPr>
        <w:rFonts w:hint="default"/>
      </w:rPr>
    </w:lvl>
    <w:lvl w:ilvl="1">
      <w:start w:val="9"/>
      <w:numFmt w:val="decimal"/>
      <w:lvlText w:val="%1.%2."/>
      <w:lvlJc w:val="left"/>
      <w:pPr>
        <w:ind w:left="2217" w:hanging="720"/>
      </w:pPr>
      <w:rPr>
        <w:rFonts w:ascii="Arial" w:hAnsi="Arial" w:cs="Arial" w:hint="default"/>
        <w:color w:val="auto"/>
      </w:rPr>
    </w:lvl>
    <w:lvl w:ilvl="2">
      <w:start w:val="2"/>
      <w:numFmt w:val="decimal"/>
      <w:lvlText w:val="3.9.%3."/>
      <w:lvlJc w:val="left"/>
      <w:pPr>
        <w:ind w:left="3714" w:hanging="720"/>
      </w:pPr>
      <w:rPr>
        <w:rFonts w:hint="default"/>
        <w:b/>
        <w:i/>
      </w:rPr>
    </w:lvl>
    <w:lvl w:ilvl="3">
      <w:start w:val="1"/>
      <w:numFmt w:val="decimal"/>
      <w:lvlText w:val="%1.%2.%3.%4."/>
      <w:lvlJc w:val="left"/>
      <w:pPr>
        <w:ind w:left="5571" w:hanging="1080"/>
      </w:pPr>
      <w:rPr>
        <w:rFonts w:hint="default"/>
      </w:rPr>
    </w:lvl>
    <w:lvl w:ilvl="4">
      <w:start w:val="1"/>
      <w:numFmt w:val="decimal"/>
      <w:lvlText w:val="%1.%2.%3.%4.%5."/>
      <w:lvlJc w:val="left"/>
      <w:pPr>
        <w:ind w:left="7068" w:hanging="1080"/>
      </w:pPr>
      <w:rPr>
        <w:rFonts w:hint="default"/>
      </w:rPr>
    </w:lvl>
    <w:lvl w:ilvl="5">
      <w:start w:val="1"/>
      <w:numFmt w:val="decimal"/>
      <w:lvlText w:val="%1.%2.%3.%4.%5.%6."/>
      <w:lvlJc w:val="left"/>
      <w:pPr>
        <w:ind w:left="8925" w:hanging="1440"/>
      </w:pPr>
      <w:rPr>
        <w:rFonts w:hint="default"/>
      </w:rPr>
    </w:lvl>
    <w:lvl w:ilvl="6">
      <w:start w:val="1"/>
      <w:numFmt w:val="decimal"/>
      <w:lvlText w:val="%1.%2.%3.%4.%5.%6.%7."/>
      <w:lvlJc w:val="left"/>
      <w:pPr>
        <w:ind w:left="10422" w:hanging="1440"/>
      </w:pPr>
      <w:rPr>
        <w:rFonts w:hint="default"/>
      </w:rPr>
    </w:lvl>
    <w:lvl w:ilvl="7">
      <w:start w:val="1"/>
      <w:numFmt w:val="decimal"/>
      <w:lvlText w:val="%1.%2.%3.%4.%5.%6.%7.%8."/>
      <w:lvlJc w:val="left"/>
      <w:pPr>
        <w:ind w:left="12279" w:hanging="1800"/>
      </w:pPr>
      <w:rPr>
        <w:rFonts w:hint="default"/>
      </w:rPr>
    </w:lvl>
    <w:lvl w:ilvl="8">
      <w:start w:val="1"/>
      <w:numFmt w:val="decimal"/>
      <w:lvlText w:val="%1.%2.%3.%4.%5.%6.%7.%8.%9."/>
      <w:lvlJc w:val="left"/>
      <w:pPr>
        <w:ind w:left="13776" w:hanging="1800"/>
      </w:pPr>
      <w:rPr>
        <w:rFonts w:hint="default"/>
      </w:rPr>
    </w:lvl>
  </w:abstractNum>
  <w:abstractNum w:abstractNumId="31">
    <w:nsid w:val="65A123DD"/>
    <w:multiLevelType w:val="multilevel"/>
    <w:tmpl w:val="4B30D67C"/>
    <w:lvl w:ilvl="0">
      <w:start w:val="3"/>
      <w:numFmt w:val="decimal"/>
      <w:lvlText w:val="%1."/>
      <w:lvlJc w:val="left"/>
      <w:pPr>
        <w:ind w:left="720" w:hanging="720"/>
      </w:pPr>
      <w:rPr>
        <w:rFonts w:cs="Times New Roman" w:hint="default"/>
      </w:rPr>
    </w:lvl>
    <w:lvl w:ilvl="1">
      <w:start w:val="6"/>
      <w:numFmt w:val="decimal"/>
      <w:lvlText w:val="%1.%2."/>
      <w:lvlJc w:val="left"/>
      <w:pPr>
        <w:ind w:left="1718" w:hanging="720"/>
      </w:pPr>
      <w:rPr>
        <w:rFonts w:cs="Times New Roman" w:hint="default"/>
        <w:color w:val="auto"/>
      </w:rPr>
    </w:lvl>
    <w:lvl w:ilvl="2">
      <w:start w:val="7"/>
      <w:numFmt w:val="decimal"/>
      <w:lvlText w:val="%1.%2.%3."/>
      <w:lvlJc w:val="left"/>
      <w:pPr>
        <w:ind w:left="2716" w:hanging="720"/>
      </w:pPr>
      <w:rPr>
        <w:rFonts w:cs="Times New Roman" w:hint="default"/>
      </w:rPr>
    </w:lvl>
    <w:lvl w:ilvl="3">
      <w:start w:val="1"/>
      <w:numFmt w:val="decimal"/>
      <w:lvlText w:val="3.6.7.%4."/>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32">
    <w:nsid w:val="66341794"/>
    <w:multiLevelType w:val="hybridMultilevel"/>
    <w:tmpl w:val="B21E9AA2"/>
    <w:lvl w:ilvl="0" w:tplc="78360A7C">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523491"/>
    <w:multiLevelType w:val="hybridMultilevel"/>
    <w:tmpl w:val="588E9F7C"/>
    <w:lvl w:ilvl="0" w:tplc="74B823C8">
      <w:start w:val="1"/>
      <w:numFmt w:val="decimal"/>
      <w:lvlText w:val="3.6.8.%1."/>
      <w:lvlJc w:val="left"/>
      <w:pPr>
        <w:ind w:left="1863"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6804866">
      <w:start w:val="1"/>
      <w:numFmt w:val="decimal"/>
      <w:lvlText w:val="3.6.8.%4."/>
      <w:lvlJc w:val="left"/>
      <w:pPr>
        <w:ind w:left="2880" w:hanging="360"/>
      </w:pPr>
      <w:rPr>
        <w:rFonts w:hint="default"/>
        <w:b w:val="0"/>
        <w: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E01943"/>
    <w:multiLevelType w:val="hybridMultilevel"/>
    <w:tmpl w:val="8AAEA3A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nsid w:val="693574A9"/>
    <w:multiLevelType w:val="hybridMultilevel"/>
    <w:tmpl w:val="6E6A5154"/>
    <w:lvl w:ilvl="0" w:tplc="3828E5A4">
      <w:start w:val="1"/>
      <w:numFmt w:val="decimal"/>
      <w:lvlText w:val="2.%1."/>
      <w:lvlJc w:val="left"/>
      <w:pPr>
        <w:ind w:left="643"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570BDC"/>
    <w:multiLevelType w:val="hybridMultilevel"/>
    <w:tmpl w:val="8CA86BF4"/>
    <w:lvl w:ilvl="0" w:tplc="3F761472">
      <w:start w:val="1"/>
      <w:numFmt w:val="decimal"/>
      <w:lvlText w:val="3.6.%1."/>
      <w:lvlJc w:val="left"/>
      <w:pPr>
        <w:ind w:left="1863" w:hanging="360"/>
      </w:pPr>
      <w:rPr>
        <w:rFonts w:hint="default"/>
        <w:b/>
      </w:rPr>
    </w:lvl>
    <w:lvl w:ilvl="1" w:tplc="04090019" w:tentative="1">
      <w:start w:val="1"/>
      <w:numFmt w:val="lowerLetter"/>
      <w:lvlText w:val="%2."/>
      <w:lvlJc w:val="left"/>
      <w:pPr>
        <w:ind w:left="2583" w:hanging="360"/>
      </w:pPr>
    </w:lvl>
    <w:lvl w:ilvl="2" w:tplc="0409001B" w:tentative="1">
      <w:start w:val="1"/>
      <w:numFmt w:val="lowerRoman"/>
      <w:lvlText w:val="%3."/>
      <w:lvlJc w:val="right"/>
      <w:pPr>
        <w:ind w:left="3303" w:hanging="180"/>
      </w:pPr>
    </w:lvl>
    <w:lvl w:ilvl="3" w:tplc="0409000F" w:tentative="1">
      <w:start w:val="1"/>
      <w:numFmt w:val="decimal"/>
      <w:lvlText w:val="%4."/>
      <w:lvlJc w:val="left"/>
      <w:pPr>
        <w:ind w:left="4023" w:hanging="360"/>
      </w:pPr>
    </w:lvl>
    <w:lvl w:ilvl="4" w:tplc="04090019" w:tentative="1">
      <w:start w:val="1"/>
      <w:numFmt w:val="lowerLetter"/>
      <w:lvlText w:val="%5."/>
      <w:lvlJc w:val="left"/>
      <w:pPr>
        <w:ind w:left="4743" w:hanging="360"/>
      </w:pPr>
    </w:lvl>
    <w:lvl w:ilvl="5" w:tplc="0409001B" w:tentative="1">
      <w:start w:val="1"/>
      <w:numFmt w:val="lowerRoman"/>
      <w:lvlText w:val="%6."/>
      <w:lvlJc w:val="right"/>
      <w:pPr>
        <w:ind w:left="5463" w:hanging="180"/>
      </w:pPr>
    </w:lvl>
    <w:lvl w:ilvl="6" w:tplc="0409000F" w:tentative="1">
      <w:start w:val="1"/>
      <w:numFmt w:val="decimal"/>
      <w:lvlText w:val="%7."/>
      <w:lvlJc w:val="left"/>
      <w:pPr>
        <w:ind w:left="6183" w:hanging="360"/>
      </w:pPr>
    </w:lvl>
    <w:lvl w:ilvl="7" w:tplc="04090019" w:tentative="1">
      <w:start w:val="1"/>
      <w:numFmt w:val="lowerLetter"/>
      <w:lvlText w:val="%8."/>
      <w:lvlJc w:val="left"/>
      <w:pPr>
        <w:ind w:left="6903" w:hanging="360"/>
      </w:pPr>
    </w:lvl>
    <w:lvl w:ilvl="8" w:tplc="0409001B" w:tentative="1">
      <w:start w:val="1"/>
      <w:numFmt w:val="lowerRoman"/>
      <w:lvlText w:val="%9."/>
      <w:lvlJc w:val="right"/>
      <w:pPr>
        <w:ind w:left="7623" w:hanging="180"/>
      </w:pPr>
    </w:lvl>
  </w:abstractNum>
  <w:abstractNum w:abstractNumId="37">
    <w:nsid w:val="74984B07"/>
    <w:multiLevelType w:val="hybridMultilevel"/>
    <w:tmpl w:val="BFB2C8BA"/>
    <w:lvl w:ilvl="0" w:tplc="DDD274E6">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2C5243"/>
    <w:multiLevelType w:val="hybridMultilevel"/>
    <w:tmpl w:val="9948E668"/>
    <w:lvl w:ilvl="0" w:tplc="10005308">
      <w:start w:val="1"/>
      <w:numFmt w:val="decimal"/>
      <w:lvlText w:val="4.3.%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523CD8"/>
    <w:multiLevelType w:val="multilevel"/>
    <w:tmpl w:val="0C765B30"/>
    <w:lvl w:ilvl="0">
      <w:start w:val="3"/>
      <w:numFmt w:val="decimal"/>
      <w:lvlText w:val="%1."/>
      <w:lvlJc w:val="left"/>
      <w:pPr>
        <w:ind w:left="720" w:hanging="720"/>
      </w:pPr>
      <w:rPr>
        <w:rFonts w:cs="Times New Roman" w:hint="default"/>
      </w:rPr>
    </w:lvl>
    <w:lvl w:ilvl="1">
      <w:start w:val="7"/>
      <w:numFmt w:val="decimal"/>
      <w:lvlText w:val="%1.%2."/>
      <w:lvlJc w:val="left"/>
      <w:pPr>
        <w:ind w:left="1718" w:hanging="720"/>
      </w:pPr>
      <w:rPr>
        <w:rFonts w:cs="Times New Roman" w:hint="default"/>
        <w:color w:val="auto"/>
      </w:rPr>
    </w:lvl>
    <w:lvl w:ilvl="2">
      <w:start w:val="7"/>
      <w:numFmt w:val="decimal"/>
      <w:lvlText w:val="%1.%2.%3."/>
      <w:lvlJc w:val="left"/>
      <w:pPr>
        <w:ind w:left="2716" w:hanging="720"/>
      </w:pPr>
      <w:rPr>
        <w:rFonts w:cs="Times New Roman" w:hint="default"/>
      </w:rPr>
    </w:lvl>
    <w:lvl w:ilvl="3">
      <w:start w:val="9"/>
      <w:numFmt w:val="decimal"/>
      <w:lvlText w:val="3.6.%4.1"/>
      <w:lvlJc w:val="left"/>
      <w:pPr>
        <w:ind w:left="3714" w:hanging="720"/>
      </w:pPr>
      <w:rPr>
        <w:rFonts w:hint="default"/>
        <w:b w:val="0"/>
        <w:i/>
      </w:rPr>
    </w:lvl>
    <w:lvl w:ilvl="4">
      <w:start w:val="1"/>
      <w:numFmt w:val="decimal"/>
      <w:lvlText w:val="%1.%2.%3.%4.%5."/>
      <w:lvlJc w:val="left"/>
      <w:pPr>
        <w:ind w:left="4712" w:hanging="720"/>
      </w:pPr>
      <w:rPr>
        <w:rFonts w:cs="Times New Roman" w:hint="default"/>
      </w:rPr>
    </w:lvl>
    <w:lvl w:ilvl="5">
      <w:start w:val="1"/>
      <w:numFmt w:val="decimal"/>
      <w:lvlText w:val="%1.%2.%3.%4.%5.%6."/>
      <w:lvlJc w:val="left"/>
      <w:pPr>
        <w:ind w:left="5710" w:hanging="720"/>
      </w:pPr>
      <w:rPr>
        <w:rFonts w:cs="Times New Roman" w:hint="default"/>
      </w:rPr>
    </w:lvl>
    <w:lvl w:ilvl="6">
      <w:start w:val="1"/>
      <w:numFmt w:val="decimal"/>
      <w:lvlText w:val="%1.%2.%3.%4.%5.%6.%7."/>
      <w:lvlJc w:val="left"/>
      <w:pPr>
        <w:ind w:left="6708" w:hanging="720"/>
      </w:pPr>
      <w:rPr>
        <w:rFonts w:cs="Times New Roman" w:hint="default"/>
      </w:rPr>
    </w:lvl>
    <w:lvl w:ilvl="7">
      <w:start w:val="1"/>
      <w:numFmt w:val="decimal"/>
      <w:lvlText w:val="%1.%2.%3.%4.%5.%6.%7.%8."/>
      <w:lvlJc w:val="left"/>
      <w:pPr>
        <w:ind w:left="7706" w:hanging="720"/>
      </w:pPr>
      <w:rPr>
        <w:rFonts w:cs="Times New Roman" w:hint="default"/>
      </w:rPr>
    </w:lvl>
    <w:lvl w:ilvl="8">
      <w:start w:val="1"/>
      <w:numFmt w:val="decimal"/>
      <w:lvlText w:val="%1.%2.%3.%4.%5.%6.%7.%8.%9."/>
      <w:lvlJc w:val="left"/>
      <w:pPr>
        <w:ind w:left="8704" w:hanging="720"/>
      </w:pPr>
      <w:rPr>
        <w:rFonts w:cs="Times New Roman" w:hint="default"/>
      </w:rPr>
    </w:lvl>
  </w:abstractNum>
  <w:abstractNum w:abstractNumId="40">
    <w:nsid w:val="7FCB666B"/>
    <w:multiLevelType w:val="hybridMultilevel"/>
    <w:tmpl w:val="34088A7E"/>
    <w:lvl w:ilvl="0" w:tplc="A2A64A6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21"/>
  </w:num>
  <w:num w:numId="4">
    <w:abstractNumId w:val="5"/>
  </w:num>
  <w:num w:numId="5">
    <w:abstractNumId w:val="22"/>
  </w:num>
  <w:num w:numId="6">
    <w:abstractNumId w:val="40"/>
  </w:num>
  <w:num w:numId="7">
    <w:abstractNumId w:val="20"/>
  </w:num>
  <w:num w:numId="8">
    <w:abstractNumId w:val="26"/>
  </w:num>
  <w:num w:numId="9">
    <w:abstractNumId w:val="32"/>
  </w:num>
  <w:num w:numId="10">
    <w:abstractNumId w:val="35"/>
  </w:num>
  <w:num w:numId="11">
    <w:abstractNumId w:val="27"/>
  </w:num>
  <w:num w:numId="12">
    <w:abstractNumId w:val="3"/>
  </w:num>
  <w:num w:numId="13">
    <w:abstractNumId w:val="23"/>
  </w:num>
  <w:num w:numId="14">
    <w:abstractNumId w:val="30"/>
  </w:num>
  <w:num w:numId="15">
    <w:abstractNumId w:val="1"/>
  </w:num>
  <w:num w:numId="16">
    <w:abstractNumId w:val="2"/>
  </w:num>
  <w:num w:numId="17">
    <w:abstractNumId w:val="19"/>
  </w:num>
  <w:num w:numId="18">
    <w:abstractNumId w:val="29"/>
  </w:num>
  <w:num w:numId="19">
    <w:abstractNumId w:val="25"/>
  </w:num>
  <w:num w:numId="20">
    <w:abstractNumId w:val="31"/>
  </w:num>
  <w:num w:numId="21">
    <w:abstractNumId w:val="24"/>
  </w:num>
  <w:num w:numId="22">
    <w:abstractNumId w:val="33"/>
  </w:num>
  <w:num w:numId="23">
    <w:abstractNumId w:val="6"/>
  </w:num>
  <w:num w:numId="24">
    <w:abstractNumId w:val="39"/>
  </w:num>
  <w:num w:numId="25">
    <w:abstractNumId w:val="28"/>
  </w:num>
  <w:num w:numId="26">
    <w:abstractNumId w:val="13"/>
  </w:num>
  <w:num w:numId="27">
    <w:abstractNumId w:val="15"/>
  </w:num>
  <w:num w:numId="28">
    <w:abstractNumId w:val="18"/>
  </w:num>
  <w:num w:numId="29">
    <w:abstractNumId w:val="8"/>
  </w:num>
  <w:num w:numId="30">
    <w:abstractNumId w:val="9"/>
  </w:num>
  <w:num w:numId="31">
    <w:abstractNumId w:val="17"/>
  </w:num>
  <w:num w:numId="32">
    <w:abstractNumId w:val="38"/>
  </w:num>
  <w:num w:numId="33">
    <w:abstractNumId w:val="0"/>
  </w:num>
  <w:num w:numId="34">
    <w:abstractNumId w:val="37"/>
  </w:num>
  <w:num w:numId="35">
    <w:abstractNumId w:val="4"/>
  </w:num>
  <w:num w:numId="36">
    <w:abstractNumId w:val="11"/>
  </w:num>
  <w:num w:numId="37">
    <w:abstractNumId w:val="34"/>
  </w:num>
  <w:num w:numId="38">
    <w:abstractNumId w:val="12"/>
  </w:num>
  <w:num w:numId="39">
    <w:abstractNumId w:val="7"/>
  </w:num>
  <w:num w:numId="40">
    <w:abstractNumId w:val="14"/>
  </w:num>
  <w:num w:numId="41">
    <w:abstractNumId w:val="36"/>
  </w:num>
  <w:num w:numId="42">
    <w:abstractNumId w:val="11"/>
    <w:lvlOverride w:ilvl="0">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35D51"/>
    <w:rsid w:val="00010622"/>
    <w:rsid w:val="000177B7"/>
    <w:rsid w:val="000217B3"/>
    <w:rsid w:val="000233FB"/>
    <w:rsid w:val="00034DB5"/>
    <w:rsid w:val="00041ADA"/>
    <w:rsid w:val="00043685"/>
    <w:rsid w:val="000467FC"/>
    <w:rsid w:val="00062200"/>
    <w:rsid w:val="00076818"/>
    <w:rsid w:val="00082A85"/>
    <w:rsid w:val="00085865"/>
    <w:rsid w:val="00086B2C"/>
    <w:rsid w:val="00091B13"/>
    <w:rsid w:val="000A481D"/>
    <w:rsid w:val="000B2BB0"/>
    <w:rsid w:val="000B6D58"/>
    <w:rsid w:val="000C0AB2"/>
    <w:rsid w:val="000C558B"/>
    <w:rsid w:val="000E02FF"/>
    <w:rsid w:val="000F0584"/>
    <w:rsid w:val="001074D0"/>
    <w:rsid w:val="0011214A"/>
    <w:rsid w:val="00112E7C"/>
    <w:rsid w:val="00115BCA"/>
    <w:rsid w:val="00117C85"/>
    <w:rsid w:val="0012188E"/>
    <w:rsid w:val="001231BC"/>
    <w:rsid w:val="001240D5"/>
    <w:rsid w:val="0013333C"/>
    <w:rsid w:val="00135D51"/>
    <w:rsid w:val="001371E1"/>
    <w:rsid w:val="00140DBA"/>
    <w:rsid w:val="00141D8E"/>
    <w:rsid w:val="001421DC"/>
    <w:rsid w:val="0015313A"/>
    <w:rsid w:val="00155C98"/>
    <w:rsid w:val="001572F5"/>
    <w:rsid w:val="00160733"/>
    <w:rsid w:val="00164C3F"/>
    <w:rsid w:val="00170EDF"/>
    <w:rsid w:val="0017104C"/>
    <w:rsid w:val="0017379A"/>
    <w:rsid w:val="00175929"/>
    <w:rsid w:val="00175D7E"/>
    <w:rsid w:val="0017695C"/>
    <w:rsid w:val="001813D7"/>
    <w:rsid w:val="00182F27"/>
    <w:rsid w:val="001872CB"/>
    <w:rsid w:val="001A3E5D"/>
    <w:rsid w:val="001B1AEE"/>
    <w:rsid w:val="001C1F2A"/>
    <w:rsid w:val="001C25B6"/>
    <w:rsid w:val="001C3C93"/>
    <w:rsid w:val="001C4AC4"/>
    <w:rsid w:val="001C7E66"/>
    <w:rsid w:val="001D280E"/>
    <w:rsid w:val="001D4227"/>
    <w:rsid w:val="001D608C"/>
    <w:rsid w:val="001D6418"/>
    <w:rsid w:val="001D7903"/>
    <w:rsid w:val="001F2B55"/>
    <w:rsid w:val="001F66AA"/>
    <w:rsid w:val="001F67DB"/>
    <w:rsid w:val="00200C16"/>
    <w:rsid w:val="00202E4C"/>
    <w:rsid w:val="00211CC3"/>
    <w:rsid w:val="002160BF"/>
    <w:rsid w:val="002161F1"/>
    <w:rsid w:val="00217DFF"/>
    <w:rsid w:val="002212DC"/>
    <w:rsid w:val="002222CB"/>
    <w:rsid w:val="00225270"/>
    <w:rsid w:val="00226637"/>
    <w:rsid w:val="0022688B"/>
    <w:rsid w:val="00235474"/>
    <w:rsid w:val="002360E6"/>
    <w:rsid w:val="002374D9"/>
    <w:rsid w:val="00241E70"/>
    <w:rsid w:val="0024468B"/>
    <w:rsid w:val="00246954"/>
    <w:rsid w:val="00253131"/>
    <w:rsid w:val="002642B3"/>
    <w:rsid w:val="00264D46"/>
    <w:rsid w:val="002650F2"/>
    <w:rsid w:val="00266D7B"/>
    <w:rsid w:val="002728BE"/>
    <w:rsid w:val="00277056"/>
    <w:rsid w:val="00285FA9"/>
    <w:rsid w:val="00287DF2"/>
    <w:rsid w:val="00290217"/>
    <w:rsid w:val="002913D5"/>
    <w:rsid w:val="00293E76"/>
    <w:rsid w:val="002A4870"/>
    <w:rsid w:val="002B3687"/>
    <w:rsid w:val="002B4521"/>
    <w:rsid w:val="002B591F"/>
    <w:rsid w:val="002B7B39"/>
    <w:rsid w:val="002C0E0A"/>
    <w:rsid w:val="002C7637"/>
    <w:rsid w:val="002D1E75"/>
    <w:rsid w:val="002D6683"/>
    <w:rsid w:val="002E1F26"/>
    <w:rsid w:val="002F5468"/>
    <w:rsid w:val="00312F52"/>
    <w:rsid w:val="00313106"/>
    <w:rsid w:val="0031654E"/>
    <w:rsid w:val="00325F86"/>
    <w:rsid w:val="0032797E"/>
    <w:rsid w:val="00332DF7"/>
    <w:rsid w:val="00334CE3"/>
    <w:rsid w:val="00334F9E"/>
    <w:rsid w:val="003358D4"/>
    <w:rsid w:val="00340B46"/>
    <w:rsid w:val="00352474"/>
    <w:rsid w:val="00352898"/>
    <w:rsid w:val="003530FB"/>
    <w:rsid w:val="003620DC"/>
    <w:rsid w:val="003648E0"/>
    <w:rsid w:val="0036652A"/>
    <w:rsid w:val="00374F68"/>
    <w:rsid w:val="00375A59"/>
    <w:rsid w:val="003765CC"/>
    <w:rsid w:val="003867CD"/>
    <w:rsid w:val="00394B7E"/>
    <w:rsid w:val="00396792"/>
    <w:rsid w:val="003B0BD7"/>
    <w:rsid w:val="003C103D"/>
    <w:rsid w:val="003C115F"/>
    <w:rsid w:val="003C4211"/>
    <w:rsid w:val="003D09EF"/>
    <w:rsid w:val="003D408E"/>
    <w:rsid w:val="003E0C9E"/>
    <w:rsid w:val="003E106F"/>
    <w:rsid w:val="003E5A57"/>
    <w:rsid w:val="003E7D57"/>
    <w:rsid w:val="003F440D"/>
    <w:rsid w:val="003F7576"/>
    <w:rsid w:val="00403256"/>
    <w:rsid w:val="004047ED"/>
    <w:rsid w:val="00410A37"/>
    <w:rsid w:val="00410A7C"/>
    <w:rsid w:val="00413A32"/>
    <w:rsid w:val="004204FB"/>
    <w:rsid w:val="00420B04"/>
    <w:rsid w:val="00427853"/>
    <w:rsid w:val="004328B6"/>
    <w:rsid w:val="0043321C"/>
    <w:rsid w:val="0043571F"/>
    <w:rsid w:val="00435BB5"/>
    <w:rsid w:val="0044335E"/>
    <w:rsid w:val="00443CC4"/>
    <w:rsid w:val="004464F9"/>
    <w:rsid w:val="00446F36"/>
    <w:rsid w:val="004507F0"/>
    <w:rsid w:val="00451179"/>
    <w:rsid w:val="00452C6C"/>
    <w:rsid w:val="00462592"/>
    <w:rsid w:val="004721AD"/>
    <w:rsid w:val="00477633"/>
    <w:rsid w:val="00481EDE"/>
    <w:rsid w:val="00485032"/>
    <w:rsid w:val="0049301E"/>
    <w:rsid w:val="00494BC8"/>
    <w:rsid w:val="004950B3"/>
    <w:rsid w:val="004A0D33"/>
    <w:rsid w:val="004A2930"/>
    <w:rsid w:val="004B3C4A"/>
    <w:rsid w:val="004B415C"/>
    <w:rsid w:val="004B5560"/>
    <w:rsid w:val="004C1417"/>
    <w:rsid w:val="004C19B0"/>
    <w:rsid w:val="004C52E8"/>
    <w:rsid w:val="004D3E3D"/>
    <w:rsid w:val="004E1D83"/>
    <w:rsid w:val="004E68B8"/>
    <w:rsid w:val="004F09E4"/>
    <w:rsid w:val="004F610A"/>
    <w:rsid w:val="00503C19"/>
    <w:rsid w:val="00504BD7"/>
    <w:rsid w:val="00510759"/>
    <w:rsid w:val="0051417E"/>
    <w:rsid w:val="0052175D"/>
    <w:rsid w:val="00524E5F"/>
    <w:rsid w:val="00525677"/>
    <w:rsid w:val="00525B2F"/>
    <w:rsid w:val="00526D93"/>
    <w:rsid w:val="005334DD"/>
    <w:rsid w:val="005371D7"/>
    <w:rsid w:val="00542066"/>
    <w:rsid w:val="00546B13"/>
    <w:rsid w:val="00546F03"/>
    <w:rsid w:val="00556A31"/>
    <w:rsid w:val="0055767B"/>
    <w:rsid w:val="00562DA8"/>
    <w:rsid w:val="00571EB4"/>
    <w:rsid w:val="00573E3D"/>
    <w:rsid w:val="0058558D"/>
    <w:rsid w:val="005858BC"/>
    <w:rsid w:val="00590057"/>
    <w:rsid w:val="005A36C0"/>
    <w:rsid w:val="005B11B0"/>
    <w:rsid w:val="005B2FA7"/>
    <w:rsid w:val="005B31F4"/>
    <w:rsid w:val="005B4A4C"/>
    <w:rsid w:val="005B7CBA"/>
    <w:rsid w:val="005C3419"/>
    <w:rsid w:val="005C5DC2"/>
    <w:rsid w:val="005C64F4"/>
    <w:rsid w:val="005D078D"/>
    <w:rsid w:val="005D0CF5"/>
    <w:rsid w:val="005D2467"/>
    <w:rsid w:val="005E491E"/>
    <w:rsid w:val="005F1C6E"/>
    <w:rsid w:val="005F298A"/>
    <w:rsid w:val="005F7F91"/>
    <w:rsid w:val="006024E9"/>
    <w:rsid w:val="0060515A"/>
    <w:rsid w:val="0062026C"/>
    <w:rsid w:val="00625757"/>
    <w:rsid w:val="006306B6"/>
    <w:rsid w:val="006330FD"/>
    <w:rsid w:val="0063650A"/>
    <w:rsid w:val="00637434"/>
    <w:rsid w:val="00643D15"/>
    <w:rsid w:val="00647707"/>
    <w:rsid w:val="00651522"/>
    <w:rsid w:val="00652409"/>
    <w:rsid w:val="006556CF"/>
    <w:rsid w:val="0065760C"/>
    <w:rsid w:val="00664080"/>
    <w:rsid w:val="00667B81"/>
    <w:rsid w:val="0067008B"/>
    <w:rsid w:val="006702D8"/>
    <w:rsid w:val="00672FAF"/>
    <w:rsid w:val="006800C6"/>
    <w:rsid w:val="00687661"/>
    <w:rsid w:val="00690452"/>
    <w:rsid w:val="0069142F"/>
    <w:rsid w:val="006A7076"/>
    <w:rsid w:val="006B1DA0"/>
    <w:rsid w:val="006D1732"/>
    <w:rsid w:val="006D52BC"/>
    <w:rsid w:val="006D5C45"/>
    <w:rsid w:val="006D7116"/>
    <w:rsid w:val="006E06B8"/>
    <w:rsid w:val="006E4A0E"/>
    <w:rsid w:val="006F0E29"/>
    <w:rsid w:val="006F6E95"/>
    <w:rsid w:val="006F6F08"/>
    <w:rsid w:val="00704D67"/>
    <w:rsid w:val="00705627"/>
    <w:rsid w:val="00712209"/>
    <w:rsid w:val="00712343"/>
    <w:rsid w:val="00713EDA"/>
    <w:rsid w:val="007166F2"/>
    <w:rsid w:val="0072281B"/>
    <w:rsid w:val="0072478D"/>
    <w:rsid w:val="007326D4"/>
    <w:rsid w:val="00736447"/>
    <w:rsid w:val="00740F47"/>
    <w:rsid w:val="00757060"/>
    <w:rsid w:val="00757251"/>
    <w:rsid w:val="00767112"/>
    <w:rsid w:val="00767985"/>
    <w:rsid w:val="0077072F"/>
    <w:rsid w:val="00773917"/>
    <w:rsid w:val="0077458D"/>
    <w:rsid w:val="00776AEE"/>
    <w:rsid w:val="0079399F"/>
    <w:rsid w:val="00793C78"/>
    <w:rsid w:val="00793FBE"/>
    <w:rsid w:val="007A3F28"/>
    <w:rsid w:val="007B100E"/>
    <w:rsid w:val="007B6260"/>
    <w:rsid w:val="007C662F"/>
    <w:rsid w:val="007E2362"/>
    <w:rsid w:val="007E28C8"/>
    <w:rsid w:val="007E2A2F"/>
    <w:rsid w:val="007F0E87"/>
    <w:rsid w:val="007F14F2"/>
    <w:rsid w:val="007F5A1D"/>
    <w:rsid w:val="00800BD8"/>
    <w:rsid w:val="00804DEF"/>
    <w:rsid w:val="00806DBC"/>
    <w:rsid w:val="008166BE"/>
    <w:rsid w:val="008169AA"/>
    <w:rsid w:val="008207BF"/>
    <w:rsid w:val="00835F61"/>
    <w:rsid w:val="0083778E"/>
    <w:rsid w:val="00843356"/>
    <w:rsid w:val="00847DA0"/>
    <w:rsid w:val="0085183C"/>
    <w:rsid w:val="00880349"/>
    <w:rsid w:val="00880669"/>
    <w:rsid w:val="0089534F"/>
    <w:rsid w:val="008966C8"/>
    <w:rsid w:val="00896D6E"/>
    <w:rsid w:val="008B2538"/>
    <w:rsid w:val="008B3D6F"/>
    <w:rsid w:val="008C199A"/>
    <w:rsid w:val="008C3606"/>
    <w:rsid w:val="008C5580"/>
    <w:rsid w:val="008C62AB"/>
    <w:rsid w:val="008C68E6"/>
    <w:rsid w:val="008D533A"/>
    <w:rsid w:val="0090378D"/>
    <w:rsid w:val="00906E67"/>
    <w:rsid w:val="00907D51"/>
    <w:rsid w:val="0091196C"/>
    <w:rsid w:val="00927C0C"/>
    <w:rsid w:val="00935423"/>
    <w:rsid w:val="009412A6"/>
    <w:rsid w:val="00942D3A"/>
    <w:rsid w:val="0095246E"/>
    <w:rsid w:val="00954F62"/>
    <w:rsid w:val="00956AF8"/>
    <w:rsid w:val="00957128"/>
    <w:rsid w:val="00960F7D"/>
    <w:rsid w:val="009621D7"/>
    <w:rsid w:val="009629A7"/>
    <w:rsid w:val="009643E1"/>
    <w:rsid w:val="00967A61"/>
    <w:rsid w:val="00981F85"/>
    <w:rsid w:val="00982D59"/>
    <w:rsid w:val="00982E5C"/>
    <w:rsid w:val="0099277F"/>
    <w:rsid w:val="00995E5F"/>
    <w:rsid w:val="0099759A"/>
    <w:rsid w:val="009A2BDF"/>
    <w:rsid w:val="009A5406"/>
    <w:rsid w:val="009B4E9B"/>
    <w:rsid w:val="009C1112"/>
    <w:rsid w:val="009C54EF"/>
    <w:rsid w:val="009D6D5F"/>
    <w:rsid w:val="009E006E"/>
    <w:rsid w:val="009E22CC"/>
    <w:rsid w:val="009E3DFD"/>
    <w:rsid w:val="009E53F2"/>
    <w:rsid w:val="009E7B69"/>
    <w:rsid w:val="009F6042"/>
    <w:rsid w:val="009F6E21"/>
    <w:rsid w:val="00A058BA"/>
    <w:rsid w:val="00A23B87"/>
    <w:rsid w:val="00A24645"/>
    <w:rsid w:val="00A2519C"/>
    <w:rsid w:val="00A266B7"/>
    <w:rsid w:val="00A306C1"/>
    <w:rsid w:val="00A31E9D"/>
    <w:rsid w:val="00A35596"/>
    <w:rsid w:val="00A458A0"/>
    <w:rsid w:val="00A507D8"/>
    <w:rsid w:val="00A56872"/>
    <w:rsid w:val="00A572AC"/>
    <w:rsid w:val="00A603FE"/>
    <w:rsid w:val="00A63888"/>
    <w:rsid w:val="00A654D2"/>
    <w:rsid w:val="00A65AEA"/>
    <w:rsid w:val="00A70B65"/>
    <w:rsid w:val="00A721C6"/>
    <w:rsid w:val="00A833B2"/>
    <w:rsid w:val="00A8460E"/>
    <w:rsid w:val="00A90793"/>
    <w:rsid w:val="00A91073"/>
    <w:rsid w:val="00A964C0"/>
    <w:rsid w:val="00AA14B1"/>
    <w:rsid w:val="00AA2416"/>
    <w:rsid w:val="00AA2C38"/>
    <w:rsid w:val="00AA7219"/>
    <w:rsid w:val="00AB6686"/>
    <w:rsid w:val="00AC0428"/>
    <w:rsid w:val="00AC0CAB"/>
    <w:rsid w:val="00AC197C"/>
    <w:rsid w:val="00AD0988"/>
    <w:rsid w:val="00AE0933"/>
    <w:rsid w:val="00AE17D2"/>
    <w:rsid w:val="00AE3C8B"/>
    <w:rsid w:val="00AE6888"/>
    <w:rsid w:val="00AE7838"/>
    <w:rsid w:val="00AF0CF5"/>
    <w:rsid w:val="00AF2461"/>
    <w:rsid w:val="00AF31DD"/>
    <w:rsid w:val="00B0204A"/>
    <w:rsid w:val="00B05B11"/>
    <w:rsid w:val="00B05B6B"/>
    <w:rsid w:val="00B11CAF"/>
    <w:rsid w:val="00B11D81"/>
    <w:rsid w:val="00B1445B"/>
    <w:rsid w:val="00B15311"/>
    <w:rsid w:val="00B16096"/>
    <w:rsid w:val="00B25B2F"/>
    <w:rsid w:val="00B33184"/>
    <w:rsid w:val="00B35DF9"/>
    <w:rsid w:val="00B400AE"/>
    <w:rsid w:val="00B402D7"/>
    <w:rsid w:val="00B53968"/>
    <w:rsid w:val="00B54F4A"/>
    <w:rsid w:val="00B574AB"/>
    <w:rsid w:val="00B67B6D"/>
    <w:rsid w:val="00B67F3C"/>
    <w:rsid w:val="00B73E46"/>
    <w:rsid w:val="00B77F4D"/>
    <w:rsid w:val="00B81687"/>
    <w:rsid w:val="00B84508"/>
    <w:rsid w:val="00B861D3"/>
    <w:rsid w:val="00B86C45"/>
    <w:rsid w:val="00B919CA"/>
    <w:rsid w:val="00B94543"/>
    <w:rsid w:val="00B97FC6"/>
    <w:rsid w:val="00BA28FC"/>
    <w:rsid w:val="00BA5285"/>
    <w:rsid w:val="00BA6E72"/>
    <w:rsid w:val="00BA707F"/>
    <w:rsid w:val="00BB3679"/>
    <w:rsid w:val="00BB4BFE"/>
    <w:rsid w:val="00BB51F9"/>
    <w:rsid w:val="00BB7954"/>
    <w:rsid w:val="00BC2357"/>
    <w:rsid w:val="00BC7F05"/>
    <w:rsid w:val="00BE0E90"/>
    <w:rsid w:val="00BE250B"/>
    <w:rsid w:val="00BE2DE9"/>
    <w:rsid w:val="00BE3524"/>
    <w:rsid w:val="00BF3D2E"/>
    <w:rsid w:val="00BF3E57"/>
    <w:rsid w:val="00BF67F4"/>
    <w:rsid w:val="00C0574F"/>
    <w:rsid w:val="00C2556E"/>
    <w:rsid w:val="00C268A7"/>
    <w:rsid w:val="00C30765"/>
    <w:rsid w:val="00C35887"/>
    <w:rsid w:val="00C35BB7"/>
    <w:rsid w:val="00C41588"/>
    <w:rsid w:val="00C4445B"/>
    <w:rsid w:val="00C476DB"/>
    <w:rsid w:val="00C540BC"/>
    <w:rsid w:val="00C668DD"/>
    <w:rsid w:val="00C669A6"/>
    <w:rsid w:val="00C81DE1"/>
    <w:rsid w:val="00C86658"/>
    <w:rsid w:val="00C9044F"/>
    <w:rsid w:val="00C962E7"/>
    <w:rsid w:val="00CA091E"/>
    <w:rsid w:val="00CA26DA"/>
    <w:rsid w:val="00CA7025"/>
    <w:rsid w:val="00CA7A5F"/>
    <w:rsid w:val="00CB084B"/>
    <w:rsid w:val="00CB2BA2"/>
    <w:rsid w:val="00CB5D5F"/>
    <w:rsid w:val="00CC5C13"/>
    <w:rsid w:val="00CC77AE"/>
    <w:rsid w:val="00CC7B3B"/>
    <w:rsid w:val="00CD17A1"/>
    <w:rsid w:val="00CD5CF9"/>
    <w:rsid w:val="00CD68AF"/>
    <w:rsid w:val="00CE3BE1"/>
    <w:rsid w:val="00CE4C1F"/>
    <w:rsid w:val="00CE5606"/>
    <w:rsid w:val="00CF705A"/>
    <w:rsid w:val="00D0375D"/>
    <w:rsid w:val="00D137CA"/>
    <w:rsid w:val="00D16B65"/>
    <w:rsid w:val="00D1711E"/>
    <w:rsid w:val="00D17CE3"/>
    <w:rsid w:val="00D210DD"/>
    <w:rsid w:val="00D24FE0"/>
    <w:rsid w:val="00D26F6F"/>
    <w:rsid w:val="00D34C3B"/>
    <w:rsid w:val="00D3602D"/>
    <w:rsid w:val="00D37120"/>
    <w:rsid w:val="00D4029A"/>
    <w:rsid w:val="00D40818"/>
    <w:rsid w:val="00D446E4"/>
    <w:rsid w:val="00D50AAF"/>
    <w:rsid w:val="00D571EB"/>
    <w:rsid w:val="00D60E63"/>
    <w:rsid w:val="00D6495D"/>
    <w:rsid w:val="00D719FC"/>
    <w:rsid w:val="00D77464"/>
    <w:rsid w:val="00D835A5"/>
    <w:rsid w:val="00D8455B"/>
    <w:rsid w:val="00D86F8E"/>
    <w:rsid w:val="00D90821"/>
    <w:rsid w:val="00D93153"/>
    <w:rsid w:val="00D93979"/>
    <w:rsid w:val="00D9429E"/>
    <w:rsid w:val="00D95BB2"/>
    <w:rsid w:val="00D95CFB"/>
    <w:rsid w:val="00DA594A"/>
    <w:rsid w:val="00DA6FC0"/>
    <w:rsid w:val="00DB0495"/>
    <w:rsid w:val="00DB0F7D"/>
    <w:rsid w:val="00DB1445"/>
    <w:rsid w:val="00DC1BE6"/>
    <w:rsid w:val="00DC4EF1"/>
    <w:rsid w:val="00DC61C4"/>
    <w:rsid w:val="00DD0A03"/>
    <w:rsid w:val="00DD41EF"/>
    <w:rsid w:val="00DE0535"/>
    <w:rsid w:val="00DE1D8E"/>
    <w:rsid w:val="00DE3E85"/>
    <w:rsid w:val="00DE4A1C"/>
    <w:rsid w:val="00DE76BA"/>
    <w:rsid w:val="00DF056F"/>
    <w:rsid w:val="00E00EA0"/>
    <w:rsid w:val="00E10BEC"/>
    <w:rsid w:val="00E14582"/>
    <w:rsid w:val="00E15568"/>
    <w:rsid w:val="00E20FF9"/>
    <w:rsid w:val="00E44F93"/>
    <w:rsid w:val="00E533C6"/>
    <w:rsid w:val="00E61950"/>
    <w:rsid w:val="00E62C7D"/>
    <w:rsid w:val="00E6322A"/>
    <w:rsid w:val="00E66B25"/>
    <w:rsid w:val="00E734A0"/>
    <w:rsid w:val="00E84E97"/>
    <w:rsid w:val="00E90AA0"/>
    <w:rsid w:val="00E91611"/>
    <w:rsid w:val="00E95FD6"/>
    <w:rsid w:val="00EA3D9E"/>
    <w:rsid w:val="00EA4986"/>
    <w:rsid w:val="00EA5FEA"/>
    <w:rsid w:val="00EB359C"/>
    <w:rsid w:val="00EC099E"/>
    <w:rsid w:val="00EC1BDA"/>
    <w:rsid w:val="00EC2562"/>
    <w:rsid w:val="00ED02FD"/>
    <w:rsid w:val="00EE1870"/>
    <w:rsid w:val="00EE4260"/>
    <w:rsid w:val="00EE7D22"/>
    <w:rsid w:val="00EF24C5"/>
    <w:rsid w:val="00EF552D"/>
    <w:rsid w:val="00EF6350"/>
    <w:rsid w:val="00F00212"/>
    <w:rsid w:val="00F06340"/>
    <w:rsid w:val="00F0774A"/>
    <w:rsid w:val="00F07F75"/>
    <w:rsid w:val="00F111CD"/>
    <w:rsid w:val="00F204CA"/>
    <w:rsid w:val="00F268E1"/>
    <w:rsid w:val="00F304B2"/>
    <w:rsid w:val="00F31374"/>
    <w:rsid w:val="00F45C7B"/>
    <w:rsid w:val="00F5374D"/>
    <w:rsid w:val="00F56781"/>
    <w:rsid w:val="00F56EC2"/>
    <w:rsid w:val="00F64B99"/>
    <w:rsid w:val="00F81580"/>
    <w:rsid w:val="00F83D27"/>
    <w:rsid w:val="00F86EDF"/>
    <w:rsid w:val="00F90124"/>
    <w:rsid w:val="00F9128B"/>
    <w:rsid w:val="00F9263D"/>
    <w:rsid w:val="00F9753B"/>
    <w:rsid w:val="00F97590"/>
    <w:rsid w:val="00FA3A37"/>
    <w:rsid w:val="00FA4DF1"/>
    <w:rsid w:val="00FA6F68"/>
    <w:rsid w:val="00FB012B"/>
    <w:rsid w:val="00FB0670"/>
    <w:rsid w:val="00FB2F15"/>
    <w:rsid w:val="00FC13A6"/>
    <w:rsid w:val="00FC1870"/>
    <w:rsid w:val="00FC31A3"/>
    <w:rsid w:val="00FD08DD"/>
    <w:rsid w:val="00FD28D0"/>
    <w:rsid w:val="00FD704A"/>
    <w:rsid w:val="00FD7896"/>
    <w:rsid w:val="00FD7D9D"/>
    <w:rsid w:val="00FE1C94"/>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51"/>
    <w:pPr>
      <w:spacing w:before="120" w:after="120" w:line="360" w:lineRule="auto"/>
      <w:jc w:val="both"/>
    </w:pPr>
    <w:rPr>
      <w:rFonts w:ascii="Arial" w:hAnsi="Arial"/>
      <w:sz w:val="22"/>
      <w:szCs w:val="22"/>
      <w:lang w:val="sr-Cyrl-CS"/>
    </w:rPr>
  </w:style>
  <w:style w:type="paragraph" w:styleId="Heading1">
    <w:name w:val="heading 1"/>
    <w:basedOn w:val="Normal"/>
    <w:next w:val="Normal"/>
    <w:link w:val="Heading1Char"/>
    <w:uiPriority w:val="9"/>
    <w:qFormat/>
    <w:rsid w:val="00135D51"/>
    <w:pPr>
      <w:keepNext/>
      <w:keepLines/>
      <w:numPr>
        <w:numId w:val="8"/>
      </w:numPr>
      <w:spacing w:after="0"/>
      <w:jc w:val="center"/>
      <w:outlineLvl w:val="0"/>
    </w:pPr>
    <w:rPr>
      <w:rFonts w:eastAsia="Times New Roman"/>
      <w:b/>
      <w:bCs/>
      <w:caps/>
      <w:sz w:val="24"/>
      <w:szCs w:val="20"/>
    </w:rPr>
  </w:style>
  <w:style w:type="paragraph" w:styleId="Heading2">
    <w:name w:val="heading 2"/>
    <w:basedOn w:val="Normal"/>
    <w:next w:val="Normal"/>
    <w:link w:val="Heading2Char"/>
    <w:uiPriority w:val="9"/>
    <w:unhideWhenUsed/>
    <w:qFormat/>
    <w:rsid w:val="00135D51"/>
    <w:pPr>
      <w:keepNext/>
      <w:keepLines/>
      <w:spacing w:before="240"/>
      <w:outlineLvl w:val="1"/>
    </w:pPr>
    <w:rPr>
      <w:rFonts w:ascii="Arial Bold" w:eastAsia="Times New Roman" w:hAnsi="Arial Bold"/>
      <w:b/>
      <w:bCs/>
      <w:spacing w:val="20"/>
      <w:sz w:val="24"/>
      <w:szCs w:val="20"/>
    </w:rPr>
  </w:style>
  <w:style w:type="paragraph" w:styleId="Heading3">
    <w:name w:val="heading 3"/>
    <w:basedOn w:val="Normal"/>
    <w:next w:val="Normal"/>
    <w:link w:val="Heading3Char"/>
    <w:uiPriority w:val="9"/>
    <w:unhideWhenUsed/>
    <w:qFormat/>
    <w:rsid w:val="001C7E66"/>
    <w:pPr>
      <w:keepNext/>
      <w:spacing w:before="240" w:after="100" w:afterAutospacing="1" w:line="276" w:lineRule="auto"/>
      <w:outlineLvl w:val="2"/>
    </w:pPr>
    <w:rPr>
      <w:rFonts w:eastAsia="Times New Roman"/>
      <w:b/>
      <w:bCs/>
      <w:i/>
      <w:kern w:val="32"/>
    </w:rPr>
  </w:style>
  <w:style w:type="paragraph" w:styleId="Heading4">
    <w:name w:val="heading 4"/>
    <w:basedOn w:val="Normal"/>
    <w:next w:val="Normal"/>
    <w:link w:val="Heading4Char"/>
    <w:uiPriority w:val="9"/>
    <w:unhideWhenUsed/>
    <w:qFormat/>
    <w:rsid w:val="00135D51"/>
    <w:pPr>
      <w:keepNext/>
      <w:numPr>
        <w:numId w:val="36"/>
      </w:numPr>
      <w:spacing w:before="240" w:after="60"/>
      <w:ind w:left="567"/>
      <w:outlineLvl w:val="3"/>
    </w:pPr>
    <w:rPr>
      <w:bCs/>
      <w:i/>
    </w:rPr>
  </w:style>
  <w:style w:type="paragraph" w:styleId="Heading5">
    <w:name w:val="heading 5"/>
    <w:basedOn w:val="Normal"/>
    <w:next w:val="Normal"/>
    <w:link w:val="Heading5Char"/>
    <w:uiPriority w:val="9"/>
    <w:semiHidden/>
    <w:unhideWhenUsed/>
    <w:qFormat/>
    <w:rsid w:val="00135D51"/>
    <w:pPr>
      <w:numPr>
        <w:ilvl w:val="4"/>
        <w:numId w:val="3"/>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135D51"/>
    <w:pPr>
      <w:numPr>
        <w:ilvl w:val="5"/>
        <w:numId w:val="3"/>
      </w:numPr>
      <w:spacing w:before="240" w:after="60"/>
      <w:outlineLvl w:val="5"/>
    </w:pPr>
    <w:rPr>
      <w:rFonts w:ascii="Calibri" w:eastAsia="Times New Roman" w:hAnsi="Calibri"/>
      <w:b/>
      <w:bCs/>
      <w:sz w:val="20"/>
      <w:szCs w:val="20"/>
    </w:rPr>
  </w:style>
  <w:style w:type="paragraph" w:styleId="Heading7">
    <w:name w:val="heading 7"/>
    <w:basedOn w:val="Normal"/>
    <w:next w:val="Normal"/>
    <w:link w:val="Heading7Char"/>
    <w:uiPriority w:val="9"/>
    <w:semiHidden/>
    <w:unhideWhenUsed/>
    <w:qFormat/>
    <w:rsid w:val="00135D51"/>
    <w:pPr>
      <w:numPr>
        <w:ilvl w:val="6"/>
        <w:numId w:val="3"/>
      </w:numPr>
      <w:spacing w:before="240" w:after="60"/>
      <w:outlineLvl w:val="6"/>
    </w:pPr>
    <w:rPr>
      <w:rFonts w:ascii="Calibri" w:eastAsia="Times New Roman" w:hAnsi="Calibri"/>
      <w:sz w:val="24"/>
      <w:szCs w:val="24"/>
    </w:rPr>
  </w:style>
  <w:style w:type="paragraph" w:styleId="Heading8">
    <w:name w:val="heading 8"/>
    <w:basedOn w:val="Normal"/>
    <w:next w:val="Normal"/>
    <w:link w:val="Heading8Char"/>
    <w:uiPriority w:val="9"/>
    <w:semiHidden/>
    <w:unhideWhenUsed/>
    <w:qFormat/>
    <w:rsid w:val="00135D51"/>
    <w:pPr>
      <w:numPr>
        <w:ilvl w:val="7"/>
        <w:numId w:val="3"/>
      </w:num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uiPriority w:val="9"/>
    <w:semiHidden/>
    <w:unhideWhenUsed/>
    <w:qFormat/>
    <w:rsid w:val="00135D51"/>
    <w:pPr>
      <w:numPr>
        <w:ilvl w:val="8"/>
        <w:numId w:val="3"/>
      </w:num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35D51"/>
    <w:rPr>
      <w:color w:val="0000FF"/>
      <w:u w:val="single"/>
    </w:rPr>
  </w:style>
  <w:style w:type="character" w:customStyle="1" w:styleId="Heading1Char">
    <w:name w:val="Heading 1 Char"/>
    <w:link w:val="Heading1"/>
    <w:uiPriority w:val="9"/>
    <w:rsid w:val="00135D51"/>
    <w:rPr>
      <w:rFonts w:ascii="Arial" w:eastAsia="Times New Roman" w:hAnsi="Arial"/>
      <w:b/>
      <w:bCs/>
      <w:caps/>
      <w:sz w:val="24"/>
      <w:lang w:val="sr-Cyrl-CS"/>
    </w:rPr>
  </w:style>
  <w:style w:type="character" w:customStyle="1" w:styleId="Heading2Char">
    <w:name w:val="Heading 2 Char"/>
    <w:link w:val="Heading2"/>
    <w:uiPriority w:val="9"/>
    <w:rsid w:val="00135D51"/>
    <w:rPr>
      <w:rFonts w:ascii="Arial Bold" w:eastAsia="Times New Roman" w:hAnsi="Arial Bold"/>
      <w:b/>
      <w:bCs/>
      <w:spacing w:val="20"/>
      <w:sz w:val="24"/>
      <w:lang w:val="sr-Cyrl-CS"/>
    </w:rPr>
  </w:style>
  <w:style w:type="character" w:customStyle="1" w:styleId="Heading3Char">
    <w:name w:val="Heading 3 Char"/>
    <w:link w:val="Heading3"/>
    <w:uiPriority w:val="9"/>
    <w:rsid w:val="001C7E66"/>
    <w:rPr>
      <w:rFonts w:ascii="Arial" w:eastAsia="Times New Roman" w:hAnsi="Arial"/>
      <w:b/>
      <w:bCs/>
      <w:i/>
      <w:kern w:val="32"/>
      <w:sz w:val="22"/>
      <w:szCs w:val="22"/>
      <w:lang w:val="sr-Cyrl-CS"/>
    </w:rPr>
  </w:style>
  <w:style w:type="character" w:customStyle="1" w:styleId="Heading4Char">
    <w:name w:val="Heading 4 Char"/>
    <w:link w:val="Heading4"/>
    <w:uiPriority w:val="9"/>
    <w:rsid w:val="00135D51"/>
    <w:rPr>
      <w:rFonts w:ascii="Arial" w:hAnsi="Arial"/>
      <w:bCs/>
      <w:i/>
      <w:sz w:val="22"/>
      <w:szCs w:val="22"/>
      <w:lang w:val="sr-Cyrl-CS"/>
    </w:rPr>
  </w:style>
  <w:style w:type="character" w:customStyle="1" w:styleId="Heading5Char">
    <w:name w:val="Heading 5 Char"/>
    <w:link w:val="Heading5"/>
    <w:uiPriority w:val="9"/>
    <w:semiHidden/>
    <w:rsid w:val="00135D51"/>
    <w:rPr>
      <w:rFonts w:eastAsia="Times New Roman"/>
      <w:b/>
      <w:bCs/>
      <w:i/>
      <w:iCs/>
      <w:sz w:val="26"/>
      <w:szCs w:val="26"/>
      <w:lang w:val="sr-Cyrl-CS"/>
    </w:rPr>
  </w:style>
  <w:style w:type="character" w:customStyle="1" w:styleId="Heading6Char">
    <w:name w:val="Heading 6 Char"/>
    <w:link w:val="Heading6"/>
    <w:uiPriority w:val="9"/>
    <w:semiHidden/>
    <w:rsid w:val="00135D51"/>
    <w:rPr>
      <w:rFonts w:eastAsia="Times New Roman"/>
      <w:b/>
      <w:bCs/>
      <w:lang w:val="sr-Cyrl-CS"/>
    </w:rPr>
  </w:style>
  <w:style w:type="character" w:customStyle="1" w:styleId="Heading7Char">
    <w:name w:val="Heading 7 Char"/>
    <w:link w:val="Heading7"/>
    <w:uiPriority w:val="9"/>
    <w:semiHidden/>
    <w:rsid w:val="00135D51"/>
    <w:rPr>
      <w:rFonts w:eastAsia="Times New Roman"/>
      <w:sz w:val="24"/>
      <w:szCs w:val="24"/>
      <w:lang w:val="sr-Cyrl-CS"/>
    </w:rPr>
  </w:style>
  <w:style w:type="character" w:customStyle="1" w:styleId="Heading8Char">
    <w:name w:val="Heading 8 Char"/>
    <w:link w:val="Heading8"/>
    <w:uiPriority w:val="9"/>
    <w:semiHidden/>
    <w:rsid w:val="00135D51"/>
    <w:rPr>
      <w:rFonts w:eastAsia="Times New Roman"/>
      <w:i/>
      <w:iCs/>
      <w:sz w:val="24"/>
      <w:szCs w:val="24"/>
      <w:lang w:val="sr-Cyrl-CS"/>
    </w:rPr>
  </w:style>
  <w:style w:type="character" w:customStyle="1" w:styleId="Heading9Char">
    <w:name w:val="Heading 9 Char"/>
    <w:link w:val="Heading9"/>
    <w:uiPriority w:val="9"/>
    <w:semiHidden/>
    <w:rsid w:val="00135D51"/>
    <w:rPr>
      <w:rFonts w:ascii="Cambria" w:eastAsia="Times New Roman" w:hAnsi="Cambria"/>
      <w:lang w:val="sr-Cyrl-CS"/>
    </w:rPr>
  </w:style>
  <w:style w:type="paragraph" w:styleId="ListParagraph">
    <w:name w:val="List Paragraph"/>
    <w:basedOn w:val="Normal"/>
    <w:uiPriority w:val="34"/>
    <w:qFormat/>
    <w:rsid w:val="00135D51"/>
    <w:pPr>
      <w:ind w:left="720"/>
      <w:contextualSpacing/>
    </w:pPr>
    <w:rPr>
      <w:rFonts w:ascii="Calibri" w:hAnsi="Calibri"/>
    </w:rPr>
  </w:style>
  <w:style w:type="paragraph" w:styleId="FootnoteText">
    <w:name w:val="footnote text"/>
    <w:aliases w:val="single space,footnote text Char,footnote text,Footnote Text Char Char Char,Footnote Text Char Char,Footnote Text Char1,single space Char,ft Char,ft,Footnote Text Char Char Char Char Char Char Char Char,Footnote Text Char Char Char Char1 Ch"/>
    <w:basedOn w:val="Normal"/>
    <w:link w:val="FootnoteTextChar"/>
    <w:uiPriority w:val="99"/>
    <w:unhideWhenUsed/>
    <w:rsid w:val="00135D51"/>
    <w:pPr>
      <w:spacing w:after="0" w:line="240" w:lineRule="auto"/>
    </w:pPr>
    <w:rPr>
      <w:rFonts w:ascii="Calibri" w:hAnsi="Calibri"/>
      <w:sz w:val="20"/>
      <w:szCs w:val="20"/>
    </w:rPr>
  </w:style>
  <w:style w:type="character" w:customStyle="1" w:styleId="FootnoteTextChar">
    <w:name w:val="Footnote Text Char"/>
    <w:aliases w:val="single space Char1,footnote text Char Char,footnote text Char1,Footnote Text Char Char Char Char,Footnote Text Char Char Char1,Footnote Text Char1 Char,single space Char Char,ft Char Char,ft Char1"/>
    <w:link w:val="FootnoteText"/>
    <w:uiPriority w:val="99"/>
    <w:rsid w:val="00135D51"/>
  </w:style>
  <w:style w:type="character" w:styleId="FootnoteReference">
    <w:name w:val="footnote reference"/>
    <w:aliases w:val="BVI fnr,Footnotes refss,ftref,16 Point,Superscript 6 Point,Footnote Reference Number,nota pié di pagina,Times 10 Point, Exposant 3 Point,Footnote symbol,Footnote reference number,Exposant 3 Point,EN Footnote Reference,note TESI,4_G"/>
    <w:link w:val="BVIfnrCharCharCharChar1CharChar"/>
    <w:uiPriority w:val="99"/>
    <w:unhideWhenUsed/>
    <w:qFormat/>
    <w:rsid w:val="00135D51"/>
    <w:rPr>
      <w:vertAlign w:val="superscript"/>
    </w:rPr>
  </w:style>
  <w:style w:type="character" w:customStyle="1" w:styleId="apple-converted-space">
    <w:name w:val="apple-converted-space"/>
    <w:basedOn w:val="DefaultParagraphFont"/>
    <w:rsid w:val="00135D51"/>
  </w:style>
  <w:style w:type="paragraph" w:styleId="NormalWeb">
    <w:name w:val="Normal (Web)"/>
    <w:basedOn w:val="Normal"/>
    <w:uiPriority w:val="99"/>
    <w:unhideWhenUsed/>
    <w:rsid w:val="00135D51"/>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basedOn w:val="Normal"/>
    <w:rsid w:val="00135D51"/>
    <w:pPr>
      <w:spacing w:before="100" w:beforeAutospacing="1" w:after="100" w:afterAutospacing="1" w:line="240" w:lineRule="auto"/>
    </w:pPr>
    <w:rPr>
      <w:rFonts w:eastAsia="Times New Roman" w:cs="Arial"/>
    </w:rPr>
  </w:style>
  <w:style w:type="paragraph" w:customStyle="1" w:styleId="Normal5">
    <w:name w:val="Normal5"/>
    <w:basedOn w:val="Normal"/>
    <w:rsid w:val="00135D51"/>
    <w:pPr>
      <w:spacing w:before="100" w:beforeAutospacing="1" w:after="100" w:afterAutospacing="1" w:line="240" w:lineRule="auto"/>
    </w:pPr>
    <w:rPr>
      <w:rFonts w:ascii="Times New Roman" w:eastAsia="Times New Roman" w:hAnsi="Times New Roman"/>
      <w:sz w:val="24"/>
      <w:szCs w:val="24"/>
    </w:rPr>
  </w:style>
  <w:style w:type="paragraph" w:customStyle="1" w:styleId="Normal4">
    <w:name w:val="Normal4"/>
    <w:basedOn w:val="Normal"/>
    <w:uiPriority w:val="99"/>
    <w:rsid w:val="00135D51"/>
    <w:pPr>
      <w:spacing w:before="100" w:beforeAutospacing="1" w:after="100" w:afterAutospacing="1" w:line="240" w:lineRule="auto"/>
    </w:pPr>
    <w:rPr>
      <w:rFonts w:eastAsia="Times New Roman" w:cs="Arial"/>
    </w:rPr>
  </w:style>
  <w:style w:type="paragraph" w:customStyle="1" w:styleId="ecxmsolistparagraph">
    <w:name w:val="ecxmsolistparagraph"/>
    <w:basedOn w:val="Normal"/>
    <w:rsid w:val="00135D51"/>
    <w:pPr>
      <w:spacing w:after="0" w:line="240" w:lineRule="auto"/>
    </w:pPr>
    <w:rPr>
      <w:rFonts w:ascii="Times New Roman" w:eastAsia="Times New Roman" w:hAnsi="Times New Roman"/>
      <w:sz w:val="24"/>
      <w:szCs w:val="24"/>
      <w:lang w:val="sr-Latn-CS" w:eastAsia="sr-Latn-CS"/>
    </w:rPr>
  </w:style>
  <w:style w:type="character" w:styleId="Emphasis">
    <w:name w:val="Emphasis"/>
    <w:uiPriority w:val="20"/>
    <w:qFormat/>
    <w:rsid w:val="00135D51"/>
    <w:rPr>
      <w:i/>
      <w:iCs/>
    </w:rPr>
  </w:style>
  <w:style w:type="character" w:customStyle="1" w:styleId="itemdatecreated1">
    <w:name w:val="itemdatecreated1"/>
    <w:rsid w:val="00135D51"/>
    <w:rPr>
      <w:color w:val="999999"/>
      <w:sz w:val="17"/>
      <w:szCs w:val="17"/>
    </w:rPr>
  </w:style>
  <w:style w:type="paragraph" w:styleId="NoSpacing">
    <w:name w:val="No Spacing"/>
    <w:link w:val="NoSpacingChar"/>
    <w:uiPriority w:val="1"/>
    <w:qFormat/>
    <w:rsid w:val="00135D51"/>
    <w:rPr>
      <w:sz w:val="22"/>
      <w:szCs w:val="22"/>
      <w:lang w:val="sr-Latn-CS"/>
    </w:rPr>
  </w:style>
  <w:style w:type="character" w:customStyle="1" w:styleId="itemdatecreated">
    <w:name w:val="itemdatecreated"/>
    <w:basedOn w:val="DefaultParagraphFont"/>
    <w:rsid w:val="00135D51"/>
  </w:style>
  <w:style w:type="character" w:customStyle="1" w:styleId="itemtextresizertitle">
    <w:name w:val="itemtextresizertitle"/>
    <w:basedOn w:val="DefaultParagraphFont"/>
    <w:rsid w:val="00135D51"/>
  </w:style>
  <w:style w:type="character" w:customStyle="1" w:styleId="itemimage">
    <w:name w:val="itemimage"/>
    <w:basedOn w:val="DefaultParagraphFont"/>
    <w:rsid w:val="00135D51"/>
  </w:style>
  <w:style w:type="character" w:customStyle="1" w:styleId="itemnavigationtitle">
    <w:name w:val="itemnavigationtitle"/>
    <w:basedOn w:val="DefaultParagraphFont"/>
    <w:rsid w:val="00135D51"/>
  </w:style>
  <w:style w:type="paragraph" w:styleId="z-TopofForm">
    <w:name w:val="HTML Top of Form"/>
    <w:basedOn w:val="Normal"/>
    <w:next w:val="Normal"/>
    <w:link w:val="z-TopofFormChar"/>
    <w:hidden/>
    <w:uiPriority w:val="99"/>
    <w:semiHidden/>
    <w:unhideWhenUsed/>
    <w:rsid w:val="00135D51"/>
    <w:pPr>
      <w:pBdr>
        <w:bottom w:val="single" w:sz="6" w:space="1" w:color="auto"/>
      </w:pBdr>
      <w:spacing w:after="0" w:line="240" w:lineRule="auto"/>
      <w:jc w:val="center"/>
    </w:pPr>
    <w:rPr>
      <w:rFonts w:eastAsia="Times New Roman"/>
      <w:vanish/>
      <w:sz w:val="16"/>
      <w:szCs w:val="16"/>
    </w:rPr>
  </w:style>
  <w:style w:type="character" w:customStyle="1" w:styleId="z-TopofFormChar">
    <w:name w:val="z-Top of Form Char"/>
    <w:link w:val="z-TopofForm"/>
    <w:uiPriority w:val="99"/>
    <w:semiHidden/>
    <w:rsid w:val="00135D51"/>
    <w:rPr>
      <w:rFonts w:ascii="Arial" w:eastAsia="Times New Roman" w:hAnsi="Arial"/>
      <w:vanish/>
      <w:sz w:val="16"/>
      <w:szCs w:val="16"/>
    </w:rPr>
  </w:style>
  <w:style w:type="paragraph" w:styleId="z-BottomofForm">
    <w:name w:val="HTML Bottom of Form"/>
    <w:basedOn w:val="Normal"/>
    <w:next w:val="Normal"/>
    <w:link w:val="z-BottomofFormChar"/>
    <w:hidden/>
    <w:uiPriority w:val="99"/>
    <w:semiHidden/>
    <w:unhideWhenUsed/>
    <w:rsid w:val="00135D51"/>
    <w:pPr>
      <w:pBdr>
        <w:top w:val="single" w:sz="6" w:space="1" w:color="auto"/>
      </w:pBdr>
      <w:spacing w:after="0" w:line="240" w:lineRule="auto"/>
      <w:jc w:val="center"/>
    </w:pPr>
    <w:rPr>
      <w:rFonts w:eastAsia="Times New Roman"/>
      <w:vanish/>
      <w:sz w:val="16"/>
      <w:szCs w:val="16"/>
    </w:rPr>
  </w:style>
  <w:style w:type="character" w:customStyle="1" w:styleId="z-BottomofFormChar">
    <w:name w:val="z-Bottom of Form Char"/>
    <w:link w:val="z-BottomofForm"/>
    <w:uiPriority w:val="99"/>
    <w:semiHidden/>
    <w:rsid w:val="00135D51"/>
    <w:rPr>
      <w:rFonts w:ascii="Arial" w:eastAsia="Times New Roman" w:hAnsi="Arial"/>
      <w:vanish/>
      <w:sz w:val="16"/>
      <w:szCs w:val="16"/>
    </w:rPr>
  </w:style>
  <w:style w:type="paragraph" w:styleId="Header">
    <w:name w:val="header"/>
    <w:basedOn w:val="Normal"/>
    <w:link w:val="HeaderChar"/>
    <w:uiPriority w:val="99"/>
    <w:unhideWhenUsed/>
    <w:rsid w:val="00135D51"/>
    <w:pPr>
      <w:tabs>
        <w:tab w:val="center" w:pos="4703"/>
        <w:tab w:val="right" w:pos="9406"/>
      </w:tabs>
    </w:pPr>
    <w:rPr>
      <w:rFonts w:ascii="Calibri" w:hAnsi="Calibri"/>
      <w:sz w:val="20"/>
      <w:szCs w:val="20"/>
    </w:rPr>
  </w:style>
  <w:style w:type="character" w:customStyle="1" w:styleId="HeaderChar">
    <w:name w:val="Header Char"/>
    <w:link w:val="Header"/>
    <w:uiPriority w:val="99"/>
    <w:rsid w:val="00135D51"/>
  </w:style>
  <w:style w:type="paragraph" w:styleId="Footer">
    <w:name w:val="footer"/>
    <w:basedOn w:val="Normal"/>
    <w:link w:val="FooterChar"/>
    <w:uiPriority w:val="99"/>
    <w:unhideWhenUsed/>
    <w:rsid w:val="00135D51"/>
    <w:pPr>
      <w:tabs>
        <w:tab w:val="center" w:pos="4703"/>
        <w:tab w:val="right" w:pos="9406"/>
      </w:tabs>
    </w:pPr>
    <w:rPr>
      <w:rFonts w:ascii="Calibri" w:hAnsi="Calibri"/>
      <w:sz w:val="20"/>
      <w:szCs w:val="20"/>
    </w:rPr>
  </w:style>
  <w:style w:type="character" w:customStyle="1" w:styleId="FooterChar">
    <w:name w:val="Footer Char"/>
    <w:link w:val="Footer"/>
    <w:uiPriority w:val="99"/>
    <w:rsid w:val="00135D51"/>
  </w:style>
  <w:style w:type="character" w:styleId="Strong">
    <w:name w:val="Strong"/>
    <w:uiPriority w:val="22"/>
    <w:qFormat/>
    <w:rsid w:val="00135D51"/>
    <w:rPr>
      <w:b/>
      <w:bCs/>
    </w:rPr>
  </w:style>
  <w:style w:type="character" w:styleId="FollowedHyperlink">
    <w:name w:val="FollowedHyperlink"/>
    <w:uiPriority w:val="99"/>
    <w:semiHidden/>
    <w:unhideWhenUsed/>
    <w:rsid w:val="00135D51"/>
    <w:rPr>
      <w:color w:val="800080"/>
      <w:u w:val="single"/>
    </w:rPr>
  </w:style>
  <w:style w:type="paragraph" w:customStyle="1" w:styleId="Pa0">
    <w:name w:val="Pa0"/>
    <w:basedOn w:val="Normal"/>
    <w:next w:val="Normal"/>
    <w:uiPriority w:val="99"/>
    <w:rsid w:val="00135D51"/>
    <w:pPr>
      <w:autoSpaceDE w:val="0"/>
      <w:autoSpaceDN w:val="0"/>
      <w:adjustRightInd w:val="0"/>
      <w:spacing w:after="0" w:line="201" w:lineRule="atLeast"/>
    </w:pPr>
    <w:rPr>
      <w:rFonts w:ascii="Minion Pro" w:hAnsi="Minion Pro"/>
      <w:sz w:val="24"/>
      <w:szCs w:val="24"/>
    </w:rPr>
  </w:style>
  <w:style w:type="character" w:customStyle="1" w:styleId="st">
    <w:name w:val="st"/>
    <w:basedOn w:val="DefaultParagraphFont"/>
    <w:rsid w:val="00135D51"/>
  </w:style>
  <w:style w:type="character" w:customStyle="1" w:styleId="hps">
    <w:name w:val="hps"/>
    <w:basedOn w:val="DefaultParagraphFont"/>
    <w:rsid w:val="00135D51"/>
  </w:style>
  <w:style w:type="character" w:customStyle="1" w:styleId="shorttext">
    <w:name w:val="short_text"/>
    <w:basedOn w:val="DefaultParagraphFont"/>
    <w:rsid w:val="00135D51"/>
  </w:style>
  <w:style w:type="paragraph" w:styleId="TOC1">
    <w:name w:val="toc 1"/>
    <w:basedOn w:val="Normal"/>
    <w:next w:val="Normal"/>
    <w:autoRedefine/>
    <w:uiPriority w:val="39"/>
    <w:unhideWhenUsed/>
    <w:qFormat/>
    <w:rsid w:val="00BA707F"/>
    <w:pPr>
      <w:tabs>
        <w:tab w:val="left" w:pos="880"/>
        <w:tab w:val="right" w:leader="dot" w:pos="9063"/>
      </w:tabs>
      <w:spacing w:line="240" w:lineRule="auto"/>
      <w:ind w:left="142"/>
      <w:jc w:val="left"/>
    </w:pPr>
    <w:rPr>
      <w:rFonts w:cs="Arial"/>
      <w:b/>
      <w:bCs/>
      <w:caps/>
      <w:noProof/>
      <w:sz w:val="20"/>
      <w:szCs w:val="20"/>
    </w:rPr>
  </w:style>
  <w:style w:type="paragraph" w:styleId="TOC2">
    <w:name w:val="toc 2"/>
    <w:basedOn w:val="Normal"/>
    <w:next w:val="Normal"/>
    <w:autoRedefine/>
    <w:uiPriority w:val="39"/>
    <w:unhideWhenUsed/>
    <w:qFormat/>
    <w:rsid w:val="00CD68AF"/>
    <w:pPr>
      <w:tabs>
        <w:tab w:val="left" w:pos="880"/>
        <w:tab w:val="right" w:leader="dot" w:pos="9063"/>
      </w:tabs>
      <w:spacing w:before="0" w:after="0" w:line="276" w:lineRule="auto"/>
      <w:ind w:left="142"/>
      <w:jc w:val="left"/>
    </w:pPr>
    <w:rPr>
      <w:rFonts w:cs="Arial"/>
      <w:smallCaps/>
      <w:noProof/>
      <w:sz w:val="20"/>
      <w:szCs w:val="20"/>
    </w:rPr>
  </w:style>
  <w:style w:type="paragraph" w:styleId="TOC3">
    <w:name w:val="toc 3"/>
    <w:basedOn w:val="Normal"/>
    <w:next w:val="Normal"/>
    <w:autoRedefine/>
    <w:uiPriority w:val="39"/>
    <w:unhideWhenUsed/>
    <w:qFormat/>
    <w:rsid w:val="008D533A"/>
    <w:pPr>
      <w:tabs>
        <w:tab w:val="left" w:pos="1320"/>
        <w:tab w:val="right" w:leader="dot" w:pos="9063"/>
      </w:tabs>
      <w:spacing w:before="0" w:after="0" w:line="276" w:lineRule="auto"/>
      <w:ind w:left="440"/>
      <w:jc w:val="left"/>
    </w:pPr>
    <w:rPr>
      <w:rFonts w:eastAsia="Times New Roman" w:cs="Arial"/>
      <w:i/>
      <w:iCs/>
      <w:sz w:val="20"/>
      <w:szCs w:val="20"/>
      <w:lang w:val="en-US"/>
    </w:rPr>
  </w:style>
  <w:style w:type="paragraph" w:styleId="TOC4">
    <w:name w:val="toc 4"/>
    <w:basedOn w:val="Normal"/>
    <w:next w:val="Normal"/>
    <w:autoRedefine/>
    <w:uiPriority w:val="39"/>
    <w:unhideWhenUsed/>
    <w:rsid w:val="00C30765"/>
    <w:pPr>
      <w:tabs>
        <w:tab w:val="left" w:pos="1540"/>
        <w:tab w:val="right" w:leader="dot" w:pos="9063"/>
      </w:tabs>
      <w:spacing w:before="0" w:after="0" w:line="276" w:lineRule="auto"/>
      <w:ind w:left="660"/>
      <w:jc w:val="left"/>
    </w:pPr>
    <w:rPr>
      <w:rFonts w:ascii="Calibri" w:hAnsi="Calibri"/>
      <w:sz w:val="18"/>
      <w:szCs w:val="18"/>
    </w:rPr>
  </w:style>
  <w:style w:type="paragraph" w:styleId="TOC5">
    <w:name w:val="toc 5"/>
    <w:basedOn w:val="Normal"/>
    <w:next w:val="Normal"/>
    <w:autoRedefine/>
    <w:uiPriority w:val="39"/>
    <w:unhideWhenUsed/>
    <w:rsid w:val="00135D51"/>
    <w:pPr>
      <w:spacing w:before="0" w:after="0"/>
      <w:ind w:left="880"/>
      <w:jc w:val="left"/>
    </w:pPr>
    <w:rPr>
      <w:rFonts w:ascii="Calibri" w:hAnsi="Calibri"/>
      <w:sz w:val="18"/>
      <w:szCs w:val="18"/>
    </w:rPr>
  </w:style>
  <w:style w:type="paragraph" w:styleId="TOC6">
    <w:name w:val="toc 6"/>
    <w:basedOn w:val="Normal"/>
    <w:next w:val="Normal"/>
    <w:autoRedefine/>
    <w:uiPriority w:val="39"/>
    <w:unhideWhenUsed/>
    <w:rsid w:val="00135D51"/>
    <w:pPr>
      <w:spacing w:before="0" w:after="0"/>
      <w:ind w:left="1100"/>
      <w:jc w:val="left"/>
    </w:pPr>
    <w:rPr>
      <w:rFonts w:ascii="Calibri" w:hAnsi="Calibri"/>
      <w:sz w:val="18"/>
      <w:szCs w:val="18"/>
    </w:rPr>
  </w:style>
  <w:style w:type="paragraph" w:styleId="TOC7">
    <w:name w:val="toc 7"/>
    <w:basedOn w:val="Normal"/>
    <w:next w:val="Normal"/>
    <w:autoRedefine/>
    <w:uiPriority w:val="39"/>
    <w:unhideWhenUsed/>
    <w:rsid w:val="00135D51"/>
    <w:pPr>
      <w:spacing w:before="0" w:after="0"/>
      <w:ind w:left="1320"/>
      <w:jc w:val="left"/>
    </w:pPr>
    <w:rPr>
      <w:rFonts w:ascii="Calibri" w:hAnsi="Calibri"/>
      <w:sz w:val="18"/>
      <w:szCs w:val="18"/>
    </w:rPr>
  </w:style>
  <w:style w:type="paragraph" w:styleId="TOC8">
    <w:name w:val="toc 8"/>
    <w:basedOn w:val="Normal"/>
    <w:next w:val="Normal"/>
    <w:autoRedefine/>
    <w:uiPriority w:val="39"/>
    <w:unhideWhenUsed/>
    <w:rsid w:val="00135D51"/>
    <w:pPr>
      <w:spacing w:before="0" w:after="0"/>
      <w:ind w:left="1540"/>
      <w:jc w:val="left"/>
    </w:pPr>
    <w:rPr>
      <w:rFonts w:ascii="Calibri" w:hAnsi="Calibri"/>
      <w:sz w:val="18"/>
      <w:szCs w:val="18"/>
    </w:rPr>
  </w:style>
  <w:style w:type="paragraph" w:styleId="TOC9">
    <w:name w:val="toc 9"/>
    <w:basedOn w:val="Normal"/>
    <w:next w:val="Normal"/>
    <w:autoRedefine/>
    <w:uiPriority w:val="39"/>
    <w:unhideWhenUsed/>
    <w:rsid w:val="00135D51"/>
    <w:pPr>
      <w:spacing w:before="0" w:after="0"/>
      <w:ind w:left="1760"/>
      <w:jc w:val="left"/>
    </w:pPr>
    <w:rPr>
      <w:rFonts w:ascii="Calibri" w:hAnsi="Calibri"/>
      <w:sz w:val="18"/>
      <w:szCs w:val="18"/>
    </w:rPr>
  </w:style>
  <w:style w:type="table" w:styleId="TableGrid">
    <w:name w:val="Table Grid"/>
    <w:basedOn w:val="TableNormal"/>
    <w:uiPriority w:val="59"/>
    <w:rsid w:val="00135D5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135D51"/>
    <w:rPr>
      <w:sz w:val="16"/>
      <w:szCs w:val="16"/>
    </w:rPr>
  </w:style>
  <w:style w:type="paragraph" w:styleId="CommentText">
    <w:name w:val="annotation text"/>
    <w:basedOn w:val="Normal"/>
    <w:link w:val="CommentTextChar"/>
    <w:uiPriority w:val="99"/>
    <w:unhideWhenUsed/>
    <w:rsid w:val="00135D51"/>
    <w:rPr>
      <w:sz w:val="20"/>
      <w:szCs w:val="20"/>
    </w:rPr>
  </w:style>
  <w:style w:type="character" w:customStyle="1" w:styleId="CommentTextChar">
    <w:name w:val="Comment Text Char"/>
    <w:link w:val="CommentText"/>
    <w:uiPriority w:val="99"/>
    <w:rsid w:val="00135D51"/>
    <w:rPr>
      <w:rFonts w:ascii="Arial" w:hAnsi="Arial"/>
      <w:lang w:val="sr-Cyrl-CS"/>
    </w:rPr>
  </w:style>
  <w:style w:type="paragraph" w:styleId="CommentSubject">
    <w:name w:val="annotation subject"/>
    <w:basedOn w:val="CommentText"/>
    <w:next w:val="CommentText"/>
    <w:link w:val="CommentSubjectChar"/>
    <w:uiPriority w:val="99"/>
    <w:semiHidden/>
    <w:unhideWhenUsed/>
    <w:rsid w:val="00135D51"/>
    <w:rPr>
      <w:b/>
      <w:bCs/>
    </w:rPr>
  </w:style>
  <w:style w:type="character" w:customStyle="1" w:styleId="CommentSubjectChar">
    <w:name w:val="Comment Subject Char"/>
    <w:link w:val="CommentSubject"/>
    <w:uiPriority w:val="99"/>
    <w:semiHidden/>
    <w:rsid w:val="00135D51"/>
    <w:rPr>
      <w:rFonts w:ascii="Arial" w:hAnsi="Arial"/>
      <w:b/>
      <w:bCs/>
    </w:rPr>
  </w:style>
  <w:style w:type="paragraph" w:styleId="BalloonText">
    <w:name w:val="Balloon Text"/>
    <w:basedOn w:val="Normal"/>
    <w:link w:val="BalloonTextChar"/>
    <w:uiPriority w:val="99"/>
    <w:semiHidden/>
    <w:unhideWhenUsed/>
    <w:rsid w:val="00135D51"/>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35D51"/>
    <w:rPr>
      <w:rFonts w:ascii="Tahoma" w:hAnsi="Tahoma"/>
      <w:sz w:val="16"/>
      <w:szCs w:val="16"/>
    </w:rPr>
  </w:style>
  <w:style w:type="character" w:customStyle="1" w:styleId="st1">
    <w:name w:val="st1"/>
    <w:basedOn w:val="DefaultParagraphFont"/>
    <w:rsid w:val="00135D51"/>
  </w:style>
  <w:style w:type="paragraph" w:customStyle="1" w:styleId="Default">
    <w:name w:val="Default"/>
    <w:rsid w:val="00135D51"/>
    <w:pPr>
      <w:autoSpaceDE w:val="0"/>
      <w:autoSpaceDN w:val="0"/>
      <w:adjustRightInd w:val="0"/>
    </w:pPr>
    <w:rPr>
      <w:rFonts w:ascii="Times New Roman" w:hAnsi="Times New Roman"/>
      <w:color w:val="000000"/>
      <w:sz w:val="24"/>
      <w:szCs w:val="24"/>
      <w:lang w:val="sr-Latn-CS" w:eastAsia="sr-Latn-CS"/>
    </w:rPr>
  </w:style>
  <w:style w:type="paragraph" w:customStyle="1" w:styleId="H23G">
    <w:name w:val="_ H_2/3_G"/>
    <w:basedOn w:val="Normal"/>
    <w:next w:val="Normal"/>
    <w:link w:val="CharChar1"/>
    <w:rsid w:val="00135D51"/>
    <w:pPr>
      <w:keepNext/>
      <w:keepLines/>
      <w:tabs>
        <w:tab w:val="right" w:pos="851"/>
      </w:tabs>
      <w:suppressAutoHyphens/>
      <w:spacing w:before="240" w:line="240" w:lineRule="exact"/>
      <w:ind w:left="1134" w:right="1134" w:hanging="1134"/>
    </w:pPr>
    <w:rPr>
      <w:rFonts w:ascii="Times New Roman" w:eastAsia="Times New Roman" w:hAnsi="Times New Roman"/>
      <w:sz w:val="16"/>
      <w:szCs w:val="20"/>
    </w:rPr>
  </w:style>
  <w:style w:type="character" w:customStyle="1" w:styleId="CharChar1">
    <w:name w:val="Char Char1"/>
    <w:link w:val="H23G"/>
    <w:locked/>
    <w:rsid w:val="00135D51"/>
    <w:rPr>
      <w:rFonts w:ascii="Times New Roman" w:eastAsia="Times New Roman" w:hAnsi="Times New Roman"/>
      <w:sz w:val="16"/>
    </w:rPr>
  </w:style>
  <w:style w:type="paragraph" w:customStyle="1" w:styleId="Body">
    <w:name w:val="Body"/>
    <w:rsid w:val="00135D51"/>
    <w:rPr>
      <w:rFonts w:ascii="Helvetica" w:eastAsia="ヒラギノ角ゴ Pro W3" w:hAnsi="Helvetica"/>
      <w:color w:val="000000"/>
      <w:sz w:val="24"/>
      <w:lang w:eastAsia="sr-Cyrl-CS"/>
    </w:rPr>
  </w:style>
  <w:style w:type="character" w:customStyle="1" w:styleId="itemimagecaption">
    <w:name w:val="itemimagecaption"/>
    <w:rsid w:val="00135D51"/>
    <w:rPr>
      <w:vanish w:val="0"/>
      <w:webHidden w:val="0"/>
      <w:color w:val="666666"/>
      <w:sz w:val="17"/>
      <w:szCs w:val="17"/>
      <w:specVanish w:val="0"/>
    </w:rPr>
  </w:style>
  <w:style w:type="character" w:customStyle="1" w:styleId="sigprolinkwrapper">
    <w:name w:val="sigprolinkwrapper"/>
    <w:basedOn w:val="DefaultParagraphFont"/>
    <w:rsid w:val="00135D51"/>
  </w:style>
  <w:style w:type="character" w:customStyle="1" w:styleId="moduleitemdatecreated">
    <w:name w:val="moduleitemdatecreated"/>
    <w:basedOn w:val="DefaultParagraphFont"/>
    <w:rsid w:val="00135D51"/>
  </w:style>
  <w:style w:type="character" w:customStyle="1" w:styleId="itemimagecredits">
    <w:name w:val="itemimagecredits"/>
    <w:rsid w:val="00135D51"/>
    <w:rPr>
      <w:i/>
      <w:iCs/>
      <w:vanish w:val="0"/>
      <w:webHidden w:val="0"/>
      <w:color w:val="999999"/>
      <w:sz w:val="17"/>
      <w:szCs w:val="17"/>
      <w:specVanish w:val="0"/>
    </w:rPr>
  </w:style>
  <w:style w:type="character" w:customStyle="1" w:styleId="googqs-tidbit">
    <w:name w:val="goog_qs-tidbit"/>
    <w:basedOn w:val="DefaultParagraphFont"/>
    <w:rsid w:val="00135D51"/>
  </w:style>
  <w:style w:type="character" w:customStyle="1" w:styleId="A1">
    <w:name w:val="A1"/>
    <w:uiPriority w:val="99"/>
    <w:rsid w:val="00135D51"/>
    <w:rPr>
      <w:rFonts w:cs="Myriad Pro"/>
      <w:color w:val="000000"/>
      <w:sz w:val="20"/>
      <w:szCs w:val="20"/>
    </w:rPr>
  </w:style>
  <w:style w:type="paragraph" w:customStyle="1" w:styleId="wyq110---naslov-clana">
    <w:name w:val="wyq110---naslov-clana"/>
    <w:basedOn w:val="Normal"/>
    <w:uiPriority w:val="99"/>
    <w:rsid w:val="00135D51"/>
    <w:pPr>
      <w:spacing w:before="240" w:after="240" w:line="240" w:lineRule="auto"/>
      <w:jc w:val="center"/>
    </w:pPr>
    <w:rPr>
      <w:rFonts w:eastAsia="Times New Roman" w:cs="Arial"/>
      <w:b/>
      <w:bCs/>
      <w:sz w:val="24"/>
      <w:szCs w:val="24"/>
    </w:rPr>
  </w:style>
  <w:style w:type="character" w:customStyle="1" w:styleId="A2">
    <w:name w:val="A2"/>
    <w:uiPriority w:val="99"/>
    <w:rsid w:val="00135D51"/>
    <w:rPr>
      <w:rFonts w:cs="Myriad Pro"/>
      <w:color w:val="000000"/>
      <w:sz w:val="22"/>
      <w:szCs w:val="22"/>
    </w:rPr>
  </w:style>
  <w:style w:type="character" w:customStyle="1" w:styleId="FootnoteCharacters">
    <w:name w:val="Footnote Characters"/>
    <w:rsid w:val="00135D51"/>
    <w:rPr>
      <w:vertAlign w:val="superscript"/>
    </w:rPr>
  </w:style>
  <w:style w:type="paragraph" w:customStyle="1" w:styleId="Normal2">
    <w:name w:val="Normal2"/>
    <w:basedOn w:val="Normal"/>
    <w:rsid w:val="00135D51"/>
    <w:pPr>
      <w:spacing w:before="100" w:beforeAutospacing="1" w:after="100" w:afterAutospacing="1" w:line="240" w:lineRule="auto"/>
    </w:pPr>
    <w:rPr>
      <w:rFonts w:ascii="Times New Roman" w:eastAsia="Times New Roman" w:hAnsi="Times New Roman"/>
      <w:sz w:val="24"/>
      <w:szCs w:val="24"/>
    </w:rPr>
  </w:style>
  <w:style w:type="paragraph" w:customStyle="1" w:styleId="clan">
    <w:name w:val="clan"/>
    <w:basedOn w:val="Normal"/>
    <w:rsid w:val="00135D51"/>
    <w:pPr>
      <w:spacing w:before="100" w:beforeAutospacing="1" w:after="100" w:afterAutospacing="1" w:line="240" w:lineRule="auto"/>
    </w:pPr>
    <w:rPr>
      <w:rFonts w:ascii="Times New Roman" w:eastAsia="Times New Roman" w:hAnsi="Times New Roman"/>
      <w:sz w:val="24"/>
      <w:szCs w:val="24"/>
    </w:rPr>
  </w:style>
  <w:style w:type="character" w:customStyle="1" w:styleId="il">
    <w:name w:val="il"/>
    <w:basedOn w:val="DefaultParagraphFont"/>
    <w:rsid w:val="00135D51"/>
  </w:style>
  <w:style w:type="paragraph" w:styleId="TOCHeading">
    <w:name w:val="TOC Heading"/>
    <w:basedOn w:val="Heading1"/>
    <w:next w:val="Normal"/>
    <w:uiPriority w:val="39"/>
    <w:unhideWhenUsed/>
    <w:qFormat/>
    <w:rsid w:val="00135D51"/>
    <w:pPr>
      <w:numPr>
        <w:numId w:val="1"/>
      </w:numPr>
      <w:outlineLvl w:val="9"/>
    </w:pPr>
    <w:rPr>
      <w:rFonts w:ascii="Cambria" w:hAnsi="Cambria"/>
      <w:color w:val="365F91"/>
      <w:szCs w:val="22"/>
    </w:rPr>
  </w:style>
  <w:style w:type="character" w:customStyle="1" w:styleId="WW-FootnoteCharacters">
    <w:name w:val="WW-Footnote Characters"/>
    <w:rsid w:val="00135D51"/>
    <w:rPr>
      <w:vertAlign w:val="superscript"/>
    </w:rPr>
  </w:style>
  <w:style w:type="character" w:customStyle="1" w:styleId="breadcrumb">
    <w:name w:val="breadcrumb"/>
    <w:basedOn w:val="DefaultParagraphFont"/>
    <w:rsid w:val="00135D51"/>
  </w:style>
  <w:style w:type="character" w:customStyle="1" w:styleId="textexposedhide2">
    <w:name w:val="text_exposed_hide2"/>
    <w:basedOn w:val="DefaultParagraphFont"/>
    <w:rsid w:val="00135D51"/>
  </w:style>
  <w:style w:type="character" w:customStyle="1" w:styleId="textexposedshow2">
    <w:name w:val="text_exposed_show2"/>
    <w:rsid w:val="00135D51"/>
    <w:rPr>
      <w:vanish/>
      <w:webHidden w:val="0"/>
      <w:specVanish w:val="0"/>
    </w:rPr>
  </w:style>
  <w:style w:type="character" w:customStyle="1" w:styleId="textexposedlink5">
    <w:name w:val="text_exposed_link5"/>
    <w:basedOn w:val="DefaultParagraphFont"/>
    <w:rsid w:val="00135D51"/>
  </w:style>
  <w:style w:type="character" w:customStyle="1" w:styleId="usercontent">
    <w:name w:val="usercontent"/>
    <w:basedOn w:val="DefaultParagraphFont"/>
    <w:rsid w:val="00135D51"/>
  </w:style>
  <w:style w:type="character" w:customStyle="1" w:styleId="emoticontext2">
    <w:name w:val="emoticon_text2"/>
    <w:rsid w:val="00135D51"/>
    <w:rPr>
      <w:vanish/>
      <w:webHidden w:val="0"/>
      <w:specVanish w:val="0"/>
    </w:rPr>
  </w:style>
  <w:style w:type="character" w:customStyle="1" w:styleId="uficommentbody">
    <w:name w:val="uficommentbody"/>
    <w:basedOn w:val="DefaultParagraphFont"/>
    <w:rsid w:val="00135D51"/>
  </w:style>
  <w:style w:type="character" w:customStyle="1" w:styleId="postbody1">
    <w:name w:val="postbody1"/>
    <w:rsid w:val="00135D51"/>
    <w:rPr>
      <w:sz w:val="14"/>
      <w:szCs w:val="14"/>
    </w:rPr>
  </w:style>
  <w:style w:type="character" w:customStyle="1" w:styleId="textexposedhide6">
    <w:name w:val="text_exposed_hide6"/>
    <w:basedOn w:val="DefaultParagraphFont"/>
    <w:rsid w:val="00135D51"/>
  </w:style>
  <w:style w:type="character" w:customStyle="1" w:styleId="fwb1">
    <w:name w:val="fwb1"/>
    <w:rsid w:val="00135D51"/>
    <w:rPr>
      <w:b/>
      <w:bCs/>
    </w:rPr>
  </w:style>
  <w:style w:type="character" w:customStyle="1" w:styleId="textexposedhide4">
    <w:name w:val="text_exposed_hide4"/>
    <w:basedOn w:val="DefaultParagraphFont"/>
    <w:rsid w:val="00135D51"/>
  </w:style>
  <w:style w:type="character" w:customStyle="1" w:styleId="postbody">
    <w:name w:val="postbody"/>
    <w:basedOn w:val="DefaultParagraphFont"/>
    <w:rsid w:val="00135D51"/>
  </w:style>
  <w:style w:type="paragraph" w:customStyle="1" w:styleId="rtejustify">
    <w:name w:val="rtejustify"/>
    <w:basedOn w:val="Normal"/>
    <w:rsid w:val="00135D51"/>
    <w:pPr>
      <w:spacing w:before="100" w:beforeAutospacing="1" w:after="100" w:afterAutospacing="1" w:line="240" w:lineRule="auto"/>
    </w:pPr>
    <w:rPr>
      <w:rFonts w:ascii="Times New Roman" w:eastAsia="Times New Roman" w:hAnsi="Times New Roman"/>
      <w:sz w:val="24"/>
      <w:szCs w:val="24"/>
    </w:rPr>
  </w:style>
  <w:style w:type="paragraph" w:customStyle="1" w:styleId="BVIfnrCharCharCharChar1CharChar">
    <w:name w:val="BVI fnr Char Char Char Char1 Char Char"/>
    <w:aliases w:val="Footnotes refss Char Char Char Char1 Char Char,ftref Char Char Char Char1 Char Char,16 Point Char Char Char Char1 Char Char,Superscript 6 Point Char Char Char Char1 Char Char Char"/>
    <w:basedOn w:val="Normal"/>
    <w:link w:val="FootnoteReference"/>
    <w:uiPriority w:val="99"/>
    <w:rsid w:val="00135D51"/>
    <w:pPr>
      <w:spacing w:after="160" w:line="240" w:lineRule="exact"/>
    </w:pPr>
    <w:rPr>
      <w:rFonts w:ascii="Calibri" w:hAnsi="Calibri"/>
      <w:sz w:val="20"/>
      <w:szCs w:val="20"/>
      <w:vertAlign w:val="superscript"/>
    </w:rPr>
  </w:style>
  <w:style w:type="numbering" w:customStyle="1" w:styleId="izvestaj-heading3">
    <w:name w:val="izvestaj-heading3"/>
    <w:uiPriority w:val="99"/>
    <w:rsid w:val="00135D51"/>
  </w:style>
  <w:style w:type="numbering" w:customStyle="1" w:styleId="Style1">
    <w:name w:val="Style1"/>
    <w:next w:val="izvestaj-heading3"/>
    <w:uiPriority w:val="99"/>
    <w:rsid w:val="00135D51"/>
    <w:pPr>
      <w:numPr>
        <w:numId w:val="2"/>
      </w:numPr>
    </w:pPr>
  </w:style>
  <w:style w:type="paragraph" w:customStyle="1" w:styleId="FreeFormAA">
    <w:name w:val="Free Form A A"/>
    <w:rsid w:val="00135D51"/>
    <w:rPr>
      <w:rFonts w:ascii="Helvetica" w:eastAsia="ヒラギノ角ゴ Pro W3" w:hAnsi="Helvetica"/>
      <w:color w:val="000000"/>
      <w:sz w:val="24"/>
      <w:lang w:eastAsia="sr-Cyrl-CS"/>
    </w:rPr>
  </w:style>
  <w:style w:type="paragraph" w:customStyle="1" w:styleId="post-meta">
    <w:name w:val="post-meta"/>
    <w:basedOn w:val="Normal"/>
    <w:rsid w:val="00135D51"/>
    <w:pPr>
      <w:spacing w:before="100" w:beforeAutospacing="1" w:after="100" w:afterAutospacing="1" w:line="240" w:lineRule="auto"/>
    </w:pPr>
    <w:rPr>
      <w:rFonts w:ascii="Times New Roman" w:eastAsia="Times New Roman" w:hAnsi="Times New Roman"/>
      <w:sz w:val="24"/>
      <w:szCs w:val="24"/>
    </w:rPr>
  </w:style>
  <w:style w:type="paragraph" w:customStyle="1" w:styleId="CharCharChar2Char">
    <w:name w:val="Char Char Char2 Char"/>
    <w:basedOn w:val="Normal"/>
    <w:uiPriority w:val="99"/>
    <w:rsid w:val="00135D51"/>
    <w:pPr>
      <w:spacing w:before="0" w:after="0" w:line="240" w:lineRule="auto"/>
      <w:jc w:val="left"/>
    </w:pPr>
    <w:rPr>
      <w:rFonts w:ascii="Times New Roman" w:eastAsia="Times New Roman" w:hAnsi="Times New Roman"/>
      <w:sz w:val="24"/>
      <w:szCs w:val="24"/>
    </w:rPr>
  </w:style>
  <w:style w:type="character" w:customStyle="1" w:styleId="NoSpacingChar">
    <w:name w:val="No Spacing Char"/>
    <w:link w:val="NoSpacing"/>
    <w:uiPriority w:val="1"/>
    <w:rsid w:val="00135D51"/>
    <w:rPr>
      <w:sz w:val="22"/>
      <w:szCs w:val="22"/>
      <w:lang w:val="sr-Latn-CS" w:bidi="ar-SA"/>
    </w:rPr>
  </w:style>
  <w:style w:type="character" w:customStyle="1" w:styleId="highlight">
    <w:name w:val="highlight"/>
    <w:basedOn w:val="DefaultParagraphFont"/>
    <w:rsid w:val="00135D51"/>
  </w:style>
  <w:style w:type="paragraph" w:customStyle="1" w:styleId="Standard">
    <w:name w:val="Standard"/>
    <w:uiPriority w:val="99"/>
    <w:rsid w:val="00135D51"/>
    <w:pPr>
      <w:widowControl w:val="0"/>
      <w:suppressAutoHyphens/>
      <w:autoSpaceDN w:val="0"/>
    </w:pPr>
    <w:rPr>
      <w:rFonts w:ascii="Arial" w:eastAsia="SimSun" w:hAnsi="Arial" w:cs="Mangal"/>
      <w:kern w:val="3"/>
      <w:sz w:val="24"/>
      <w:szCs w:val="24"/>
      <w:lang w:eastAsia="zh-CN" w:bidi="hi-IN"/>
    </w:rPr>
  </w:style>
  <w:style w:type="character" w:customStyle="1" w:styleId="propisclassinner">
    <w:name w:val="propisclassinner"/>
    <w:basedOn w:val="DefaultParagraphFont"/>
    <w:rsid w:val="00135D51"/>
  </w:style>
  <w:style w:type="paragraph" w:styleId="Title">
    <w:name w:val="Title"/>
    <w:basedOn w:val="Normal"/>
    <w:next w:val="Normal"/>
    <w:link w:val="TitleChar"/>
    <w:qFormat/>
    <w:rsid w:val="00135D51"/>
    <w:pPr>
      <w:spacing w:before="240" w:after="60" w:line="240" w:lineRule="auto"/>
      <w:jc w:val="center"/>
      <w:outlineLvl w:val="0"/>
    </w:pPr>
    <w:rPr>
      <w:rFonts w:ascii="Cambria" w:eastAsia="Times New Roman" w:hAnsi="Cambria"/>
      <w:b/>
      <w:bCs/>
      <w:kern w:val="28"/>
      <w:sz w:val="32"/>
      <w:szCs w:val="32"/>
      <w:lang w:val="en-GB" w:eastAsia="en-GB"/>
    </w:rPr>
  </w:style>
  <w:style w:type="character" w:customStyle="1" w:styleId="TitleChar">
    <w:name w:val="Title Char"/>
    <w:link w:val="Title"/>
    <w:rsid w:val="00135D51"/>
    <w:rPr>
      <w:rFonts w:ascii="Cambria" w:eastAsia="Times New Roman" w:hAnsi="Cambria"/>
      <w:b/>
      <w:bCs/>
      <w:kern w:val="28"/>
      <w:sz w:val="32"/>
      <w:szCs w:val="32"/>
      <w:lang w:val="en-GB" w:eastAsia="en-GB"/>
    </w:rPr>
  </w:style>
  <w:style w:type="paragraph" w:styleId="Revision">
    <w:name w:val="Revision"/>
    <w:hidden/>
    <w:uiPriority w:val="99"/>
    <w:semiHidden/>
    <w:rsid w:val="00135D51"/>
    <w:rPr>
      <w:rFonts w:ascii="Arial" w:hAnsi="Arial"/>
      <w:sz w:val="22"/>
      <w:szCs w:val="22"/>
      <w:lang w:val="sr-Cyrl-CS"/>
    </w:rPr>
  </w:style>
  <w:style w:type="paragraph" w:customStyle="1" w:styleId="pn1">
    <w:name w:val="pn1"/>
    <w:basedOn w:val="Normal"/>
    <w:rsid w:val="00135D51"/>
    <w:pPr>
      <w:spacing w:before="100" w:beforeAutospacing="1" w:after="100" w:afterAutospacing="1" w:line="240" w:lineRule="auto"/>
      <w:jc w:val="left"/>
    </w:pPr>
    <w:rPr>
      <w:rFonts w:ascii="Times New Roman" w:eastAsia="Times New Roman" w:hAnsi="Times New Roman"/>
      <w:sz w:val="24"/>
      <w:szCs w:val="24"/>
      <w:lang w:val="en-US"/>
    </w:rPr>
  </w:style>
  <w:style w:type="numbering" w:customStyle="1" w:styleId="NoList1">
    <w:name w:val="No List1"/>
    <w:next w:val="NoList"/>
    <w:uiPriority w:val="99"/>
    <w:semiHidden/>
    <w:unhideWhenUsed/>
    <w:rsid w:val="00135D51"/>
  </w:style>
  <w:style w:type="table" w:customStyle="1" w:styleId="TableGrid1">
    <w:name w:val="Table Grid1"/>
    <w:basedOn w:val="TableNormal"/>
    <w:next w:val="TableGrid"/>
    <w:uiPriority w:val="59"/>
    <w:rsid w:val="00135D51"/>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35D51"/>
  </w:style>
  <w:style w:type="table" w:customStyle="1" w:styleId="TableGrid2">
    <w:name w:val="Table Grid2"/>
    <w:basedOn w:val="TableNormal"/>
    <w:next w:val="TableGrid"/>
    <w:uiPriority w:val="59"/>
    <w:rsid w:val="00135D5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izvestaj-heading31">
    <w:name w:val="izvestaj-heading31"/>
    <w:uiPriority w:val="99"/>
    <w:rsid w:val="00135D51"/>
  </w:style>
  <w:style w:type="numbering" w:customStyle="1" w:styleId="NoList11">
    <w:name w:val="No List11"/>
    <w:next w:val="NoList"/>
    <w:uiPriority w:val="99"/>
    <w:semiHidden/>
    <w:unhideWhenUsed/>
    <w:rsid w:val="00135D51"/>
  </w:style>
  <w:style w:type="table" w:customStyle="1" w:styleId="TableGrid11">
    <w:name w:val="Table Grid11"/>
    <w:basedOn w:val="TableNormal"/>
    <w:next w:val="TableGrid"/>
    <w:uiPriority w:val="59"/>
    <w:rsid w:val="00135D51"/>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135D51"/>
    <w:pPr>
      <w:spacing w:before="0" w:after="0" w:line="240" w:lineRule="auto"/>
    </w:pPr>
    <w:rPr>
      <w:rFonts w:ascii="Tahoma" w:hAnsi="Tahoma"/>
      <w:sz w:val="16"/>
      <w:szCs w:val="16"/>
    </w:rPr>
  </w:style>
  <w:style w:type="character" w:customStyle="1" w:styleId="DocumentMapChar">
    <w:name w:val="Document Map Char"/>
    <w:link w:val="DocumentMap"/>
    <w:uiPriority w:val="99"/>
    <w:semiHidden/>
    <w:rsid w:val="00135D51"/>
    <w:rPr>
      <w:rFonts w:ascii="Tahoma" w:hAnsi="Tahoma" w:cs="Tahoma"/>
      <w:sz w:val="16"/>
      <w:szCs w:val="16"/>
      <w:lang w:val="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yperlink">
    <w:name w:val="Style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33146">
      <w:bodyDiv w:val="1"/>
      <w:marLeft w:val="0"/>
      <w:marRight w:val="0"/>
      <w:marTop w:val="0"/>
      <w:marBottom w:val="0"/>
      <w:divBdr>
        <w:top w:val="none" w:sz="0" w:space="0" w:color="auto"/>
        <w:left w:val="none" w:sz="0" w:space="0" w:color="auto"/>
        <w:bottom w:val="none" w:sz="0" w:space="0" w:color="auto"/>
        <w:right w:val="none" w:sz="0" w:space="0" w:color="auto"/>
      </w:divBdr>
    </w:div>
    <w:div w:id="605159742">
      <w:bodyDiv w:val="1"/>
      <w:marLeft w:val="0"/>
      <w:marRight w:val="0"/>
      <w:marTop w:val="0"/>
      <w:marBottom w:val="0"/>
      <w:divBdr>
        <w:top w:val="none" w:sz="0" w:space="0" w:color="auto"/>
        <w:left w:val="none" w:sz="0" w:space="0" w:color="auto"/>
        <w:bottom w:val="none" w:sz="0" w:space="0" w:color="auto"/>
        <w:right w:val="none" w:sz="0" w:space="0" w:color="auto"/>
      </w:divBdr>
    </w:div>
    <w:div w:id="14337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46158-FCCC-4D4F-97A7-C5E3CFAD1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228</Pages>
  <Words>98428</Words>
  <Characters>561045</Characters>
  <Application>Microsoft Office Word</Application>
  <DocSecurity>0</DocSecurity>
  <Lines>4675</Lines>
  <Paragraphs>1316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658157</CharactersWithSpaces>
  <SharedDoc>false</SharedDoc>
  <HLinks>
    <vt:vector size="534" baseType="variant">
      <vt:variant>
        <vt:i4>5963889</vt:i4>
      </vt:variant>
      <vt:variant>
        <vt:i4>528</vt:i4>
      </vt:variant>
      <vt:variant>
        <vt:i4>0</vt:i4>
      </vt:variant>
      <vt:variant>
        <vt:i4>5</vt:i4>
      </vt:variant>
      <vt:variant>
        <vt:lpwstr>https://www.google.rs/url?sa=t&amp;rct=j&amp;q=&amp;esrc=s&amp;source=web&amp;cd=1&amp;cad=rja&amp;uact=8&amp;ved=0ahUKEwjbzcGzz9DRAhUkEJoKHdvDDycQFggcMAA&amp;url=http%3A%2F%2Fwww.mpn.gov.rs%2F&amp;usg=AFQjCNEP_-Xtt4u-D0t3_14Xt_bdKAqDug&amp;sig2=wXPyYntHerdYnTSPiZw9aA&amp;bvm=bv.144224172,d.bGs</vt:lpwstr>
      </vt:variant>
      <vt:variant>
        <vt:lpwstr/>
      </vt:variant>
      <vt:variant>
        <vt:i4>3932195</vt:i4>
      </vt:variant>
      <vt:variant>
        <vt:i4>525</vt:i4>
      </vt:variant>
      <vt:variant>
        <vt:i4>0</vt:i4>
      </vt:variant>
      <vt:variant>
        <vt:i4>5</vt:i4>
      </vt:variant>
      <vt:variant>
        <vt:lpwstr>https://www.google.rs/url?sa=t&amp;rct=j&amp;q=&amp;esrc=s&amp;source=web&amp;cd=1&amp;cad=rja&amp;uact=8&amp;ved=0ahUKEwiZt8mIz9DRAhUFYJoKHfYSA7EQFggaMAA&amp;url=http%3A%2F%2Fwww.zuov.gov.rs%2F&amp;usg=AFQjCNEbD_U7XOIm91VW1H_wsBDIql0JOw&amp;sig2=InmXDbSvxeZ793csDkvdfg&amp;bvm=bv.144224172,d.bGs</vt:lpwstr>
      </vt:variant>
      <vt:variant>
        <vt:lpwstr/>
      </vt:variant>
      <vt:variant>
        <vt:i4>1179710</vt:i4>
      </vt:variant>
      <vt:variant>
        <vt:i4>518</vt:i4>
      </vt:variant>
      <vt:variant>
        <vt:i4>0</vt:i4>
      </vt:variant>
      <vt:variant>
        <vt:i4>5</vt:i4>
      </vt:variant>
      <vt:variant>
        <vt:lpwstr/>
      </vt:variant>
      <vt:variant>
        <vt:lpwstr>_Toc477251813</vt:lpwstr>
      </vt:variant>
      <vt:variant>
        <vt:i4>1179710</vt:i4>
      </vt:variant>
      <vt:variant>
        <vt:i4>512</vt:i4>
      </vt:variant>
      <vt:variant>
        <vt:i4>0</vt:i4>
      </vt:variant>
      <vt:variant>
        <vt:i4>5</vt:i4>
      </vt:variant>
      <vt:variant>
        <vt:lpwstr/>
      </vt:variant>
      <vt:variant>
        <vt:lpwstr>_Toc477251812</vt:lpwstr>
      </vt:variant>
      <vt:variant>
        <vt:i4>1179710</vt:i4>
      </vt:variant>
      <vt:variant>
        <vt:i4>506</vt:i4>
      </vt:variant>
      <vt:variant>
        <vt:i4>0</vt:i4>
      </vt:variant>
      <vt:variant>
        <vt:i4>5</vt:i4>
      </vt:variant>
      <vt:variant>
        <vt:lpwstr/>
      </vt:variant>
      <vt:variant>
        <vt:lpwstr>_Toc477251811</vt:lpwstr>
      </vt:variant>
      <vt:variant>
        <vt:i4>1179710</vt:i4>
      </vt:variant>
      <vt:variant>
        <vt:i4>500</vt:i4>
      </vt:variant>
      <vt:variant>
        <vt:i4>0</vt:i4>
      </vt:variant>
      <vt:variant>
        <vt:i4>5</vt:i4>
      </vt:variant>
      <vt:variant>
        <vt:lpwstr/>
      </vt:variant>
      <vt:variant>
        <vt:lpwstr>_Toc477251810</vt:lpwstr>
      </vt:variant>
      <vt:variant>
        <vt:i4>1245246</vt:i4>
      </vt:variant>
      <vt:variant>
        <vt:i4>494</vt:i4>
      </vt:variant>
      <vt:variant>
        <vt:i4>0</vt:i4>
      </vt:variant>
      <vt:variant>
        <vt:i4>5</vt:i4>
      </vt:variant>
      <vt:variant>
        <vt:lpwstr/>
      </vt:variant>
      <vt:variant>
        <vt:lpwstr>_Toc477251809</vt:lpwstr>
      </vt:variant>
      <vt:variant>
        <vt:i4>1245246</vt:i4>
      </vt:variant>
      <vt:variant>
        <vt:i4>488</vt:i4>
      </vt:variant>
      <vt:variant>
        <vt:i4>0</vt:i4>
      </vt:variant>
      <vt:variant>
        <vt:i4>5</vt:i4>
      </vt:variant>
      <vt:variant>
        <vt:lpwstr/>
      </vt:variant>
      <vt:variant>
        <vt:lpwstr>_Toc477251808</vt:lpwstr>
      </vt:variant>
      <vt:variant>
        <vt:i4>1245246</vt:i4>
      </vt:variant>
      <vt:variant>
        <vt:i4>482</vt:i4>
      </vt:variant>
      <vt:variant>
        <vt:i4>0</vt:i4>
      </vt:variant>
      <vt:variant>
        <vt:i4>5</vt:i4>
      </vt:variant>
      <vt:variant>
        <vt:lpwstr/>
      </vt:variant>
      <vt:variant>
        <vt:lpwstr>_Toc477251807</vt:lpwstr>
      </vt:variant>
      <vt:variant>
        <vt:i4>1245246</vt:i4>
      </vt:variant>
      <vt:variant>
        <vt:i4>476</vt:i4>
      </vt:variant>
      <vt:variant>
        <vt:i4>0</vt:i4>
      </vt:variant>
      <vt:variant>
        <vt:i4>5</vt:i4>
      </vt:variant>
      <vt:variant>
        <vt:lpwstr/>
      </vt:variant>
      <vt:variant>
        <vt:lpwstr>_Toc477251806</vt:lpwstr>
      </vt:variant>
      <vt:variant>
        <vt:i4>1245246</vt:i4>
      </vt:variant>
      <vt:variant>
        <vt:i4>470</vt:i4>
      </vt:variant>
      <vt:variant>
        <vt:i4>0</vt:i4>
      </vt:variant>
      <vt:variant>
        <vt:i4>5</vt:i4>
      </vt:variant>
      <vt:variant>
        <vt:lpwstr/>
      </vt:variant>
      <vt:variant>
        <vt:lpwstr>_Toc477251805</vt:lpwstr>
      </vt:variant>
      <vt:variant>
        <vt:i4>1245246</vt:i4>
      </vt:variant>
      <vt:variant>
        <vt:i4>464</vt:i4>
      </vt:variant>
      <vt:variant>
        <vt:i4>0</vt:i4>
      </vt:variant>
      <vt:variant>
        <vt:i4>5</vt:i4>
      </vt:variant>
      <vt:variant>
        <vt:lpwstr/>
      </vt:variant>
      <vt:variant>
        <vt:lpwstr>_Toc477251804</vt:lpwstr>
      </vt:variant>
      <vt:variant>
        <vt:i4>1245246</vt:i4>
      </vt:variant>
      <vt:variant>
        <vt:i4>458</vt:i4>
      </vt:variant>
      <vt:variant>
        <vt:i4>0</vt:i4>
      </vt:variant>
      <vt:variant>
        <vt:i4>5</vt:i4>
      </vt:variant>
      <vt:variant>
        <vt:lpwstr/>
      </vt:variant>
      <vt:variant>
        <vt:lpwstr>_Toc477251803</vt:lpwstr>
      </vt:variant>
      <vt:variant>
        <vt:i4>1245246</vt:i4>
      </vt:variant>
      <vt:variant>
        <vt:i4>452</vt:i4>
      </vt:variant>
      <vt:variant>
        <vt:i4>0</vt:i4>
      </vt:variant>
      <vt:variant>
        <vt:i4>5</vt:i4>
      </vt:variant>
      <vt:variant>
        <vt:lpwstr/>
      </vt:variant>
      <vt:variant>
        <vt:lpwstr>_Toc477251802</vt:lpwstr>
      </vt:variant>
      <vt:variant>
        <vt:i4>1245246</vt:i4>
      </vt:variant>
      <vt:variant>
        <vt:i4>446</vt:i4>
      </vt:variant>
      <vt:variant>
        <vt:i4>0</vt:i4>
      </vt:variant>
      <vt:variant>
        <vt:i4>5</vt:i4>
      </vt:variant>
      <vt:variant>
        <vt:lpwstr/>
      </vt:variant>
      <vt:variant>
        <vt:lpwstr>_Toc477251801</vt:lpwstr>
      </vt:variant>
      <vt:variant>
        <vt:i4>1245246</vt:i4>
      </vt:variant>
      <vt:variant>
        <vt:i4>440</vt:i4>
      </vt:variant>
      <vt:variant>
        <vt:i4>0</vt:i4>
      </vt:variant>
      <vt:variant>
        <vt:i4>5</vt:i4>
      </vt:variant>
      <vt:variant>
        <vt:lpwstr/>
      </vt:variant>
      <vt:variant>
        <vt:lpwstr>_Toc477251800</vt:lpwstr>
      </vt:variant>
      <vt:variant>
        <vt:i4>1703985</vt:i4>
      </vt:variant>
      <vt:variant>
        <vt:i4>434</vt:i4>
      </vt:variant>
      <vt:variant>
        <vt:i4>0</vt:i4>
      </vt:variant>
      <vt:variant>
        <vt:i4>5</vt:i4>
      </vt:variant>
      <vt:variant>
        <vt:lpwstr/>
      </vt:variant>
      <vt:variant>
        <vt:lpwstr>_Toc477251799</vt:lpwstr>
      </vt:variant>
      <vt:variant>
        <vt:i4>1703985</vt:i4>
      </vt:variant>
      <vt:variant>
        <vt:i4>428</vt:i4>
      </vt:variant>
      <vt:variant>
        <vt:i4>0</vt:i4>
      </vt:variant>
      <vt:variant>
        <vt:i4>5</vt:i4>
      </vt:variant>
      <vt:variant>
        <vt:lpwstr/>
      </vt:variant>
      <vt:variant>
        <vt:lpwstr>_Toc477251798</vt:lpwstr>
      </vt:variant>
      <vt:variant>
        <vt:i4>1703985</vt:i4>
      </vt:variant>
      <vt:variant>
        <vt:i4>422</vt:i4>
      </vt:variant>
      <vt:variant>
        <vt:i4>0</vt:i4>
      </vt:variant>
      <vt:variant>
        <vt:i4>5</vt:i4>
      </vt:variant>
      <vt:variant>
        <vt:lpwstr/>
      </vt:variant>
      <vt:variant>
        <vt:lpwstr>_Toc477251797</vt:lpwstr>
      </vt:variant>
      <vt:variant>
        <vt:i4>1703985</vt:i4>
      </vt:variant>
      <vt:variant>
        <vt:i4>416</vt:i4>
      </vt:variant>
      <vt:variant>
        <vt:i4>0</vt:i4>
      </vt:variant>
      <vt:variant>
        <vt:i4>5</vt:i4>
      </vt:variant>
      <vt:variant>
        <vt:lpwstr/>
      </vt:variant>
      <vt:variant>
        <vt:lpwstr>_Toc477251796</vt:lpwstr>
      </vt:variant>
      <vt:variant>
        <vt:i4>1703985</vt:i4>
      </vt:variant>
      <vt:variant>
        <vt:i4>410</vt:i4>
      </vt:variant>
      <vt:variant>
        <vt:i4>0</vt:i4>
      </vt:variant>
      <vt:variant>
        <vt:i4>5</vt:i4>
      </vt:variant>
      <vt:variant>
        <vt:lpwstr/>
      </vt:variant>
      <vt:variant>
        <vt:lpwstr>_Toc477251795</vt:lpwstr>
      </vt:variant>
      <vt:variant>
        <vt:i4>1703985</vt:i4>
      </vt:variant>
      <vt:variant>
        <vt:i4>404</vt:i4>
      </vt:variant>
      <vt:variant>
        <vt:i4>0</vt:i4>
      </vt:variant>
      <vt:variant>
        <vt:i4>5</vt:i4>
      </vt:variant>
      <vt:variant>
        <vt:lpwstr/>
      </vt:variant>
      <vt:variant>
        <vt:lpwstr>_Toc477251794</vt:lpwstr>
      </vt:variant>
      <vt:variant>
        <vt:i4>1703985</vt:i4>
      </vt:variant>
      <vt:variant>
        <vt:i4>398</vt:i4>
      </vt:variant>
      <vt:variant>
        <vt:i4>0</vt:i4>
      </vt:variant>
      <vt:variant>
        <vt:i4>5</vt:i4>
      </vt:variant>
      <vt:variant>
        <vt:lpwstr/>
      </vt:variant>
      <vt:variant>
        <vt:lpwstr>_Toc477251793</vt:lpwstr>
      </vt:variant>
      <vt:variant>
        <vt:i4>1703985</vt:i4>
      </vt:variant>
      <vt:variant>
        <vt:i4>392</vt:i4>
      </vt:variant>
      <vt:variant>
        <vt:i4>0</vt:i4>
      </vt:variant>
      <vt:variant>
        <vt:i4>5</vt:i4>
      </vt:variant>
      <vt:variant>
        <vt:lpwstr/>
      </vt:variant>
      <vt:variant>
        <vt:lpwstr>_Toc477251792</vt:lpwstr>
      </vt:variant>
      <vt:variant>
        <vt:i4>1769521</vt:i4>
      </vt:variant>
      <vt:variant>
        <vt:i4>386</vt:i4>
      </vt:variant>
      <vt:variant>
        <vt:i4>0</vt:i4>
      </vt:variant>
      <vt:variant>
        <vt:i4>5</vt:i4>
      </vt:variant>
      <vt:variant>
        <vt:lpwstr/>
      </vt:variant>
      <vt:variant>
        <vt:lpwstr>_Toc477251787</vt:lpwstr>
      </vt:variant>
      <vt:variant>
        <vt:i4>1769521</vt:i4>
      </vt:variant>
      <vt:variant>
        <vt:i4>380</vt:i4>
      </vt:variant>
      <vt:variant>
        <vt:i4>0</vt:i4>
      </vt:variant>
      <vt:variant>
        <vt:i4>5</vt:i4>
      </vt:variant>
      <vt:variant>
        <vt:lpwstr/>
      </vt:variant>
      <vt:variant>
        <vt:lpwstr>_Toc477251786</vt:lpwstr>
      </vt:variant>
      <vt:variant>
        <vt:i4>1769521</vt:i4>
      </vt:variant>
      <vt:variant>
        <vt:i4>374</vt:i4>
      </vt:variant>
      <vt:variant>
        <vt:i4>0</vt:i4>
      </vt:variant>
      <vt:variant>
        <vt:i4>5</vt:i4>
      </vt:variant>
      <vt:variant>
        <vt:lpwstr/>
      </vt:variant>
      <vt:variant>
        <vt:lpwstr>_Toc477251785</vt:lpwstr>
      </vt:variant>
      <vt:variant>
        <vt:i4>1769521</vt:i4>
      </vt:variant>
      <vt:variant>
        <vt:i4>368</vt:i4>
      </vt:variant>
      <vt:variant>
        <vt:i4>0</vt:i4>
      </vt:variant>
      <vt:variant>
        <vt:i4>5</vt:i4>
      </vt:variant>
      <vt:variant>
        <vt:lpwstr/>
      </vt:variant>
      <vt:variant>
        <vt:lpwstr>_Toc477251783</vt:lpwstr>
      </vt:variant>
      <vt:variant>
        <vt:i4>1769521</vt:i4>
      </vt:variant>
      <vt:variant>
        <vt:i4>362</vt:i4>
      </vt:variant>
      <vt:variant>
        <vt:i4>0</vt:i4>
      </vt:variant>
      <vt:variant>
        <vt:i4>5</vt:i4>
      </vt:variant>
      <vt:variant>
        <vt:lpwstr/>
      </vt:variant>
      <vt:variant>
        <vt:lpwstr>_Toc477251782</vt:lpwstr>
      </vt:variant>
      <vt:variant>
        <vt:i4>1769521</vt:i4>
      </vt:variant>
      <vt:variant>
        <vt:i4>356</vt:i4>
      </vt:variant>
      <vt:variant>
        <vt:i4>0</vt:i4>
      </vt:variant>
      <vt:variant>
        <vt:i4>5</vt:i4>
      </vt:variant>
      <vt:variant>
        <vt:lpwstr/>
      </vt:variant>
      <vt:variant>
        <vt:lpwstr>_Toc477251781</vt:lpwstr>
      </vt:variant>
      <vt:variant>
        <vt:i4>1769521</vt:i4>
      </vt:variant>
      <vt:variant>
        <vt:i4>350</vt:i4>
      </vt:variant>
      <vt:variant>
        <vt:i4>0</vt:i4>
      </vt:variant>
      <vt:variant>
        <vt:i4>5</vt:i4>
      </vt:variant>
      <vt:variant>
        <vt:lpwstr/>
      </vt:variant>
      <vt:variant>
        <vt:lpwstr>_Toc477251780</vt:lpwstr>
      </vt:variant>
      <vt:variant>
        <vt:i4>1310769</vt:i4>
      </vt:variant>
      <vt:variant>
        <vt:i4>344</vt:i4>
      </vt:variant>
      <vt:variant>
        <vt:i4>0</vt:i4>
      </vt:variant>
      <vt:variant>
        <vt:i4>5</vt:i4>
      </vt:variant>
      <vt:variant>
        <vt:lpwstr/>
      </vt:variant>
      <vt:variant>
        <vt:lpwstr>_Toc477251778</vt:lpwstr>
      </vt:variant>
      <vt:variant>
        <vt:i4>1310769</vt:i4>
      </vt:variant>
      <vt:variant>
        <vt:i4>338</vt:i4>
      </vt:variant>
      <vt:variant>
        <vt:i4>0</vt:i4>
      </vt:variant>
      <vt:variant>
        <vt:i4>5</vt:i4>
      </vt:variant>
      <vt:variant>
        <vt:lpwstr/>
      </vt:variant>
      <vt:variant>
        <vt:lpwstr>_Toc477251777</vt:lpwstr>
      </vt:variant>
      <vt:variant>
        <vt:i4>1310769</vt:i4>
      </vt:variant>
      <vt:variant>
        <vt:i4>332</vt:i4>
      </vt:variant>
      <vt:variant>
        <vt:i4>0</vt:i4>
      </vt:variant>
      <vt:variant>
        <vt:i4>5</vt:i4>
      </vt:variant>
      <vt:variant>
        <vt:lpwstr/>
      </vt:variant>
      <vt:variant>
        <vt:lpwstr>_Toc477251776</vt:lpwstr>
      </vt:variant>
      <vt:variant>
        <vt:i4>1310769</vt:i4>
      </vt:variant>
      <vt:variant>
        <vt:i4>326</vt:i4>
      </vt:variant>
      <vt:variant>
        <vt:i4>0</vt:i4>
      </vt:variant>
      <vt:variant>
        <vt:i4>5</vt:i4>
      </vt:variant>
      <vt:variant>
        <vt:lpwstr/>
      </vt:variant>
      <vt:variant>
        <vt:lpwstr>_Toc477251775</vt:lpwstr>
      </vt:variant>
      <vt:variant>
        <vt:i4>1310769</vt:i4>
      </vt:variant>
      <vt:variant>
        <vt:i4>320</vt:i4>
      </vt:variant>
      <vt:variant>
        <vt:i4>0</vt:i4>
      </vt:variant>
      <vt:variant>
        <vt:i4>5</vt:i4>
      </vt:variant>
      <vt:variant>
        <vt:lpwstr/>
      </vt:variant>
      <vt:variant>
        <vt:lpwstr>_Toc477251774</vt:lpwstr>
      </vt:variant>
      <vt:variant>
        <vt:i4>1310769</vt:i4>
      </vt:variant>
      <vt:variant>
        <vt:i4>314</vt:i4>
      </vt:variant>
      <vt:variant>
        <vt:i4>0</vt:i4>
      </vt:variant>
      <vt:variant>
        <vt:i4>5</vt:i4>
      </vt:variant>
      <vt:variant>
        <vt:lpwstr/>
      </vt:variant>
      <vt:variant>
        <vt:lpwstr>_Toc477251773</vt:lpwstr>
      </vt:variant>
      <vt:variant>
        <vt:i4>1310769</vt:i4>
      </vt:variant>
      <vt:variant>
        <vt:i4>308</vt:i4>
      </vt:variant>
      <vt:variant>
        <vt:i4>0</vt:i4>
      </vt:variant>
      <vt:variant>
        <vt:i4>5</vt:i4>
      </vt:variant>
      <vt:variant>
        <vt:lpwstr/>
      </vt:variant>
      <vt:variant>
        <vt:lpwstr>_Toc477251772</vt:lpwstr>
      </vt:variant>
      <vt:variant>
        <vt:i4>1310769</vt:i4>
      </vt:variant>
      <vt:variant>
        <vt:i4>302</vt:i4>
      </vt:variant>
      <vt:variant>
        <vt:i4>0</vt:i4>
      </vt:variant>
      <vt:variant>
        <vt:i4>5</vt:i4>
      </vt:variant>
      <vt:variant>
        <vt:lpwstr/>
      </vt:variant>
      <vt:variant>
        <vt:lpwstr>_Toc477251771</vt:lpwstr>
      </vt:variant>
      <vt:variant>
        <vt:i4>1310769</vt:i4>
      </vt:variant>
      <vt:variant>
        <vt:i4>296</vt:i4>
      </vt:variant>
      <vt:variant>
        <vt:i4>0</vt:i4>
      </vt:variant>
      <vt:variant>
        <vt:i4>5</vt:i4>
      </vt:variant>
      <vt:variant>
        <vt:lpwstr/>
      </vt:variant>
      <vt:variant>
        <vt:lpwstr>_Toc477251770</vt:lpwstr>
      </vt:variant>
      <vt:variant>
        <vt:i4>1376305</vt:i4>
      </vt:variant>
      <vt:variant>
        <vt:i4>290</vt:i4>
      </vt:variant>
      <vt:variant>
        <vt:i4>0</vt:i4>
      </vt:variant>
      <vt:variant>
        <vt:i4>5</vt:i4>
      </vt:variant>
      <vt:variant>
        <vt:lpwstr/>
      </vt:variant>
      <vt:variant>
        <vt:lpwstr>_Toc477251767</vt:lpwstr>
      </vt:variant>
      <vt:variant>
        <vt:i4>1376305</vt:i4>
      </vt:variant>
      <vt:variant>
        <vt:i4>284</vt:i4>
      </vt:variant>
      <vt:variant>
        <vt:i4>0</vt:i4>
      </vt:variant>
      <vt:variant>
        <vt:i4>5</vt:i4>
      </vt:variant>
      <vt:variant>
        <vt:lpwstr/>
      </vt:variant>
      <vt:variant>
        <vt:lpwstr>_Toc477251766</vt:lpwstr>
      </vt:variant>
      <vt:variant>
        <vt:i4>1376305</vt:i4>
      </vt:variant>
      <vt:variant>
        <vt:i4>278</vt:i4>
      </vt:variant>
      <vt:variant>
        <vt:i4>0</vt:i4>
      </vt:variant>
      <vt:variant>
        <vt:i4>5</vt:i4>
      </vt:variant>
      <vt:variant>
        <vt:lpwstr/>
      </vt:variant>
      <vt:variant>
        <vt:lpwstr>_Toc477251765</vt:lpwstr>
      </vt:variant>
      <vt:variant>
        <vt:i4>1376305</vt:i4>
      </vt:variant>
      <vt:variant>
        <vt:i4>272</vt:i4>
      </vt:variant>
      <vt:variant>
        <vt:i4>0</vt:i4>
      </vt:variant>
      <vt:variant>
        <vt:i4>5</vt:i4>
      </vt:variant>
      <vt:variant>
        <vt:lpwstr/>
      </vt:variant>
      <vt:variant>
        <vt:lpwstr>_Toc477251764</vt:lpwstr>
      </vt:variant>
      <vt:variant>
        <vt:i4>1376305</vt:i4>
      </vt:variant>
      <vt:variant>
        <vt:i4>266</vt:i4>
      </vt:variant>
      <vt:variant>
        <vt:i4>0</vt:i4>
      </vt:variant>
      <vt:variant>
        <vt:i4>5</vt:i4>
      </vt:variant>
      <vt:variant>
        <vt:lpwstr/>
      </vt:variant>
      <vt:variant>
        <vt:lpwstr>_Toc477251763</vt:lpwstr>
      </vt:variant>
      <vt:variant>
        <vt:i4>1376305</vt:i4>
      </vt:variant>
      <vt:variant>
        <vt:i4>260</vt:i4>
      </vt:variant>
      <vt:variant>
        <vt:i4>0</vt:i4>
      </vt:variant>
      <vt:variant>
        <vt:i4>5</vt:i4>
      </vt:variant>
      <vt:variant>
        <vt:lpwstr/>
      </vt:variant>
      <vt:variant>
        <vt:lpwstr>_Toc477251762</vt:lpwstr>
      </vt:variant>
      <vt:variant>
        <vt:i4>1376305</vt:i4>
      </vt:variant>
      <vt:variant>
        <vt:i4>254</vt:i4>
      </vt:variant>
      <vt:variant>
        <vt:i4>0</vt:i4>
      </vt:variant>
      <vt:variant>
        <vt:i4>5</vt:i4>
      </vt:variant>
      <vt:variant>
        <vt:lpwstr/>
      </vt:variant>
      <vt:variant>
        <vt:lpwstr>_Toc477251761</vt:lpwstr>
      </vt:variant>
      <vt:variant>
        <vt:i4>1441841</vt:i4>
      </vt:variant>
      <vt:variant>
        <vt:i4>248</vt:i4>
      </vt:variant>
      <vt:variant>
        <vt:i4>0</vt:i4>
      </vt:variant>
      <vt:variant>
        <vt:i4>5</vt:i4>
      </vt:variant>
      <vt:variant>
        <vt:lpwstr/>
      </vt:variant>
      <vt:variant>
        <vt:lpwstr>_Toc477251759</vt:lpwstr>
      </vt:variant>
      <vt:variant>
        <vt:i4>1441841</vt:i4>
      </vt:variant>
      <vt:variant>
        <vt:i4>242</vt:i4>
      </vt:variant>
      <vt:variant>
        <vt:i4>0</vt:i4>
      </vt:variant>
      <vt:variant>
        <vt:i4>5</vt:i4>
      </vt:variant>
      <vt:variant>
        <vt:lpwstr/>
      </vt:variant>
      <vt:variant>
        <vt:lpwstr>_Toc477251758</vt:lpwstr>
      </vt:variant>
      <vt:variant>
        <vt:i4>1441841</vt:i4>
      </vt:variant>
      <vt:variant>
        <vt:i4>236</vt:i4>
      </vt:variant>
      <vt:variant>
        <vt:i4>0</vt:i4>
      </vt:variant>
      <vt:variant>
        <vt:i4>5</vt:i4>
      </vt:variant>
      <vt:variant>
        <vt:lpwstr/>
      </vt:variant>
      <vt:variant>
        <vt:lpwstr>_Toc477251757</vt:lpwstr>
      </vt:variant>
      <vt:variant>
        <vt:i4>1441841</vt:i4>
      </vt:variant>
      <vt:variant>
        <vt:i4>230</vt:i4>
      </vt:variant>
      <vt:variant>
        <vt:i4>0</vt:i4>
      </vt:variant>
      <vt:variant>
        <vt:i4>5</vt:i4>
      </vt:variant>
      <vt:variant>
        <vt:lpwstr/>
      </vt:variant>
      <vt:variant>
        <vt:lpwstr>_Toc477251756</vt:lpwstr>
      </vt:variant>
      <vt:variant>
        <vt:i4>1441841</vt:i4>
      </vt:variant>
      <vt:variant>
        <vt:i4>224</vt:i4>
      </vt:variant>
      <vt:variant>
        <vt:i4>0</vt:i4>
      </vt:variant>
      <vt:variant>
        <vt:i4>5</vt:i4>
      </vt:variant>
      <vt:variant>
        <vt:lpwstr/>
      </vt:variant>
      <vt:variant>
        <vt:lpwstr>_Toc477251755</vt:lpwstr>
      </vt:variant>
      <vt:variant>
        <vt:i4>1441841</vt:i4>
      </vt:variant>
      <vt:variant>
        <vt:i4>218</vt:i4>
      </vt:variant>
      <vt:variant>
        <vt:i4>0</vt:i4>
      </vt:variant>
      <vt:variant>
        <vt:i4>5</vt:i4>
      </vt:variant>
      <vt:variant>
        <vt:lpwstr/>
      </vt:variant>
      <vt:variant>
        <vt:lpwstr>_Toc477251754</vt:lpwstr>
      </vt:variant>
      <vt:variant>
        <vt:i4>1441841</vt:i4>
      </vt:variant>
      <vt:variant>
        <vt:i4>212</vt:i4>
      </vt:variant>
      <vt:variant>
        <vt:i4>0</vt:i4>
      </vt:variant>
      <vt:variant>
        <vt:i4>5</vt:i4>
      </vt:variant>
      <vt:variant>
        <vt:lpwstr/>
      </vt:variant>
      <vt:variant>
        <vt:lpwstr>_Toc477251753</vt:lpwstr>
      </vt:variant>
      <vt:variant>
        <vt:i4>1441841</vt:i4>
      </vt:variant>
      <vt:variant>
        <vt:i4>206</vt:i4>
      </vt:variant>
      <vt:variant>
        <vt:i4>0</vt:i4>
      </vt:variant>
      <vt:variant>
        <vt:i4>5</vt:i4>
      </vt:variant>
      <vt:variant>
        <vt:lpwstr/>
      </vt:variant>
      <vt:variant>
        <vt:lpwstr>_Toc477251752</vt:lpwstr>
      </vt:variant>
      <vt:variant>
        <vt:i4>1507377</vt:i4>
      </vt:variant>
      <vt:variant>
        <vt:i4>200</vt:i4>
      </vt:variant>
      <vt:variant>
        <vt:i4>0</vt:i4>
      </vt:variant>
      <vt:variant>
        <vt:i4>5</vt:i4>
      </vt:variant>
      <vt:variant>
        <vt:lpwstr/>
      </vt:variant>
      <vt:variant>
        <vt:lpwstr>_Toc477251748</vt:lpwstr>
      </vt:variant>
      <vt:variant>
        <vt:i4>1507377</vt:i4>
      </vt:variant>
      <vt:variant>
        <vt:i4>194</vt:i4>
      </vt:variant>
      <vt:variant>
        <vt:i4>0</vt:i4>
      </vt:variant>
      <vt:variant>
        <vt:i4>5</vt:i4>
      </vt:variant>
      <vt:variant>
        <vt:lpwstr/>
      </vt:variant>
      <vt:variant>
        <vt:lpwstr>_Toc477251747</vt:lpwstr>
      </vt:variant>
      <vt:variant>
        <vt:i4>1507377</vt:i4>
      </vt:variant>
      <vt:variant>
        <vt:i4>188</vt:i4>
      </vt:variant>
      <vt:variant>
        <vt:i4>0</vt:i4>
      </vt:variant>
      <vt:variant>
        <vt:i4>5</vt:i4>
      </vt:variant>
      <vt:variant>
        <vt:lpwstr/>
      </vt:variant>
      <vt:variant>
        <vt:lpwstr>_Toc477251746</vt:lpwstr>
      </vt:variant>
      <vt:variant>
        <vt:i4>1507377</vt:i4>
      </vt:variant>
      <vt:variant>
        <vt:i4>182</vt:i4>
      </vt:variant>
      <vt:variant>
        <vt:i4>0</vt:i4>
      </vt:variant>
      <vt:variant>
        <vt:i4>5</vt:i4>
      </vt:variant>
      <vt:variant>
        <vt:lpwstr/>
      </vt:variant>
      <vt:variant>
        <vt:lpwstr>_Toc477251745</vt:lpwstr>
      </vt:variant>
      <vt:variant>
        <vt:i4>1507377</vt:i4>
      </vt:variant>
      <vt:variant>
        <vt:i4>176</vt:i4>
      </vt:variant>
      <vt:variant>
        <vt:i4>0</vt:i4>
      </vt:variant>
      <vt:variant>
        <vt:i4>5</vt:i4>
      </vt:variant>
      <vt:variant>
        <vt:lpwstr/>
      </vt:variant>
      <vt:variant>
        <vt:lpwstr>_Toc477251744</vt:lpwstr>
      </vt:variant>
      <vt:variant>
        <vt:i4>1507377</vt:i4>
      </vt:variant>
      <vt:variant>
        <vt:i4>170</vt:i4>
      </vt:variant>
      <vt:variant>
        <vt:i4>0</vt:i4>
      </vt:variant>
      <vt:variant>
        <vt:i4>5</vt:i4>
      </vt:variant>
      <vt:variant>
        <vt:lpwstr/>
      </vt:variant>
      <vt:variant>
        <vt:lpwstr>_Toc477251743</vt:lpwstr>
      </vt:variant>
      <vt:variant>
        <vt:i4>1507377</vt:i4>
      </vt:variant>
      <vt:variant>
        <vt:i4>164</vt:i4>
      </vt:variant>
      <vt:variant>
        <vt:i4>0</vt:i4>
      </vt:variant>
      <vt:variant>
        <vt:i4>5</vt:i4>
      </vt:variant>
      <vt:variant>
        <vt:lpwstr/>
      </vt:variant>
      <vt:variant>
        <vt:lpwstr>_Toc477251742</vt:lpwstr>
      </vt:variant>
      <vt:variant>
        <vt:i4>1507377</vt:i4>
      </vt:variant>
      <vt:variant>
        <vt:i4>158</vt:i4>
      </vt:variant>
      <vt:variant>
        <vt:i4>0</vt:i4>
      </vt:variant>
      <vt:variant>
        <vt:i4>5</vt:i4>
      </vt:variant>
      <vt:variant>
        <vt:lpwstr/>
      </vt:variant>
      <vt:variant>
        <vt:lpwstr>_Toc477251741</vt:lpwstr>
      </vt:variant>
      <vt:variant>
        <vt:i4>1507377</vt:i4>
      </vt:variant>
      <vt:variant>
        <vt:i4>152</vt:i4>
      </vt:variant>
      <vt:variant>
        <vt:i4>0</vt:i4>
      </vt:variant>
      <vt:variant>
        <vt:i4>5</vt:i4>
      </vt:variant>
      <vt:variant>
        <vt:lpwstr/>
      </vt:variant>
      <vt:variant>
        <vt:lpwstr>_Toc477251740</vt:lpwstr>
      </vt:variant>
      <vt:variant>
        <vt:i4>1048625</vt:i4>
      </vt:variant>
      <vt:variant>
        <vt:i4>146</vt:i4>
      </vt:variant>
      <vt:variant>
        <vt:i4>0</vt:i4>
      </vt:variant>
      <vt:variant>
        <vt:i4>5</vt:i4>
      </vt:variant>
      <vt:variant>
        <vt:lpwstr/>
      </vt:variant>
      <vt:variant>
        <vt:lpwstr>_Toc477251739</vt:lpwstr>
      </vt:variant>
      <vt:variant>
        <vt:i4>1048625</vt:i4>
      </vt:variant>
      <vt:variant>
        <vt:i4>140</vt:i4>
      </vt:variant>
      <vt:variant>
        <vt:i4>0</vt:i4>
      </vt:variant>
      <vt:variant>
        <vt:i4>5</vt:i4>
      </vt:variant>
      <vt:variant>
        <vt:lpwstr/>
      </vt:variant>
      <vt:variant>
        <vt:lpwstr>_Toc477251738</vt:lpwstr>
      </vt:variant>
      <vt:variant>
        <vt:i4>1048625</vt:i4>
      </vt:variant>
      <vt:variant>
        <vt:i4>134</vt:i4>
      </vt:variant>
      <vt:variant>
        <vt:i4>0</vt:i4>
      </vt:variant>
      <vt:variant>
        <vt:i4>5</vt:i4>
      </vt:variant>
      <vt:variant>
        <vt:lpwstr/>
      </vt:variant>
      <vt:variant>
        <vt:lpwstr>_Toc477251737</vt:lpwstr>
      </vt:variant>
      <vt:variant>
        <vt:i4>1048625</vt:i4>
      </vt:variant>
      <vt:variant>
        <vt:i4>128</vt:i4>
      </vt:variant>
      <vt:variant>
        <vt:i4>0</vt:i4>
      </vt:variant>
      <vt:variant>
        <vt:i4>5</vt:i4>
      </vt:variant>
      <vt:variant>
        <vt:lpwstr/>
      </vt:variant>
      <vt:variant>
        <vt:lpwstr>_Toc477251736</vt:lpwstr>
      </vt:variant>
      <vt:variant>
        <vt:i4>1048625</vt:i4>
      </vt:variant>
      <vt:variant>
        <vt:i4>122</vt:i4>
      </vt:variant>
      <vt:variant>
        <vt:i4>0</vt:i4>
      </vt:variant>
      <vt:variant>
        <vt:i4>5</vt:i4>
      </vt:variant>
      <vt:variant>
        <vt:lpwstr/>
      </vt:variant>
      <vt:variant>
        <vt:lpwstr>_Toc477251735</vt:lpwstr>
      </vt:variant>
      <vt:variant>
        <vt:i4>1048625</vt:i4>
      </vt:variant>
      <vt:variant>
        <vt:i4>116</vt:i4>
      </vt:variant>
      <vt:variant>
        <vt:i4>0</vt:i4>
      </vt:variant>
      <vt:variant>
        <vt:i4>5</vt:i4>
      </vt:variant>
      <vt:variant>
        <vt:lpwstr/>
      </vt:variant>
      <vt:variant>
        <vt:lpwstr>_Toc477251734</vt:lpwstr>
      </vt:variant>
      <vt:variant>
        <vt:i4>1048625</vt:i4>
      </vt:variant>
      <vt:variant>
        <vt:i4>110</vt:i4>
      </vt:variant>
      <vt:variant>
        <vt:i4>0</vt:i4>
      </vt:variant>
      <vt:variant>
        <vt:i4>5</vt:i4>
      </vt:variant>
      <vt:variant>
        <vt:lpwstr/>
      </vt:variant>
      <vt:variant>
        <vt:lpwstr>_Toc477251733</vt:lpwstr>
      </vt:variant>
      <vt:variant>
        <vt:i4>1048625</vt:i4>
      </vt:variant>
      <vt:variant>
        <vt:i4>104</vt:i4>
      </vt:variant>
      <vt:variant>
        <vt:i4>0</vt:i4>
      </vt:variant>
      <vt:variant>
        <vt:i4>5</vt:i4>
      </vt:variant>
      <vt:variant>
        <vt:lpwstr/>
      </vt:variant>
      <vt:variant>
        <vt:lpwstr>_Toc477251732</vt:lpwstr>
      </vt:variant>
      <vt:variant>
        <vt:i4>1048625</vt:i4>
      </vt:variant>
      <vt:variant>
        <vt:i4>98</vt:i4>
      </vt:variant>
      <vt:variant>
        <vt:i4>0</vt:i4>
      </vt:variant>
      <vt:variant>
        <vt:i4>5</vt:i4>
      </vt:variant>
      <vt:variant>
        <vt:lpwstr/>
      </vt:variant>
      <vt:variant>
        <vt:lpwstr>_Toc477251731</vt:lpwstr>
      </vt:variant>
      <vt:variant>
        <vt:i4>1048625</vt:i4>
      </vt:variant>
      <vt:variant>
        <vt:i4>92</vt:i4>
      </vt:variant>
      <vt:variant>
        <vt:i4>0</vt:i4>
      </vt:variant>
      <vt:variant>
        <vt:i4>5</vt:i4>
      </vt:variant>
      <vt:variant>
        <vt:lpwstr/>
      </vt:variant>
      <vt:variant>
        <vt:lpwstr>_Toc477251730</vt:lpwstr>
      </vt:variant>
      <vt:variant>
        <vt:i4>1114161</vt:i4>
      </vt:variant>
      <vt:variant>
        <vt:i4>86</vt:i4>
      </vt:variant>
      <vt:variant>
        <vt:i4>0</vt:i4>
      </vt:variant>
      <vt:variant>
        <vt:i4>5</vt:i4>
      </vt:variant>
      <vt:variant>
        <vt:lpwstr/>
      </vt:variant>
      <vt:variant>
        <vt:lpwstr>_Toc477251729</vt:lpwstr>
      </vt:variant>
      <vt:variant>
        <vt:i4>1114161</vt:i4>
      </vt:variant>
      <vt:variant>
        <vt:i4>80</vt:i4>
      </vt:variant>
      <vt:variant>
        <vt:i4>0</vt:i4>
      </vt:variant>
      <vt:variant>
        <vt:i4>5</vt:i4>
      </vt:variant>
      <vt:variant>
        <vt:lpwstr/>
      </vt:variant>
      <vt:variant>
        <vt:lpwstr>_Toc477251728</vt:lpwstr>
      </vt:variant>
      <vt:variant>
        <vt:i4>1114161</vt:i4>
      </vt:variant>
      <vt:variant>
        <vt:i4>74</vt:i4>
      </vt:variant>
      <vt:variant>
        <vt:i4>0</vt:i4>
      </vt:variant>
      <vt:variant>
        <vt:i4>5</vt:i4>
      </vt:variant>
      <vt:variant>
        <vt:lpwstr/>
      </vt:variant>
      <vt:variant>
        <vt:lpwstr>_Toc477251727</vt:lpwstr>
      </vt:variant>
      <vt:variant>
        <vt:i4>1114161</vt:i4>
      </vt:variant>
      <vt:variant>
        <vt:i4>68</vt:i4>
      </vt:variant>
      <vt:variant>
        <vt:i4>0</vt:i4>
      </vt:variant>
      <vt:variant>
        <vt:i4>5</vt:i4>
      </vt:variant>
      <vt:variant>
        <vt:lpwstr/>
      </vt:variant>
      <vt:variant>
        <vt:lpwstr>_Toc477251726</vt:lpwstr>
      </vt:variant>
      <vt:variant>
        <vt:i4>1114161</vt:i4>
      </vt:variant>
      <vt:variant>
        <vt:i4>62</vt:i4>
      </vt:variant>
      <vt:variant>
        <vt:i4>0</vt:i4>
      </vt:variant>
      <vt:variant>
        <vt:i4>5</vt:i4>
      </vt:variant>
      <vt:variant>
        <vt:lpwstr/>
      </vt:variant>
      <vt:variant>
        <vt:lpwstr>_Toc477251725</vt:lpwstr>
      </vt:variant>
      <vt:variant>
        <vt:i4>1114161</vt:i4>
      </vt:variant>
      <vt:variant>
        <vt:i4>56</vt:i4>
      </vt:variant>
      <vt:variant>
        <vt:i4>0</vt:i4>
      </vt:variant>
      <vt:variant>
        <vt:i4>5</vt:i4>
      </vt:variant>
      <vt:variant>
        <vt:lpwstr/>
      </vt:variant>
      <vt:variant>
        <vt:lpwstr>_Toc477251724</vt:lpwstr>
      </vt:variant>
      <vt:variant>
        <vt:i4>1114161</vt:i4>
      </vt:variant>
      <vt:variant>
        <vt:i4>50</vt:i4>
      </vt:variant>
      <vt:variant>
        <vt:i4>0</vt:i4>
      </vt:variant>
      <vt:variant>
        <vt:i4>5</vt:i4>
      </vt:variant>
      <vt:variant>
        <vt:lpwstr/>
      </vt:variant>
      <vt:variant>
        <vt:lpwstr>_Toc477251723</vt:lpwstr>
      </vt:variant>
      <vt:variant>
        <vt:i4>1114161</vt:i4>
      </vt:variant>
      <vt:variant>
        <vt:i4>44</vt:i4>
      </vt:variant>
      <vt:variant>
        <vt:i4>0</vt:i4>
      </vt:variant>
      <vt:variant>
        <vt:i4>5</vt:i4>
      </vt:variant>
      <vt:variant>
        <vt:lpwstr/>
      </vt:variant>
      <vt:variant>
        <vt:lpwstr>_Toc477251722</vt:lpwstr>
      </vt:variant>
      <vt:variant>
        <vt:i4>1114161</vt:i4>
      </vt:variant>
      <vt:variant>
        <vt:i4>38</vt:i4>
      </vt:variant>
      <vt:variant>
        <vt:i4>0</vt:i4>
      </vt:variant>
      <vt:variant>
        <vt:i4>5</vt:i4>
      </vt:variant>
      <vt:variant>
        <vt:lpwstr/>
      </vt:variant>
      <vt:variant>
        <vt:lpwstr>_Toc477251721</vt:lpwstr>
      </vt:variant>
      <vt:variant>
        <vt:i4>1114161</vt:i4>
      </vt:variant>
      <vt:variant>
        <vt:i4>32</vt:i4>
      </vt:variant>
      <vt:variant>
        <vt:i4>0</vt:i4>
      </vt:variant>
      <vt:variant>
        <vt:i4>5</vt:i4>
      </vt:variant>
      <vt:variant>
        <vt:lpwstr/>
      </vt:variant>
      <vt:variant>
        <vt:lpwstr>_Toc477251720</vt:lpwstr>
      </vt:variant>
      <vt:variant>
        <vt:i4>1179697</vt:i4>
      </vt:variant>
      <vt:variant>
        <vt:i4>26</vt:i4>
      </vt:variant>
      <vt:variant>
        <vt:i4>0</vt:i4>
      </vt:variant>
      <vt:variant>
        <vt:i4>5</vt:i4>
      </vt:variant>
      <vt:variant>
        <vt:lpwstr/>
      </vt:variant>
      <vt:variant>
        <vt:lpwstr>_Toc477251719</vt:lpwstr>
      </vt:variant>
      <vt:variant>
        <vt:i4>1179697</vt:i4>
      </vt:variant>
      <vt:variant>
        <vt:i4>20</vt:i4>
      </vt:variant>
      <vt:variant>
        <vt:i4>0</vt:i4>
      </vt:variant>
      <vt:variant>
        <vt:i4>5</vt:i4>
      </vt:variant>
      <vt:variant>
        <vt:lpwstr/>
      </vt:variant>
      <vt:variant>
        <vt:lpwstr>_Toc477251718</vt:lpwstr>
      </vt:variant>
      <vt:variant>
        <vt:i4>1179697</vt:i4>
      </vt:variant>
      <vt:variant>
        <vt:i4>14</vt:i4>
      </vt:variant>
      <vt:variant>
        <vt:i4>0</vt:i4>
      </vt:variant>
      <vt:variant>
        <vt:i4>5</vt:i4>
      </vt:variant>
      <vt:variant>
        <vt:lpwstr/>
      </vt:variant>
      <vt:variant>
        <vt:lpwstr>_Toc477251717</vt:lpwstr>
      </vt:variant>
      <vt:variant>
        <vt:i4>1179697</vt:i4>
      </vt:variant>
      <vt:variant>
        <vt:i4>8</vt:i4>
      </vt:variant>
      <vt:variant>
        <vt:i4>0</vt:i4>
      </vt:variant>
      <vt:variant>
        <vt:i4>5</vt:i4>
      </vt:variant>
      <vt:variant>
        <vt:lpwstr/>
      </vt:variant>
      <vt:variant>
        <vt:lpwstr>_Toc477251716</vt:lpwstr>
      </vt:variant>
      <vt:variant>
        <vt:i4>1179697</vt:i4>
      </vt:variant>
      <vt:variant>
        <vt:i4>2</vt:i4>
      </vt:variant>
      <vt:variant>
        <vt:i4>0</vt:i4>
      </vt:variant>
      <vt:variant>
        <vt:i4>5</vt:i4>
      </vt:variant>
      <vt:variant>
        <vt:lpwstr/>
      </vt:variant>
      <vt:variant>
        <vt:lpwstr>_Toc477251715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 Ristovski</dc:creator>
  <cp:lastModifiedBy>Zlatana Maletić</cp:lastModifiedBy>
  <cp:revision>224</cp:revision>
  <cp:lastPrinted>2017-03-14T20:17:00Z</cp:lastPrinted>
  <dcterms:created xsi:type="dcterms:W3CDTF">2017-05-22T13:20:00Z</dcterms:created>
  <dcterms:modified xsi:type="dcterms:W3CDTF">2017-08-18T13:02:00Z</dcterms:modified>
</cp:coreProperties>
</file>