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9" w:type="dxa"/>
        <w:tblBorders>
          <w:insideH w:val="single" w:sz="2" w:space="0" w:color="000000"/>
        </w:tblBorders>
        <w:tblCellMar>
          <w:left w:w="10" w:type="dxa"/>
          <w:right w:w="10" w:type="dxa"/>
        </w:tblCellMar>
        <w:tblLook w:val="0000" w:firstRow="0" w:lastRow="0" w:firstColumn="0" w:lastColumn="0" w:noHBand="0" w:noVBand="0"/>
      </w:tblPr>
      <w:tblGrid>
        <w:gridCol w:w="557"/>
        <w:gridCol w:w="388"/>
        <w:gridCol w:w="967"/>
        <w:gridCol w:w="589"/>
        <w:gridCol w:w="274"/>
        <w:gridCol w:w="3086"/>
        <w:gridCol w:w="274"/>
        <w:gridCol w:w="3337"/>
        <w:gridCol w:w="274"/>
      </w:tblGrid>
      <w:tr w:rsidR="00425EC1" w:rsidTr="003D69DC">
        <w:trPr>
          <w:gridAfter w:val="1"/>
          <w:wAfter w:w="274" w:type="dxa"/>
          <w:trHeight w:val="1"/>
        </w:trPr>
        <w:tc>
          <w:tcPr>
            <w:tcW w:w="2501" w:type="dxa"/>
            <w:gridSpan w:val="4"/>
            <w:shd w:val="clear" w:color="000000" w:fill="FFFFFF"/>
            <w:tcMar>
              <w:left w:w="108" w:type="dxa"/>
              <w:right w:w="108" w:type="dxa"/>
            </w:tcMar>
          </w:tcPr>
          <w:p w:rsidR="003D69DC" w:rsidRDefault="0019626F" w:rsidP="003D69DC">
            <w:pPr>
              <w:spacing w:after="0" w:line="240" w:lineRule="auto"/>
              <w:ind w:left="-108"/>
            </w:pPr>
            <w:r>
              <w:object w:dxaOrig="1664" w:dyaOrig="2059">
                <v:rect id="rectole0000000000" o:spid="_x0000_i1025" style="width:68.25pt;height:75pt" o:ole="" o:preferrelative="t" stroked="f">
                  <v:imagedata r:id="rId9" o:title=""/>
                </v:rect>
                <o:OLEObject Type="Embed" ProgID="StaticMetafile" ShapeID="rectole0000000000" DrawAspect="Content" ObjectID="_1633508892" r:id="rId10"/>
              </w:object>
            </w:r>
          </w:p>
          <w:p w:rsidR="003D69DC" w:rsidRPr="003D69DC" w:rsidRDefault="003D69DC" w:rsidP="003D69DC">
            <w:pPr>
              <w:spacing w:after="0" w:line="240" w:lineRule="auto"/>
              <w:ind w:left="-108"/>
              <w:rPr>
                <w:rFonts w:ascii="Arial" w:eastAsia="Arial" w:hAnsi="Arial" w:cs="Arial"/>
                <w:sz w:val="16"/>
                <w:szCs w:val="16"/>
              </w:rPr>
            </w:pPr>
            <w:r w:rsidRPr="003D69DC">
              <w:rPr>
                <w:sz w:val="16"/>
                <w:szCs w:val="16"/>
              </w:rPr>
              <w:t xml:space="preserve">         </w:t>
            </w:r>
            <w:r w:rsidR="00CE1D09" w:rsidRPr="003D69DC">
              <w:rPr>
                <w:sz w:val="16"/>
                <w:szCs w:val="16"/>
              </w:rPr>
              <w:t xml:space="preserve"> </w:t>
            </w:r>
            <w:r w:rsidRPr="003D69DC">
              <w:rPr>
                <w:rFonts w:ascii="Arial" w:eastAsia="Arial" w:hAnsi="Arial" w:cs="Arial"/>
                <w:sz w:val="16"/>
                <w:szCs w:val="16"/>
              </w:rPr>
              <w:t>БT</w:t>
            </w:r>
          </w:p>
          <w:p w:rsidR="00CE1D09" w:rsidRPr="003D69DC" w:rsidRDefault="003D69DC" w:rsidP="003D69DC">
            <w:pPr>
              <w:spacing w:after="0" w:line="240" w:lineRule="auto"/>
              <w:ind w:left="-108"/>
            </w:pPr>
            <w:r w:rsidRPr="003D69DC">
              <w:rPr>
                <w:rFonts w:ascii="Arial" w:eastAsia="Arial" w:hAnsi="Arial" w:cs="Arial"/>
                <w:sz w:val="16"/>
                <w:szCs w:val="16"/>
              </w:rPr>
              <w:t xml:space="preserve">   </w:t>
            </w:r>
            <w:r w:rsidR="00CE1D09" w:rsidRPr="003D69DC">
              <w:rPr>
                <w:rFonts w:ascii="Arial" w:eastAsia="Arial" w:hAnsi="Arial" w:cs="Arial"/>
                <w:sz w:val="16"/>
                <w:szCs w:val="16"/>
              </w:rPr>
              <w:t xml:space="preserve"> 605/2019</w:t>
            </w:r>
          </w:p>
        </w:tc>
        <w:tc>
          <w:tcPr>
            <w:tcW w:w="3360" w:type="dxa"/>
            <w:gridSpan w:val="2"/>
            <w:shd w:val="clear" w:color="000000" w:fill="FFFFFF"/>
            <w:tcMar>
              <w:left w:w="108" w:type="dxa"/>
              <w:right w:w="108" w:type="dxa"/>
            </w:tcMar>
          </w:tcPr>
          <w:p w:rsidR="00425EC1" w:rsidRDefault="00425EC1" w:rsidP="003D69DC">
            <w:pPr>
              <w:spacing w:after="0" w:line="240" w:lineRule="auto"/>
              <w:ind w:left="-567"/>
              <w:rPr>
                <w:rFonts w:ascii="Calibri" w:eastAsia="Calibri" w:hAnsi="Calibri" w:cs="Calibri"/>
              </w:rPr>
            </w:pPr>
          </w:p>
        </w:tc>
        <w:tc>
          <w:tcPr>
            <w:tcW w:w="3611" w:type="dxa"/>
            <w:gridSpan w:val="2"/>
            <w:shd w:val="clear" w:color="000000" w:fill="FFFFFF"/>
            <w:tcMar>
              <w:left w:w="108" w:type="dxa"/>
              <w:right w:w="108" w:type="dxa"/>
            </w:tcMar>
          </w:tcPr>
          <w:p w:rsidR="00425EC1" w:rsidRDefault="00095A83" w:rsidP="003D69DC">
            <w:pPr>
              <w:spacing w:after="0" w:line="240" w:lineRule="auto"/>
              <w:ind w:left="-567"/>
              <w:jc w:val="center"/>
              <w:rPr>
                <w:rFonts w:ascii="Calibri" w:eastAsia="Calibri" w:hAnsi="Calibri" w:cs="Calibri"/>
              </w:rPr>
            </w:pPr>
            <w:r>
              <w:object w:dxaOrig="2553" w:dyaOrig="849">
                <v:rect id="rectole0000000001" o:spid="_x0000_i1026" style="width:168pt;height:49.5pt" o:ole="" o:preferrelative="t" stroked="f">
                  <v:imagedata r:id="rId11" o:title=""/>
                </v:rect>
                <o:OLEObject Type="Embed" ProgID="StaticMetafile" ShapeID="rectole0000000001" DrawAspect="Content" ObjectID="_1633508893" r:id="rId12"/>
              </w:object>
            </w:r>
          </w:p>
        </w:tc>
      </w:tr>
      <w:tr w:rsidR="00425EC1" w:rsidTr="003D69DC">
        <w:trPr>
          <w:gridBefore w:val="1"/>
          <w:wBefore w:w="557" w:type="dxa"/>
          <w:trHeight w:val="1"/>
        </w:trPr>
        <w:tc>
          <w:tcPr>
            <w:tcW w:w="388" w:type="dxa"/>
            <w:shd w:val="clear" w:color="000000" w:fill="FFFFFF"/>
            <w:tcMar>
              <w:left w:w="0" w:type="dxa"/>
              <w:right w:w="0" w:type="dxa"/>
            </w:tcMar>
          </w:tcPr>
          <w:p w:rsidR="00425EC1" w:rsidRDefault="00425EC1" w:rsidP="003D69DC">
            <w:pPr>
              <w:spacing w:after="0" w:line="240" w:lineRule="auto"/>
              <w:ind w:left="-567"/>
              <w:rPr>
                <w:rFonts w:ascii="Calibri" w:eastAsia="Calibri" w:hAnsi="Calibri" w:cs="Calibri"/>
              </w:rPr>
            </w:pPr>
          </w:p>
        </w:tc>
        <w:tc>
          <w:tcPr>
            <w:tcW w:w="967" w:type="dxa"/>
            <w:shd w:val="clear" w:color="000000" w:fill="FFFFFF"/>
            <w:tcMar>
              <w:left w:w="0" w:type="dxa"/>
              <w:right w:w="0" w:type="dxa"/>
            </w:tcMar>
          </w:tcPr>
          <w:p w:rsidR="00425EC1" w:rsidRDefault="00425EC1" w:rsidP="003D69DC">
            <w:pPr>
              <w:spacing w:after="0" w:line="240" w:lineRule="auto"/>
              <w:ind w:left="-567"/>
              <w:jc w:val="center"/>
            </w:pPr>
          </w:p>
        </w:tc>
        <w:tc>
          <w:tcPr>
            <w:tcW w:w="863" w:type="dxa"/>
            <w:gridSpan w:val="2"/>
            <w:shd w:val="clear" w:color="000000" w:fill="FFFFFF"/>
            <w:tcMar>
              <w:left w:w="0" w:type="dxa"/>
              <w:right w:w="0" w:type="dxa"/>
            </w:tcMar>
          </w:tcPr>
          <w:p w:rsidR="00425EC1" w:rsidRDefault="00425EC1" w:rsidP="003D69DC">
            <w:pPr>
              <w:spacing w:after="0" w:line="240" w:lineRule="auto"/>
              <w:ind w:left="-567"/>
              <w:rPr>
                <w:rFonts w:ascii="Calibri" w:eastAsia="Calibri" w:hAnsi="Calibri" w:cs="Calibri"/>
              </w:rPr>
            </w:pPr>
          </w:p>
        </w:tc>
        <w:tc>
          <w:tcPr>
            <w:tcW w:w="3360" w:type="dxa"/>
            <w:gridSpan w:val="2"/>
            <w:shd w:val="clear" w:color="000000" w:fill="FFFFFF"/>
            <w:tcMar>
              <w:left w:w="0" w:type="dxa"/>
              <w:right w:w="0" w:type="dxa"/>
            </w:tcMar>
          </w:tcPr>
          <w:p w:rsidR="00425EC1" w:rsidRDefault="00425EC1" w:rsidP="003D69DC">
            <w:pPr>
              <w:spacing w:after="0" w:line="240" w:lineRule="auto"/>
              <w:ind w:left="-567"/>
              <w:rPr>
                <w:rFonts w:ascii="Calibri" w:eastAsia="Calibri" w:hAnsi="Calibri" w:cs="Calibri"/>
              </w:rPr>
            </w:pPr>
          </w:p>
        </w:tc>
        <w:tc>
          <w:tcPr>
            <w:tcW w:w="3611" w:type="dxa"/>
            <w:gridSpan w:val="2"/>
            <w:shd w:val="clear" w:color="000000" w:fill="FFFFFF"/>
            <w:tcMar>
              <w:left w:w="0" w:type="dxa"/>
              <w:right w:w="0" w:type="dxa"/>
            </w:tcMar>
          </w:tcPr>
          <w:p w:rsidR="00425EC1" w:rsidRDefault="00425EC1" w:rsidP="003D69DC">
            <w:pPr>
              <w:spacing w:after="0" w:line="240" w:lineRule="auto"/>
              <w:ind w:left="-567"/>
              <w:jc w:val="center"/>
              <w:rPr>
                <w:rFonts w:ascii="Calibri" w:eastAsia="Calibri" w:hAnsi="Calibri" w:cs="Calibri"/>
              </w:rPr>
            </w:pPr>
          </w:p>
        </w:tc>
      </w:tr>
    </w:tbl>
    <w:p w:rsidR="00425EC1" w:rsidRDefault="00634C8A" w:rsidP="003D69DC">
      <w:pPr>
        <w:spacing w:after="0" w:line="288" w:lineRule="auto"/>
        <w:ind w:left="-567"/>
        <w:rPr>
          <w:rFonts w:ascii="Arial" w:eastAsia="Arial" w:hAnsi="Arial" w:cs="Arial"/>
          <w:color w:val="000000"/>
          <w:spacing w:val="-1"/>
          <w:sz w:val="20"/>
        </w:rPr>
      </w:pPr>
      <w:r>
        <w:rPr>
          <w:rFonts w:ascii="Arial" w:eastAsia="Arial" w:hAnsi="Arial" w:cs="Arial"/>
          <w:color w:val="000000"/>
          <w:spacing w:val="-1"/>
          <w:sz w:val="20"/>
        </w:rPr>
        <w:t xml:space="preserve">бр. 07-00-315/2019-02  датум: </w:t>
      </w:r>
      <w:r w:rsidR="00345135">
        <w:rPr>
          <w:rFonts w:ascii="Arial" w:eastAsia="Arial" w:hAnsi="Arial" w:cs="Arial"/>
          <w:color w:val="000000"/>
          <w:spacing w:val="-1"/>
          <w:sz w:val="20"/>
        </w:rPr>
        <w:t>6.9</w:t>
      </w:r>
      <w:r>
        <w:rPr>
          <w:rFonts w:ascii="Arial" w:eastAsia="Arial" w:hAnsi="Arial" w:cs="Arial"/>
          <w:color w:val="000000"/>
          <w:spacing w:val="-1"/>
          <w:sz w:val="20"/>
        </w:rPr>
        <w:t>.2019.  године</w:t>
      </w:r>
    </w:p>
    <w:p w:rsidR="00425EC1" w:rsidRDefault="00425EC1" w:rsidP="003D69DC">
      <w:pPr>
        <w:spacing w:after="0" w:line="288" w:lineRule="auto"/>
        <w:ind w:left="-567"/>
        <w:rPr>
          <w:rFonts w:ascii="Arial" w:eastAsia="Arial" w:hAnsi="Arial" w:cs="Arial"/>
          <w:color w:val="000000"/>
          <w:spacing w:val="-1"/>
          <w:sz w:val="20"/>
        </w:rPr>
      </w:pPr>
    </w:p>
    <w:p w:rsidR="00425EC1" w:rsidRDefault="00634C8A" w:rsidP="003D69DC">
      <w:pPr>
        <w:spacing w:before="120" w:line="280" w:lineRule="auto"/>
        <w:ind w:left="-567"/>
        <w:jc w:val="center"/>
        <w:rPr>
          <w:rFonts w:ascii="Arial" w:eastAsia="Arial" w:hAnsi="Arial" w:cs="Arial"/>
          <w:b/>
          <w:sz w:val="28"/>
        </w:rPr>
      </w:pPr>
      <w:r>
        <w:rPr>
          <w:rFonts w:ascii="Arial" w:eastAsia="Arial" w:hAnsi="Arial" w:cs="Arial"/>
          <w:b/>
          <w:sz w:val="28"/>
        </w:rPr>
        <w:t xml:space="preserve">МИШЉЕЊЕ </w:t>
      </w:r>
    </w:p>
    <w:p w:rsidR="00F04F0F" w:rsidRDefault="00F04F0F" w:rsidP="003D69DC">
      <w:pPr>
        <w:tabs>
          <w:tab w:val="left" w:pos="709"/>
        </w:tabs>
        <w:spacing w:after="0" w:line="240" w:lineRule="auto"/>
        <w:ind w:left="-567"/>
        <w:jc w:val="both"/>
        <w:rPr>
          <w:rFonts w:ascii="Arial" w:eastAsia="Arial" w:hAnsi="Arial" w:cs="Arial"/>
          <w:i/>
        </w:rPr>
      </w:pPr>
      <w:r w:rsidRPr="00754B28">
        <w:rPr>
          <w:rFonts w:ascii="Arial" w:hAnsi="Arial" w:cs="Arial"/>
          <w:i/>
        </w:rPr>
        <w:t>Мишљење је донето у поступку поводом притужбе С</w:t>
      </w:r>
      <w:r w:rsidR="006258D4">
        <w:rPr>
          <w:rFonts w:ascii="Arial" w:hAnsi="Arial" w:cs="Arial"/>
          <w:i/>
        </w:rPr>
        <w:t>.</w:t>
      </w:r>
      <w:r w:rsidRPr="00754B28">
        <w:rPr>
          <w:rFonts w:ascii="Arial" w:hAnsi="Arial" w:cs="Arial"/>
          <w:i/>
        </w:rPr>
        <w:t xml:space="preserve"> Х</w:t>
      </w:r>
      <w:r w:rsidR="006258D4">
        <w:rPr>
          <w:rFonts w:ascii="Arial" w:hAnsi="Arial" w:cs="Arial"/>
          <w:i/>
        </w:rPr>
        <w:t>.</w:t>
      </w:r>
      <w:r w:rsidRPr="00754B28">
        <w:rPr>
          <w:rFonts w:ascii="Arial" w:hAnsi="Arial" w:cs="Arial"/>
          <w:i/>
        </w:rPr>
        <w:t xml:space="preserve"> </w:t>
      </w:r>
      <w:r w:rsidRPr="00754B28">
        <w:rPr>
          <w:rFonts w:ascii="Arial" w:eastAsia="Arial" w:hAnsi="Arial" w:cs="Arial"/>
          <w:i/>
        </w:rPr>
        <w:t xml:space="preserve">коју је због дискриминације на основу старосног доба поднела против </w:t>
      </w:r>
      <w:r w:rsidR="00FC009D">
        <w:rPr>
          <w:rFonts w:ascii="Arial" w:eastAsia="Arial" w:hAnsi="Arial" w:cs="Arial"/>
          <w:i/>
          <w:lang w:val="sr-Cyrl-RS"/>
        </w:rPr>
        <w:t>осигуравајућег друштва</w:t>
      </w:r>
      <w:r w:rsidRPr="00754B28">
        <w:rPr>
          <w:rFonts w:ascii="Arial" w:eastAsia="Arial" w:hAnsi="Arial" w:cs="Arial"/>
          <w:i/>
        </w:rPr>
        <w:t xml:space="preserve">. Подноситељка притужбе је навела да је ова осигуравајућа кућа одбила да јој пружи услугу путног осигурања због њених година живота. У изјашњењу </w:t>
      </w:r>
      <w:r w:rsidR="00FC009D" w:rsidRPr="00FC009D">
        <w:rPr>
          <w:rFonts w:ascii="Arial" w:eastAsia="Arial" w:hAnsi="Arial" w:cs="Arial"/>
          <w:i/>
          <w:lang w:val="sr-Cyrl-RS"/>
        </w:rPr>
        <w:t>осигуравајућег друштва</w:t>
      </w:r>
      <w:r w:rsidR="00FC009D" w:rsidRPr="00FC009D">
        <w:rPr>
          <w:rFonts w:ascii="Arial" w:eastAsia="Arial" w:hAnsi="Arial" w:cs="Arial"/>
          <w:i/>
        </w:rPr>
        <w:t xml:space="preserve"> </w:t>
      </w:r>
      <w:r w:rsidRPr="00754B28">
        <w:rPr>
          <w:rFonts w:ascii="Arial" w:eastAsia="Arial" w:hAnsi="Arial" w:cs="Arial"/>
          <w:i/>
        </w:rPr>
        <w:t xml:space="preserve">је, између осталог, наведено да друштва за осигурање имају не само право, него и законску обавезу да идентификују, мере и процењују ризике којима су изложени у свом пословању и да управљају овим ризицима применом квалитативног и квантитативног начина управљања, </w:t>
      </w:r>
      <w:r w:rsidR="00FF347E">
        <w:rPr>
          <w:rFonts w:ascii="Arial" w:eastAsia="Arial" w:hAnsi="Arial" w:cs="Arial"/>
          <w:i/>
          <w:lang w:val="sr-Cyrl-CS"/>
        </w:rPr>
        <w:t>те</w:t>
      </w:r>
      <w:r w:rsidRPr="00754B28">
        <w:rPr>
          <w:rFonts w:ascii="Arial" w:eastAsia="Arial" w:hAnsi="Arial" w:cs="Arial"/>
          <w:i/>
        </w:rPr>
        <w:t xml:space="preserve"> да утврђуј</w:t>
      </w:r>
      <w:r w:rsidR="00FF347E">
        <w:rPr>
          <w:rFonts w:ascii="Arial" w:eastAsia="Arial" w:hAnsi="Arial" w:cs="Arial"/>
          <w:i/>
          <w:lang w:val="sr-Cyrl-CS"/>
        </w:rPr>
        <w:t>у</w:t>
      </w:r>
      <w:r w:rsidRPr="00754B28">
        <w:rPr>
          <w:rFonts w:ascii="Arial" w:eastAsia="Arial" w:hAnsi="Arial" w:cs="Arial"/>
          <w:i/>
        </w:rPr>
        <w:t xml:space="preserve"> процедуре за идентификовање, процену и мерење ризика, као и за управљање ризицима, у складу са прописима, стандардима и правилима струке осигурања, </w:t>
      </w:r>
      <w:r w:rsidR="00FF347E">
        <w:rPr>
          <w:rFonts w:ascii="Arial" w:eastAsia="Arial" w:hAnsi="Arial" w:cs="Arial"/>
          <w:i/>
          <w:lang w:val="sr-Cyrl-CS"/>
        </w:rPr>
        <w:t>као и да</w:t>
      </w:r>
      <w:r w:rsidRPr="00754B28">
        <w:rPr>
          <w:rFonts w:ascii="Arial" w:eastAsia="Arial" w:hAnsi="Arial" w:cs="Arial"/>
          <w:i/>
        </w:rPr>
        <w:t xml:space="preserve"> је чланом 2. Општих услова за осигурање лица за време путовања и боравка у иностранству прописана способност за осигурање и постављен здравствени услов и старосни лимит (0-80 година).</w:t>
      </w:r>
      <w:r w:rsidRPr="00754B28">
        <w:rPr>
          <w:rStyle w:val="Emphasis"/>
          <w:rFonts w:ascii="Arial" w:hAnsi="Arial" w:cs="Arial"/>
          <w:i w:val="0"/>
          <w:color w:val="5C5C5C"/>
          <w:shd w:val="clear" w:color="auto" w:fill="FFFFFF"/>
        </w:rPr>
        <w:t xml:space="preserve">  </w:t>
      </w:r>
      <w:r w:rsidRPr="00FF347E">
        <w:rPr>
          <w:rStyle w:val="Emphasis"/>
          <w:rFonts w:ascii="Arial" w:hAnsi="Arial" w:cs="Arial"/>
          <w:shd w:val="clear" w:color="auto" w:fill="FFFFFF"/>
        </w:rPr>
        <w:t xml:space="preserve">У току поступка утврђено је да </w:t>
      </w:r>
      <w:r w:rsidRPr="00FF347E">
        <w:rPr>
          <w:rFonts w:ascii="Arial" w:eastAsia="Arial" w:hAnsi="Arial" w:cs="Arial"/>
          <w:i/>
        </w:rPr>
        <w:t xml:space="preserve">сходно одредби члана 2. Општих услова за осигурање лица за време путовања и боравка у иностранству </w:t>
      </w:r>
      <w:r w:rsidR="006258D4">
        <w:rPr>
          <w:rFonts w:ascii="Arial" w:eastAsia="Arial" w:hAnsi="Arial" w:cs="Arial"/>
          <w:i/>
        </w:rPr>
        <w:t>ОУ-ПЗО-.</w:t>
      </w:r>
      <w:r w:rsidRPr="00754B28">
        <w:rPr>
          <w:rFonts w:ascii="Arial" w:eastAsia="Arial" w:hAnsi="Arial" w:cs="Arial"/>
          <w:i/>
        </w:rPr>
        <w:t>/</w:t>
      </w:r>
      <w:r w:rsidR="006258D4">
        <w:rPr>
          <w:rFonts w:ascii="Arial" w:eastAsia="Arial" w:hAnsi="Arial" w:cs="Arial"/>
          <w:i/>
        </w:rPr>
        <w:t>..</w:t>
      </w:r>
      <w:r w:rsidRPr="00754B28">
        <w:rPr>
          <w:rFonts w:ascii="Arial" w:eastAsia="Arial" w:hAnsi="Arial" w:cs="Arial"/>
          <w:i/>
        </w:rPr>
        <w:t xml:space="preserve"> бр. </w:t>
      </w:r>
      <w:r w:rsidR="006258D4">
        <w:rPr>
          <w:rFonts w:ascii="Arial" w:eastAsia="Arial" w:hAnsi="Arial" w:cs="Arial"/>
          <w:i/>
        </w:rPr>
        <w:t>..</w:t>
      </w:r>
      <w:r w:rsidRPr="00754B28">
        <w:rPr>
          <w:rFonts w:ascii="Arial" w:eastAsia="Arial" w:hAnsi="Arial" w:cs="Arial"/>
          <w:i/>
        </w:rPr>
        <w:t>-</w:t>
      </w:r>
      <w:r w:rsidR="006258D4">
        <w:rPr>
          <w:rFonts w:ascii="Arial" w:eastAsia="Arial" w:hAnsi="Arial" w:cs="Arial"/>
          <w:i/>
        </w:rPr>
        <w:t>....</w:t>
      </w:r>
      <w:r w:rsidRPr="00754B28">
        <w:rPr>
          <w:rFonts w:ascii="Arial" w:eastAsia="Arial" w:hAnsi="Arial" w:cs="Arial"/>
          <w:i/>
        </w:rPr>
        <w:t xml:space="preserve"> од 15. новембра 2017. године, којом је прописано да се по овим условима могу осигурати здрава лица од 0 месеци до навршених 80 година живота, који су држављани Републике Србије, као и страни држављани и лица без држављанства уз услов да имају пребивалиште односно одобрење за привремени боравак или су стално настањени у Републици Србији, С</w:t>
      </w:r>
      <w:r w:rsidR="006258D4">
        <w:rPr>
          <w:rFonts w:ascii="Arial" w:eastAsia="Arial" w:hAnsi="Arial" w:cs="Arial"/>
          <w:i/>
        </w:rPr>
        <w:t>.</w:t>
      </w:r>
      <w:r w:rsidRPr="00754B28">
        <w:rPr>
          <w:rFonts w:ascii="Arial" w:eastAsia="Arial" w:hAnsi="Arial" w:cs="Arial"/>
          <w:i/>
        </w:rPr>
        <w:t xml:space="preserve"> Х</w:t>
      </w:r>
      <w:r w:rsidR="006258D4">
        <w:rPr>
          <w:rFonts w:ascii="Arial" w:eastAsia="Arial" w:hAnsi="Arial" w:cs="Arial"/>
          <w:i/>
        </w:rPr>
        <w:t>.</w:t>
      </w:r>
      <w:r w:rsidRPr="00754B28">
        <w:rPr>
          <w:rFonts w:ascii="Arial" w:eastAsia="Arial" w:hAnsi="Arial" w:cs="Arial"/>
          <w:i/>
        </w:rPr>
        <w:t xml:space="preserve"> није пружена услуга осигурања за време путовања и боравка у иностранству, </w:t>
      </w:r>
      <w:r w:rsidR="00FF347E">
        <w:rPr>
          <w:rFonts w:ascii="Arial" w:eastAsia="Arial" w:hAnsi="Arial" w:cs="Arial"/>
          <w:i/>
          <w:lang w:val="sr-Cyrl-CS"/>
        </w:rPr>
        <w:t>јер</w:t>
      </w:r>
      <w:r w:rsidRPr="00754B28">
        <w:rPr>
          <w:rFonts w:ascii="Arial" w:eastAsia="Arial" w:hAnsi="Arial" w:cs="Arial"/>
          <w:i/>
        </w:rPr>
        <w:t xml:space="preserve"> има више од 80 година живота. С тим у вези, Повереник за заштиту равноправности је указао да је неспорно да је </w:t>
      </w:r>
      <w:r w:rsidR="00FC009D">
        <w:rPr>
          <w:rFonts w:ascii="Arial" w:eastAsia="Arial" w:hAnsi="Arial" w:cs="Arial"/>
          <w:i/>
          <w:lang w:val="sr-Cyrl-RS"/>
        </w:rPr>
        <w:t>ово осигуравајуће друштво</w:t>
      </w:r>
      <w:r w:rsidRPr="00754B28">
        <w:rPr>
          <w:rFonts w:ascii="Arial" w:eastAsia="Arial" w:hAnsi="Arial" w:cs="Arial"/>
          <w:i/>
        </w:rPr>
        <w:t xml:space="preserve">, као и сва друга друштва за осигурање, овлашћено да утврђује услове осигурања којим уређује своје пословање, али </w:t>
      </w:r>
      <w:r w:rsidR="00FF347E">
        <w:rPr>
          <w:rFonts w:ascii="Arial" w:eastAsia="Arial" w:hAnsi="Arial" w:cs="Arial"/>
          <w:i/>
          <w:lang w:val="sr-Cyrl-CS"/>
        </w:rPr>
        <w:t xml:space="preserve">да </w:t>
      </w:r>
      <w:r w:rsidRPr="00754B28">
        <w:rPr>
          <w:rFonts w:ascii="Arial" w:eastAsia="Arial" w:hAnsi="Arial" w:cs="Arial"/>
          <w:i/>
        </w:rPr>
        <w:t>сви акти друштава за осигурање морају да буду усклађени са Уставом и законским прописима, како оним из области делатности осигурања, тако и са другим прописима Републике Србије, укључујући и прописе који забрањују дискриминацију. Повереник је истакао да према одредби члана 6. Закона о забрани дискриминације, до непосредне дискриминације долази када су појединац или група лица због њиховог личног својства стављени у неповољнији положај у односу на појединца или групу који се налазе у истој или сличној ситуацији, а који немају то лично својство. У конкретном случају, очигледно је да су особе старије од 80 година, које желе да буду осигуране за време путовања и боравка у иностранству од</w:t>
      </w:r>
      <w:r w:rsidR="00FC009D">
        <w:rPr>
          <w:rFonts w:ascii="Arial" w:eastAsia="Arial" w:hAnsi="Arial" w:cs="Arial"/>
          <w:i/>
          <w:lang w:val="sr-Cyrl-RS"/>
        </w:rPr>
        <w:t xml:space="preserve"> овог осигуравајућег друштва</w:t>
      </w:r>
      <w:r w:rsidRPr="00754B28">
        <w:rPr>
          <w:rFonts w:ascii="Arial" w:eastAsia="Arial" w:hAnsi="Arial" w:cs="Arial"/>
          <w:i/>
        </w:rPr>
        <w:t xml:space="preserve"> у томе спречене, будући да ова осигуравајућа кућа особама старосне доби од преко 80 година не пружа услугу осигурања за време пу</w:t>
      </w:r>
      <w:r w:rsidR="00063BAB">
        <w:rPr>
          <w:rFonts w:ascii="Arial" w:eastAsia="Arial" w:hAnsi="Arial" w:cs="Arial"/>
          <w:i/>
        </w:rPr>
        <w:t xml:space="preserve">товања и боравка у иностранству. </w:t>
      </w:r>
      <w:r w:rsidRPr="00754B28">
        <w:rPr>
          <w:rFonts w:ascii="Arial" w:eastAsia="Arial" w:hAnsi="Arial" w:cs="Arial"/>
          <w:i/>
        </w:rPr>
        <w:t xml:space="preserve">Због свега наведеног, Повереник је донео мишљење да је </w:t>
      </w:r>
      <w:r w:rsidR="00FC009D">
        <w:rPr>
          <w:rFonts w:ascii="Arial" w:eastAsia="Arial" w:hAnsi="Arial" w:cs="Arial"/>
          <w:i/>
          <w:lang w:val="sr-Cyrl-RS"/>
        </w:rPr>
        <w:t>осигуравајуће друштво</w:t>
      </w:r>
      <w:r w:rsidRPr="00754B28">
        <w:rPr>
          <w:rFonts w:ascii="Arial" w:eastAsia="Arial" w:hAnsi="Arial" w:cs="Arial"/>
          <w:i/>
        </w:rPr>
        <w:t>, одбијањем да подноситељки притужбе пружи услугу осигурања за време путовања и боравка у иностранству, прекршило одредбе чл</w:t>
      </w:r>
      <w:r w:rsidR="009A2237">
        <w:rPr>
          <w:rFonts w:ascii="Arial" w:eastAsia="Arial" w:hAnsi="Arial" w:cs="Arial"/>
          <w:i/>
        </w:rPr>
        <w:t>. 6. и</w:t>
      </w:r>
      <w:r w:rsidRPr="00754B28">
        <w:rPr>
          <w:rFonts w:ascii="Arial" w:eastAsia="Arial" w:hAnsi="Arial" w:cs="Arial"/>
          <w:i/>
        </w:rPr>
        <w:t xml:space="preserve"> 17. став 1. и </w:t>
      </w:r>
      <w:r w:rsidR="009A2237">
        <w:rPr>
          <w:rFonts w:ascii="Arial" w:eastAsia="Arial" w:hAnsi="Arial" w:cs="Arial"/>
          <w:i/>
        </w:rPr>
        <w:t xml:space="preserve">чл. </w:t>
      </w:r>
      <w:r w:rsidRPr="00754B28">
        <w:rPr>
          <w:rFonts w:ascii="Arial" w:eastAsia="Arial" w:hAnsi="Arial" w:cs="Arial"/>
          <w:i/>
        </w:rPr>
        <w:t xml:space="preserve">23. Закона о забрани дискриминације. </w:t>
      </w:r>
      <w:r w:rsidR="00FC009D">
        <w:rPr>
          <w:rFonts w:ascii="Arial" w:eastAsia="Arial" w:hAnsi="Arial" w:cs="Arial"/>
          <w:i/>
          <w:lang w:val="sr-Cyrl-RS"/>
        </w:rPr>
        <w:t>Осигуравајућем друштву</w:t>
      </w:r>
      <w:r w:rsidRPr="00754B28">
        <w:rPr>
          <w:rFonts w:ascii="Arial" w:eastAsia="Arial" w:hAnsi="Arial" w:cs="Arial"/>
          <w:i/>
        </w:rPr>
        <w:t xml:space="preserve"> је препоручено да усклади Опште услове за осигурање лица за време путовања и боравка у иностранству са антидискриминационим прописима, тако што ће прописати могућност осигуравања и лица п</w:t>
      </w:r>
      <w:r w:rsidR="009A2237">
        <w:rPr>
          <w:rFonts w:ascii="Arial" w:eastAsia="Arial" w:hAnsi="Arial" w:cs="Arial"/>
          <w:i/>
        </w:rPr>
        <w:t>реко навршених 80 година живота</w:t>
      </w:r>
      <w:r w:rsidRPr="00754B28">
        <w:rPr>
          <w:rFonts w:ascii="Arial" w:eastAsia="Arial" w:hAnsi="Arial" w:cs="Arial"/>
          <w:i/>
        </w:rPr>
        <w:t>.</w:t>
      </w:r>
    </w:p>
    <w:p w:rsidR="006258D4" w:rsidRDefault="006258D4" w:rsidP="003D69DC">
      <w:pPr>
        <w:tabs>
          <w:tab w:val="left" w:pos="709"/>
        </w:tabs>
        <w:spacing w:after="0" w:line="240" w:lineRule="auto"/>
        <w:ind w:left="-567"/>
        <w:jc w:val="both"/>
        <w:rPr>
          <w:rFonts w:ascii="Arial" w:eastAsia="Arial" w:hAnsi="Arial" w:cs="Arial"/>
          <w:i/>
        </w:rPr>
      </w:pPr>
    </w:p>
    <w:p w:rsidR="00D11D7E" w:rsidRDefault="00D11D7E" w:rsidP="003D69DC">
      <w:pPr>
        <w:tabs>
          <w:tab w:val="left" w:pos="709"/>
        </w:tabs>
        <w:spacing w:after="0" w:line="240" w:lineRule="auto"/>
        <w:ind w:left="-567"/>
        <w:jc w:val="both"/>
        <w:rPr>
          <w:rFonts w:ascii="Arial" w:eastAsia="Arial" w:hAnsi="Arial" w:cs="Arial"/>
          <w:i/>
        </w:rPr>
      </w:pPr>
    </w:p>
    <w:p w:rsidR="00D11D7E" w:rsidRDefault="00D11D7E" w:rsidP="003D69DC">
      <w:pPr>
        <w:tabs>
          <w:tab w:val="left" w:pos="709"/>
        </w:tabs>
        <w:spacing w:after="0" w:line="240" w:lineRule="auto"/>
        <w:ind w:left="-567"/>
        <w:jc w:val="both"/>
        <w:rPr>
          <w:rFonts w:ascii="Arial" w:eastAsia="Arial" w:hAnsi="Arial" w:cs="Arial"/>
          <w:i/>
        </w:rPr>
      </w:pPr>
    </w:p>
    <w:p w:rsidR="00D11D7E" w:rsidRDefault="00D11D7E" w:rsidP="003D69DC">
      <w:pPr>
        <w:tabs>
          <w:tab w:val="left" w:pos="709"/>
        </w:tabs>
        <w:spacing w:after="0" w:line="240" w:lineRule="auto"/>
        <w:ind w:left="-567"/>
        <w:jc w:val="both"/>
        <w:rPr>
          <w:rFonts w:ascii="Arial" w:eastAsia="Arial" w:hAnsi="Arial" w:cs="Arial"/>
        </w:rPr>
      </w:pPr>
    </w:p>
    <w:p w:rsidR="001D6DBA" w:rsidRDefault="001D6DBA" w:rsidP="003D69DC">
      <w:pPr>
        <w:tabs>
          <w:tab w:val="left" w:pos="709"/>
        </w:tabs>
        <w:spacing w:after="0" w:line="240" w:lineRule="auto"/>
        <w:ind w:left="-567"/>
        <w:jc w:val="both"/>
        <w:rPr>
          <w:rFonts w:ascii="Arial" w:eastAsia="Arial" w:hAnsi="Arial" w:cs="Arial"/>
        </w:rPr>
      </w:pPr>
    </w:p>
    <w:p w:rsidR="001D6DBA" w:rsidRDefault="001D6DBA" w:rsidP="003D69DC">
      <w:pPr>
        <w:tabs>
          <w:tab w:val="left" w:pos="709"/>
        </w:tabs>
        <w:spacing w:after="0" w:line="240" w:lineRule="auto"/>
        <w:ind w:left="-567"/>
        <w:jc w:val="both"/>
        <w:rPr>
          <w:rFonts w:ascii="Arial" w:eastAsia="Arial" w:hAnsi="Arial" w:cs="Arial"/>
        </w:rPr>
      </w:pPr>
    </w:p>
    <w:p w:rsidR="001D6DBA" w:rsidRPr="001D6DBA" w:rsidRDefault="001D6DBA" w:rsidP="003D69DC">
      <w:pPr>
        <w:tabs>
          <w:tab w:val="left" w:pos="709"/>
        </w:tabs>
        <w:spacing w:after="0" w:line="240" w:lineRule="auto"/>
        <w:ind w:left="-567"/>
        <w:jc w:val="both"/>
        <w:rPr>
          <w:rFonts w:ascii="Arial" w:eastAsia="Arial" w:hAnsi="Arial" w:cs="Arial"/>
        </w:rPr>
      </w:pPr>
    </w:p>
    <w:p w:rsidR="001D6DBA" w:rsidRDefault="001D6DBA" w:rsidP="003D69DC">
      <w:pPr>
        <w:tabs>
          <w:tab w:val="left" w:pos="270"/>
        </w:tabs>
        <w:spacing w:after="0" w:line="240" w:lineRule="auto"/>
        <w:ind w:left="-567"/>
        <w:jc w:val="both"/>
        <w:rPr>
          <w:rFonts w:ascii="Arial" w:eastAsia="Arial" w:hAnsi="Arial" w:cs="Arial"/>
          <w:i/>
        </w:rPr>
      </w:pPr>
    </w:p>
    <w:p w:rsidR="00425EC1" w:rsidRDefault="00634C8A" w:rsidP="003D69DC">
      <w:pPr>
        <w:tabs>
          <w:tab w:val="left" w:pos="270"/>
        </w:tabs>
        <w:spacing w:after="0" w:line="240" w:lineRule="auto"/>
        <w:ind w:left="-567"/>
        <w:jc w:val="both"/>
        <w:rPr>
          <w:rFonts w:ascii="Arial" w:eastAsia="Arial" w:hAnsi="Arial" w:cs="Arial"/>
          <w:b/>
        </w:rPr>
      </w:pPr>
      <w:r w:rsidRPr="002752CD">
        <w:rPr>
          <w:rFonts w:ascii="Arial" w:eastAsia="Arial" w:hAnsi="Arial" w:cs="Arial"/>
          <w:b/>
        </w:rPr>
        <w:lastRenderedPageBreak/>
        <w:t>ТОК ПОСТУПКА</w:t>
      </w:r>
    </w:p>
    <w:p w:rsidR="00095A83" w:rsidRDefault="00095A83" w:rsidP="003D69DC">
      <w:pPr>
        <w:tabs>
          <w:tab w:val="left" w:pos="270"/>
        </w:tabs>
        <w:spacing w:after="0" w:line="240" w:lineRule="auto"/>
        <w:ind w:left="-567"/>
        <w:jc w:val="both"/>
        <w:rPr>
          <w:rFonts w:ascii="Arial" w:eastAsia="Arial" w:hAnsi="Arial" w:cs="Arial"/>
          <w:b/>
        </w:rPr>
      </w:pPr>
    </w:p>
    <w:p w:rsidR="00425EC1" w:rsidRDefault="00FA4BE5" w:rsidP="003D69DC">
      <w:pPr>
        <w:tabs>
          <w:tab w:val="left" w:pos="450"/>
        </w:tabs>
        <w:spacing w:after="0" w:line="240" w:lineRule="auto"/>
        <w:ind w:left="-567"/>
        <w:jc w:val="both"/>
        <w:rPr>
          <w:rFonts w:ascii="Arial" w:eastAsia="Arial" w:hAnsi="Arial" w:cs="Arial"/>
        </w:rPr>
      </w:pPr>
      <w:r w:rsidRPr="002752CD">
        <w:rPr>
          <w:rFonts w:ascii="Arial" w:eastAsia="Arial" w:hAnsi="Arial" w:cs="Arial"/>
          <w:b/>
        </w:rPr>
        <w:t>1.1.</w:t>
      </w:r>
      <w:r w:rsidRPr="002752CD">
        <w:rPr>
          <w:rFonts w:ascii="Arial" w:eastAsia="Arial" w:hAnsi="Arial" w:cs="Arial"/>
        </w:rPr>
        <w:t xml:space="preserve"> </w:t>
      </w:r>
      <w:r w:rsidR="00634C8A" w:rsidRPr="002752CD">
        <w:rPr>
          <w:rFonts w:ascii="Arial" w:eastAsia="Arial" w:hAnsi="Arial" w:cs="Arial"/>
        </w:rPr>
        <w:t>Повереник за заштиту равноправности примио је 14. јуна 2019. године притужбу С</w:t>
      </w:r>
      <w:r w:rsidR="006258D4">
        <w:rPr>
          <w:rFonts w:ascii="Arial" w:eastAsia="Arial" w:hAnsi="Arial" w:cs="Arial"/>
        </w:rPr>
        <w:t>.</w:t>
      </w:r>
      <w:r w:rsidR="00634C8A" w:rsidRPr="002752CD">
        <w:rPr>
          <w:rFonts w:ascii="Arial" w:eastAsia="Arial" w:hAnsi="Arial" w:cs="Arial"/>
        </w:rPr>
        <w:t xml:space="preserve"> Х</w:t>
      </w:r>
      <w:r w:rsidR="006258D4">
        <w:rPr>
          <w:rFonts w:ascii="Arial" w:eastAsia="Arial" w:hAnsi="Arial" w:cs="Arial"/>
        </w:rPr>
        <w:t>.</w:t>
      </w:r>
      <w:r w:rsidR="00634C8A" w:rsidRPr="002752CD">
        <w:rPr>
          <w:rFonts w:ascii="Arial" w:eastAsia="Arial" w:hAnsi="Arial" w:cs="Arial"/>
        </w:rPr>
        <w:t xml:space="preserve"> коју је због дискриминације на основу старосног доба поднела против </w:t>
      </w:r>
      <w:r w:rsidR="00FC009D">
        <w:rPr>
          <w:rFonts w:ascii="Arial" w:eastAsia="Arial" w:hAnsi="Arial" w:cs="Arial"/>
          <w:lang w:val="sr-Cyrl-RS"/>
        </w:rPr>
        <w:t>осигуравајућег друштва</w:t>
      </w:r>
      <w:r w:rsidR="00634C8A" w:rsidRPr="002752CD">
        <w:rPr>
          <w:rFonts w:ascii="Arial" w:eastAsia="Arial" w:hAnsi="Arial" w:cs="Arial"/>
        </w:rPr>
        <w:t>. У притужби је, између осталог, навела да је ова осигуравајућа кућа 28. маја 2019. године одбила да јој пружи услугу путног осигурања због њених година живота.</w:t>
      </w:r>
    </w:p>
    <w:p w:rsidR="00095A83" w:rsidRPr="002752CD" w:rsidRDefault="00095A83" w:rsidP="003D69DC">
      <w:pPr>
        <w:tabs>
          <w:tab w:val="left" w:pos="450"/>
        </w:tabs>
        <w:spacing w:after="0" w:line="240" w:lineRule="auto"/>
        <w:ind w:left="-567"/>
        <w:jc w:val="both"/>
        <w:rPr>
          <w:rFonts w:ascii="Arial" w:eastAsia="Arial" w:hAnsi="Arial" w:cs="Arial"/>
        </w:rPr>
      </w:pPr>
    </w:p>
    <w:p w:rsidR="00425EC1" w:rsidRPr="00FC009D" w:rsidRDefault="00634C8A" w:rsidP="003D69DC">
      <w:pPr>
        <w:tabs>
          <w:tab w:val="left" w:pos="450"/>
        </w:tabs>
        <w:spacing w:after="0" w:line="240" w:lineRule="auto"/>
        <w:ind w:left="-567"/>
        <w:jc w:val="both"/>
        <w:rPr>
          <w:rFonts w:ascii="Arial" w:eastAsia="Arial" w:hAnsi="Arial" w:cs="Arial"/>
          <w:lang w:val="sr-Cyrl-RS"/>
        </w:rPr>
      </w:pPr>
      <w:r w:rsidRPr="002752CD">
        <w:rPr>
          <w:rFonts w:ascii="Arial" w:eastAsia="Arial" w:hAnsi="Arial" w:cs="Arial"/>
          <w:b/>
        </w:rPr>
        <w:t>1.2.</w:t>
      </w:r>
      <w:r w:rsidRPr="002752CD">
        <w:rPr>
          <w:rFonts w:ascii="Arial" w:eastAsia="Arial" w:hAnsi="Arial" w:cs="Arial"/>
        </w:rPr>
        <w:t xml:space="preserve"> Уз притужбу су достављени имејл преписка између Д</w:t>
      </w:r>
      <w:r w:rsidR="006258D4">
        <w:rPr>
          <w:rFonts w:ascii="Arial" w:eastAsia="Arial" w:hAnsi="Arial" w:cs="Arial"/>
        </w:rPr>
        <w:t>.</w:t>
      </w:r>
      <w:r w:rsidRPr="002752CD">
        <w:rPr>
          <w:rFonts w:ascii="Arial" w:eastAsia="Arial" w:hAnsi="Arial" w:cs="Arial"/>
        </w:rPr>
        <w:t xml:space="preserve"> Н</w:t>
      </w:r>
      <w:r w:rsidR="006258D4">
        <w:rPr>
          <w:rFonts w:ascii="Arial" w:eastAsia="Arial" w:hAnsi="Arial" w:cs="Arial"/>
        </w:rPr>
        <w:t>.</w:t>
      </w:r>
      <w:r w:rsidRPr="002752CD">
        <w:rPr>
          <w:rFonts w:ascii="Arial" w:eastAsia="Arial" w:hAnsi="Arial" w:cs="Arial"/>
        </w:rPr>
        <w:t xml:space="preserve"> и В</w:t>
      </w:r>
      <w:r w:rsidR="006258D4">
        <w:rPr>
          <w:rFonts w:ascii="Arial" w:eastAsia="Arial" w:hAnsi="Arial" w:cs="Arial"/>
        </w:rPr>
        <w:t>.</w:t>
      </w:r>
      <w:r w:rsidRPr="002752CD">
        <w:rPr>
          <w:rFonts w:ascii="Arial" w:eastAsia="Arial" w:hAnsi="Arial" w:cs="Arial"/>
        </w:rPr>
        <w:t xml:space="preserve"> Р, шефа Одељења за асистентс</w:t>
      </w:r>
      <w:r w:rsidR="00FC009D">
        <w:rPr>
          <w:rFonts w:ascii="Arial" w:eastAsia="Arial" w:hAnsi="Arial" w:cs="Arial"/>
        </w:rPr>
        <w:t>ка осигурања</w:t>
      </w:r>
      <w:r w:rsidR="00FC009D">
        <w:rPr>
          <w:rFonts w:ascii="Arial" w:eastAsia="Arial" w:hAnsi="Arial" w:cs="Arial"/>
          <w:lang w:val="sr-Cyrl-RS"/>
        </w:rPr>
        <w:t xml:space="preserve"> овог осигуравајућег друштва</w:t>
      </w:r>
      <w:r w:rsidRPr="002752CD">
        <w:rPr>
          <w:rFonts w:ascii="Arial" w:eastAsia="Arial" w:hAnsi="Arial" w:cs="Arial"/>
        </w:rPr>
        <w:t>, од 28. маја 2019. године и Општи услови за осигурање лица за време путовања и боравка у иностранству</w:t>
      </w:r>
      <w:r w:rsidR="00FC009D">
        <w:rPr>
          <w:rFonts w:ascii="Arial" w:eastAsia="Arial" w:hAnsi="Arial" w:cs="Arial"/>
          <w:lang w:val="sr-Cyrl-RS"/>
        </w:rPr>
        <w:t>.</w:t>
      </w:r>
    </w:p>
    <w:p w:rsidR="00095A83" w:rsidRPr="002752CD" w:rsidRDefault="00095A83" w:rsidP="003D69DC">
      <w:pPr>
        <w:tabs>
          <w:tab w:val="left" w:pos="450"/>
        </w:tabs>
        <w:spacing w:after="0" w:line="240" w:lineRule="auto"/>
        <w:ind w:left="-567"/>
        <w:jc w:val="both"/>
        <w:rPr>
          <w:rFonts w:ascii="Arial" w:eastAsia="Arial" w:hAnsi="Arial" w:cs="Arial"/>
        </w:rPr>
      </w:pPr>
    </w:p>
    <w:p w:rsidR="00425EC1" w:rsidRDefault="00634C8A" w:rsidP="003D69DC">
      <w:pPr>
        <w:tabs>
          <w:tab w:val="left" w:pos="450"/>
        </w:tabs>
        <w:spacing w:after="0" w:line="240" w:lineRule="auto"/>
        <w:ind w:left="-567"/>
        <w:jc w:val="both"/>
        <w:rPr>
          <w:rFonts w:ascii="Arial" w:eastAsia="Arial" w:hAnsi="Arial" w:cs="Arial"/>
        </w:rPr>
      </w:pPr>
      <w:r w:rsidRPr="002752CD">
        <w:rPr>
          <w:rFonts w:ascii="Arial" w:eastAsia="Arial" w:hAnsi="Arial" w:cs="Arial"/>
          <w:b/>
        </w:rPr>
        <w:t>1.3.</w:t>
      </w:r>
      <w:r w:rsidRPr="002752CD">
        <w:rPr>
          <w:rFonts w:ascii="Arial" w:eastAsia="Arial" w:hAnsi="Arial" w:cs="Arial"/>
        </w:rPr>
        <w:t xml:space="preserve"> Повереник за заштиту равноправности спровео је поступак у циљу утврђивања правно релевантних чињеница и околности, a у складу са чланом 35. став 4. и чланом 37. став 2. Закона о забрани дискриминаци</w:t>
      </w:r>
      <w:r w:rsidR="00824ED8" w:rsidRPr="002752CD">
        <w:rPr>
          <w:rFonts w:ascii="Arial" w:eastAsia="Arial" w:hAnsi="Arial" w:cs="Arial"/>
        </w:rPr>
        <w:t>је,</w:t>
      </w:r>
      <w:r w:rsidR="00824ED8" w:rsidRPr="002752CD">
        <w:rPr>
          <w:rStyle w:val="FootnoteReference"/>
          <w:rFonts w:ascii="Arial" w:eastAsia="Arial" w:hAnsi="Arial" w:cs="Arial"/>
        </w:rPr>
        <w:footnoteReference w:id="1"/>
      </w:r>
      <w:r w:rsidRPr="002752CD">
        <w:rPr>
          <w:rFonts w:ascii="Arial" w:eastAsia="Arial" w:hAnsi="Arial" w:cs="Arial"/>
        </w:rPr>
        <w:t xml:space="preserve"> па је у току поступка од </w:t>
      </w:r>
      <w:r w:rsidR="00FC009D">
        <w:rPr>
          <w:rFonts w:ascii="Arial" w:eastAsia="Arial" w:hAnsi="Arial" w:cs="Arial"/>
          <w:lang w:val="sr-Cyrl-RS"/>
        </w:rPr>
        <w:t>осигуравајућег друштва</w:t>
      </w:r>
      <w:r w:rsidRPr="002752CD">
        <w:rPr>
          <w:rFonts w:ascii="Arial" w:eastAsia="Arial" w:hAnsi="Arial" w:cs="Arial"/>
        </w:rPr>
        <w:t xml:space="preserve"> затражено изјашњење о наводима и основаности притужбе. </w:t>
      </w:r>
    </w:p>
    <w:p w:rsidR="00095A83" w:rsidRPr="002752CD" w:rsidRDefault="00095A83" w:rsidP="003D69DC">
      <w:pPr>
        <w:tabs>
          <w:tab w:val="left" w:pos="450"/>
        </w:tabs>
        <w:spacing w:after="0" w:line="240" w:lineRule="auto"/>
        <w:ind w:left="-567"/>
        <w:jc w:val="both"/>
        <w:rPr>
          <w:rFonts w:ascii="Arial" w:eastAsia="Arial" w:hAnsi="Arial" w:cs="Arial"/>
        </w:rPr>
      </w:pPr>
    </w:p>
    <w:p w:rsidR="00425EC1" w:rsidRDefault="00634C8A" w:rsidP="003D69DC">
      <w:pPr>
        <w:tabs>
          <w:tab w:val="left" w:pos="450"/>
        </w:tabs>
        <w:spacing w:after="0" w:line="240" w:lineRule="auto"/>
        <w:ind w:left="-567"/>
        <w:jc w:val="both"/>
        <w:rPr>
          <w:rFonts w:ascii="Arial" w:eastAsia="Arial" w:hAnsi="Arial" w:cs="Arial"/>
        </w:rPr>
      </w:pPr>
      <w:r w:rsidRPr="002752CD">
        <w:rPr>
          <w:rFonts w:ascii="Arial" w:eastAsia="Arial" w:hAnsi="Arial" w:cs="Arial"/>
          <w:b/>
        </w:rPr>
        <w:t>1.4.</w:t>
      </w:r>
      <w:r w:rsidRPr="002752CD">
        <w:rPr>
          <w:rFonts w:ascii="Arial" w:eastAsia="Arial" w:hAnsi="Arial" w:cs="Arial"/>
        </w:rPr>
        <w:t xml:space="preserve"> У изјашњењу</w:t>
      </w:r>
      <w:r w:rsidR="00FC009D">
        <w:rPr>
          <w:rFonts w:ascii="Arial" w:eastAsia="Arial" w:hAnsi="Arial" w:cs="Arial"/>
          <w:lang w:val="sr-Cyrl-RS"/>
        </w:rPr>
        <w:t xml:space="preserve"> осигуравајућег друштва</w:t>
      </w:r>
      <w:r w:rsidRPr="002752CD">
        <w:rPr>
          <w:rFonts w:ascii="Arial" w:eastAsia="Arial" w:hAnsi="Arial" w:cs="Arial"/>
        </w:rPr>
        <w:t xml:space="preserve"> од 10. јула 2019. године, између осталог, наведено је:</w:t>
      </w:r>
    </w:p>
    <w:p w:rsidR="00095A83" w:rsidRPr="002752CD" w:rsidRDefault="00095A83" w:rsidP="003D69DC">
      <w:pPr>
        <w:tabs>
          <w:tab w:val="left" w:pos="450"/>
        </w:tabs>
        <w:spacing w:after="0" w:line="240" w:lineRule="auto"/>
        <w:ind w:left="-567"/>
        <w:jc w:val="both"/>
        <w:rPr>
          <w:rFonts w:ascii="Arial" w:eastAsia="Arial" w:hAnsi="Arial" w:cs="Arial"/>
        </w:rPr>
      </w:pPr>
    </w:p>
    <w:p w:rsidR="00425EC1" w:rsidRDefault="00634C8A" w:rsidP="003D69DC">
      <w:pPr>
        <w:tabs>
          <w:tab w:val="left" w:pos="450"/>
        </w:tabs>
        <w:spacing w:after="0" w:line="240" w:lineRule="auto"/>
        <w:ind w:left="-567"/>
        <w:jc w:val="both"/>
        <w:rPr>
          <w:rFonts w:ascii="Arial" w:eastAsia="Arial" w:hAnsi="Arial" w:cs="Arial"/>
        </w:rPr>
      </w:pPr>
      <w:r w:rsidRPr="002752CD">
        <w:rPr>
          <w:rFonts w:ascii="Arial" w:eastAsia="Arial" w:hAnsi="Arial" w:cs="Arial"/>
        </w:rPr>
        <w:t>- да је основно начело на коме почива делатност осигурања начело добровољности, што је прописано и у члану 4. став 1. Закона о осигурању који гласи да је осигурање имовине и лица добровољно;</w:t>
      </w:r>
    </w:p>
    <w:p w:rsidR="00316EF9" w:rsidRPr="002752CD" w:rsidRDefault="00316EF9" w:rsidP="003D69DC">
      <w:pPr>
        <w:tabs>
          <w:tab w:val="left" w:pos="450"/>
        </w:tabs>
        <w:spacing w:after="0" w:line="240" w:lineRule="auto"/>
        <w:ind w:left="-567"/>
        <w:jc w:val="both"/>
        <w:rPr>
          <w:rFonts w:ascii="Arial" w:eastAsia="Arial" w:hAnsi="Arial" w:cs="Arial"/>
        </w:rPr>
      </w:pPr>
    </w:p>
    <w:p w:rsidR="00425EC1" w:rsidRDefault="00634C8A" w:rsidP="003D69DC">
      <w:pPr>
        <w:tabs>
          <w:tab w:val="left" w:pos="450"/>
        </w:tabs>
        <w:spacing w:after="0" w:line="240" w:lineRule="auto"/>
        <w:ind w:left="-567"/>
        <w:jc w:val="both"/>
        <w:rPr>
          <w:rFonts w:ascii="Arial" w:eastAsia="Arial" w:hAnsi="Arial" w:cs="Arial"/>
        </w:rPr>
      </w:pPr>
      <w:r w:rsidRPr="002752CD">
        <w:rPr>
          <w:rFonts w:ascii="Arial" w:eastAsia="Arial" w:hAnsi="Arial" w:cs="Arial"/>
        </w:rPr>
        <w:t>- да у појединим случајевима постоји одступање од наведеног начела, где то захтева општи интерес (област саобраћаја нпр.) и формирање производа осигурања, као и обавезност закључења уговора о осигурању, су законом прописани;</w:t>
      </w:r>
    </w:p>
    <w:p w:rsidR="00095A83" w:rsidRPr="002752CD" w:rsidRDefault="00095A83" w:rsidP="003D69DC">
      <w:pPr>
        <w:tabs>
          <w:tab w:val="left" w:pos="450"/>
        </w:tabs>
        <w:spacing w:after="0" w:line="240" w:lineRule="auto"/>
        <w:ind w:left="-567"/>
        <w:jc w:val="both"/>
        <w:rPr>
          <w:rFonts w:ascii="Arial" w:eastAsia="Arial" w:hAnsi="Arial" w:cs="Arial"/>
        </w:rPr>
      </w:pPr>
    </w:p>
    <w:p w:rsidR="00425EC1" w:rsidRDefault="00634C8A" w:rsidP="003D69DC">
      <w:pPr>
        <w:tabs>
          <w:tab w:val="left" w:pos="450"/>
        </w:tabs>
        <w:spacing w:after="0" w:line="240" w:lineRule="auto"/>
        <w:ind w:left="-567"/>
        <w:jc w:val="both"/>
        <w:rPr>
          <w:rFonts w:ascii="Arial" w:eastAsia="Arial" w:hAnsi="Arial" w:cs="Arial"/>
        </w:rPr>
      </w:pPr>
      <w:r w:rsidRPr="002752CD">
        <w:rPr>
          <w:rFonts w:ascii="Arial" w:eastAsia="Arial" w:hAnsi="Arial" w:cs="Arial"/>
        </w:rPr>
        <w:t>- да у случају осигурања лица за време путовања и боравка у иностранству не постоји обавезност ни једне уговорне стране, него искључиво важи начело аутономије</w:t>
      </w:r>
      <w:r w:rsidR="002C48E6">
        <w:rPr>
          <w:rFonts w:ascii="Arial" w:eastAsia="Arial" w:hAnsi="Arial" w:cs="Arial"/>
          <w:lang w:val="sr-Cyrl-CS"/>
        </w:rPr>
        <w:t xml:space="preserve"> воље</w:t>
      </w:r>
      <w:r w:rsidRPr="002752CD">
        <w:rPr>
          <w:rFonts w:ascii="Arial" w:eastAsia="Arial" w:hAnsi="Arial" w:cs="Arial"/>
        </w:rPr>
        <w:t>. Облигационо-правни карактер из области уговора о осигурању (осим обавезних осигурања) значи да уговарање правног посла претпоставља слободу, у границама принудних прописа, јавног поретка и добрих пословних обичаја и да се ови послови обављају по слободној обостраној вољи;</w:t>
      </w:r>
    </w:p>
    <w:p w:rsidR="00095A83" w:rsidRPr="002752CD" w:rsidRDefault="00095A83" w:rsidP="003D69DC">
      <w:pPr>
        <w:tabs>
          <w:tab w:val="left" w:pos="450"/>
        </w:tabs>
        <w:spacing w:after="0" w:line="240" w:lineRule="auto"/>
        <w:ind w:left="-567"/>
        <w:jc w:val="both"/>
        <w:rPr>
          <w:rFonts w:ascii="Arial" w:eastAsia="Arial" w:hAnsi="Arial" w:cs="Arial"/>
        </w:rPr>
      </w:pPr>
    </w:p>
    <w:p w:rsidR="00425EC1" w:rsidRDefault="00634C8A" w:rsidP="003D69DC">
      <w:pPr>
        <w:tabs>
          <w:tab w:val="left" w:pos="450"/>
        </w:tabs>
        <w:spacing w:after="0" w:line="240" w:lineRule="auto"/>
        <w:ind w:left="-567"/>
        <w:jc w:val="both"/>
        <w:rPr>
          <w:rFonts w:ascii="Arial" w:eastAsia="Arial" w:hAnsi="Arial" w:cs="Arial"/>
        </w:rPr>
      </w:pPr>
      <w:r w:rsidRPr="002752CD">
        <w:rPr>
          <w:rFonts w:ascii="Arial" w:eastAsia="Arial" w:hAnsi="Arial" w:cs="Arial"/>
        </w:rPr>
        <w:t>- да је подноситељка притужбе у том смислу имала могућност избора друштва за осигурање, иако и друга друштва, на различите начине, прописују лимите за наведено осигурање у погледу старосне доби;</w:t>
      </w:r>
    </w:p>
    <w:p w:rsidR="00095A83" w:rsidRPr="002752CD" w:rsidRDefault="00095A83" w:rsidP="003D69DC">
      <w:pPr>
        <w:tabs>
          <w:tab w:val="left" w:pos="450"/>
        </w:tabs>
        <w:spacing w:after="0" w:line="240" w:lineRule="auto"/>
        <w:ind w:left="-567"/>
        <w:jc w:val="both"/>
        <w:rPr>
          <w:rFonts w:ascii="Arial" w:eastAsia="Arial" w:hAnsi="Arial" w:cs="Arial"/>
        </w:rPr>
      </w:pPr>
    </w:p>
    <w:p w:rsidR="00425EC1" w:rsidRDefault="00634C8A" w:rsidP="003D69DC">
      <w:pPr>
        <w:tabs>
          <w:tab w:val="left" w:pos="450"/>
        </w:tabs>
        <w:spacing w:after="0" w:line="240" w:lineRule="auto"/>
        <w:ind w:left="-567"/>
        <w:jc w:val="both"/>
        <w:rPr>
          <w:rFonts w:ascii="Arial" w:eastAsia="Arial" w:hAnsi="Arial" w:cs="Arial"/>
        </w:rPr>
      </w:pPr>
      <w:r w:rsidRPr="002752CD">
        <w:rPr>
          <w:rFonts w:ascii="Arial" w:eastAsia="Arial" w:hAnsi="Arial" w:cs="Arial"/>
        </w:rPr>
        <w:t>- да друштва за осигурање имају не само право, него и законску обавезу да идентификују, мере и процењују ризике којима су изложени у свом пословању и да управљају овим ризицима применом квалитативног и квантитативног начина управљања;</w:t>
      </w:r>
    </w:p>
    <w:p w:rsidR="00095A83" w:rsidRPr="002752CD" w:rsidRDefault="00095A83" w:rsidP="003D69DC">
      <w:pPr>
        <w:tabs>
          <w:tab w:val="left" w:pos="450"/>
        </w:tabs>
        <w:spacing w:after="0" w:line="240" w:lineRule="auto"/>
        <w:ind w:left="-567"/>
        <w:jc w:val="both"/>
        <w:rPr>
          <w:rFonts w:ascii="Arial" w:eastAsia="Arial" w:hAnsi="Arial" w:cs="Arial"/>
        </w:rPr>
      </w:pPr>
    </w:p>
    <w:p w:rsidR="00425EC1" w:rsidRDefault="00634C8A" w:rsidP="003D69DC">
      <w:pPr>
        <w:tabs>
          <w:tab w:val="left" w:pos="450"/>
        </w:tabs>
        <w:spacing w:after="0" w:line="240" w:lineRule="auto"/>
        <w:ind w:left="-567"/>
        <w:jc w:val="both"/>
        <w:rPr>
          <w:rFonts w:ascii="Arial" w:eastAsia="Arial" w:hAnsi="Arial" w:cs="Arial"/>
        </w:rPr>
      </w:pPr>
      <w:r w:rsidRPr="002752CD">
        <w:rPr>
          <w:rFonts w:ascii="Arial" w:eastAsia="Arial" w:hAnsi="Arial" w:cs="Arial"/>
        </w:rPr>
        <w:t>- да друштво за осигурање утврђује процедуре за идентификовање, процену и мерење ризика, као и за управљање ризицима, у складу са прописима, стандардима и правилима струке осигурања (члан 150. Закона о осигурању);</w:t>
      </w:r>
    </w:p>
    <w:p w:rsidR="00227CFE" w:rsidRPr="002752CD" w:rsidRDefault="00227CFE" w:rsidP="003D69DC">
      <w:pPr>
        <w:tabs>
          <w:tab w:val="left" w:pos="450"/>
        </w:tabs>
        <w:spacing w:after="0" w:line="240" w:lineRule="auto"/>
        <w:ind w:left="-567"/>
        <w:jc w:val="both"/>
        <w:rPr>
          <w:rFonts w:ascii="Arial" w:eastAsia="Arial" w:hAnsi="Arial" w:cs="Arial"/>
        </w:rPr>
      </w:pPr>
    </w:p>
    <w:p w:rsidR="00425EC1" w:rsidRDefault="00634C8A" w:rsidP="003D69DC">
      <w:pPr>
        <w:tabs>
          <w:tab w:val="left" w:pos="450"/>
        </w:tabs>
        <w:spacing w:after="0" w:line="240" w:lineRule="auto"/>
        <w:ind w:left="-567"/>
        <w:jc w:val="both"/>
        <w:rPr>
          <w:rFonts w:ascii="Arial" w:eastAsia="Arial" w:hAnsi="Arial" w:cs="Arial"/>
        </w:rPr>
      </w:pPr>
      <w:r w:rsidRPr="002752CD">
        <w:rPr>
          <w:rFonts w:ascii="Arial" w:eastAsia="Arial" w:hAnsi="Arial" w:cs="Arial"/>
        </w:rPr>
        <w:t>- да је у складу са наведеним друштво формирало производ – осигурање лица за време путовања и боравка у иностранству, што је формално-правно регулисало Општим условима за осигурање лица за време путовања и боравка у иностранству;</w:t>
      </w:r>
    </w:p>
    <w:p w:rsidR="00095A83" w:rsidRPr="002752CD" w:rsidRDefault="00095A83" w:rsidP="003D69DC">
      <w:pPr>
        <w:tabs>
          <w:tab w:val="left" w:pos="450"/>
        </w:tabs>
        <w:spacing w:after="0" w:line="240" w:lineRule="auto"/>
        <w:ind w:left="-567"/>
        <w:jc w:val="both"/>
        <w:rPr>
          <w:rFonts w:ascii="Arial" w:eastAsia="Arial" w:hAnsi="Arial" w:cs="Arial"/>
        </w:rPr>
      </w:pPr>
    </w:p>
    <w:p w:rsidR="00425EC1" w:rsidRDefault="00634C8A" w:rsidP="003D69DC">
      <w:pPr>
        <w:tabs>
          <w:tab w:val="left" w:pos="450"/>
        </w:tabs>
        <w:spacing w:after="0" w:line="240" w:lineRule="auto"/>
        <w:ind w:left="-567"/>
        <w:jc w:val="both"/>
        <w:rPr>
          <w:rFonts w:ascii="Arial" w:eastAsia="Arial" w:hAnsi="Arial" w:cs="Arial"/>
        </w:rPr>
      </w:pPr>
      <w:r w:rsidRPr="002752CD">
        <w:rPr>
          <w:rFonts w:ascii="Arial" w:eastAsia="Arial" w:hAnsi="Arial" w:cs="Arial"/>
        </w:rPr>
        <w:t xml:space="preserve">- да је чланом 2. Општих услова за осигурање лица за време путовања и боравка у иностранству прописана способност за осигурање и постављен здравствени услов и старосни лимит (0-80 година); </w:t>
      </w:r>
    </w:p>
    <w:p w:rsidR="00095A83" w:rsidRPr="002752CD" w:rsidRDefault="00095A83" w:rsidP="003D69DC">
      <w:pPr>
        <w:tabs>
          <w:tab w:val="left" w:pos="450"/>
        </w:tabs>
        <w:spacing w:after="0" w:line="240" w:lineRule="auto"/>
        <w:ind w:left="-567"/>
        <w:jc w:val="both"/>
        <w:rPr>
          <w:rFonts w:ascii="Arial" w:eastAsia="Arial" w:hAnsi="Arial" w:cs="Arial"/>
        </w:rPr>
      </w:pPr>
    </w:p>
    <w:p w:rsidR="00425EC1" w:rsidRDefault="00634C8A" w:rsidP="003D69DC">
      <w:pPr>
        <w:tabs>
          <w:tab w:val="left" w:pos="450"/>
        </w:tabs>
        <w:spacing w:after="0" w:line="240" w:lineRule="auto"/>
        <w:ind w:left="-567"/>
        <w:jc w:val="both"/>
        <w:rPr>
          <w:rFonts w:ascii="Arial" w:eastAsia="Arial" w:hAnsi="Arial" w:cs="Arial"/>
        </w:rPr>
      </w:pPr>
      <w:r w:rsidRPr="002752CD">
        <w:rPr>
          <w:rFonts w:ascii="Arial" w:eastAsia="Arial" w:hAnsi="Arial" w:cs="Arial"/>
        </w:rPr>
        <w:t xml:space="preserve">- да се оваквим формулисањем општих услова не врши дискриминација на основу старосне доби, него искључиво одговорно мерење и управљање ризиком; </w:t>
      </w:r>
    </w:p>
    <w:p w:rsidR="00095A83" w:rsidRPr="002752CD" w:rsidRDefault="00095A83" w:rsidP="003D69DC">
      <w:pPr>
        <w:tabs>
          <w:tab w:val="left" w:pos="450"/>
        </w:tabs>
        <w:spacing w:after="0" w:line="240" w:lineRule="auto"/>
        <w:ind w:left="-567"/>
        <w:jc w:val="both"/>
        <w:rPr>
          <w:rFonts w:ascii="Arial" w:eastAsia="Arial" w:hAnsi="Arial" w:cs="Arial"/>
        </w:rPr>
      </w:pPr>
    </w:p>
    <w:p w:rsidR="00425EC1" w:rsidRDefault="00634C8A" w:rsidP="003D69DC">
      <w:pPr>
        <w:tabs>
          <w:tab w:val="left" w:pos="450"/>
        </w:tabs>
        <w:spacing w:after="0" w:line="240" w:lineRule="auto"/>
        <w:ind w:left="-567"/>
        <w:jc w:val="both"/>
        <w:rPr>
          <w:rFonts w:ascii="Arial" w:eastAsia="Arial" w:hAnsi="Arial" w:cs="Arial"/>
        </w:rPr>
      </w:pPr>
      <w:r w:rsidRPr="002752CD">
        <w:rPr>
          <w:rFonts w:ascii="Arial" w:eastAsia="Arial" w:hAnsi="Arial" w:cs="Arial"/>
        </w:rPr>
        <w:lastRenderedPageBreak/>
        <w:t>- да то чине и друга осигуравајућа друштва, као и државна установа – Републички фонд за здравствено осигурање, који ограничава могућност осигурања лица старијих од 75 година преко 31 дана;</w:t>
      </w:r>
    </w:p>
    <w:p w:rsidR="00095A83" w:rsidRPr="002752CD" w:rsidRDefault="00095A83" w:rsidP="003D69DC">
      <w:pPr>
        <w:tabs>
          <w:tab w:val="left" w:pos="450"/>
        </w:tabs>
        <w:spacing w:after="0" w:line="240" w:lineRule="auto"/>
        <w:ind w:left="-567"/>
        <w:jc w:val="both"/>
        <w:rPr>
          <w:rFonts w:ascii="Arial" w:eastAsia="Arial" w:hAnsi="Arial" w:cs="Arial"/>
        </w:rPr>
      </w:pPr>
    </w:p>
    <w:p w:rsidR="00425EC1" w:rsidRDefault="00634C8A" w:rsidP="003D69DC">
      <w:pPr>
        <w:tabs>
          <w:tab w:val="left" w:pos="450"/>
        </w:tabs>
        <w:spacing w:after="0" w:line="240" w:lineRule="auto"/>
        <w:ind w:left="-567"/>
        <w:jc w:val="both"/>
        <w:rPr>
          <w:rFonts w:ascii="Arial" w:eastAsia="Arial" w:hAnsi="Arial" w:cs="Arial"/>
        </w:rPr>
      </w:pPr>
      <w:r w:rsidRPr="002752CD">
        <w:rPr>
          <w:rFonts w:ascii="Arial" w:eastAsia="Arial" w:hAnsi="Arial" w:cs="Arial"/>
        </w:rPr>
        <w:t>- да би у случају да се истим захтевом обратила Републичком фонду за здравствено осигурање, подноситељка притужбе добила истоветан, одбијајући одговор, што такође не значи дискриминацију, него одговорно и по правилима струке засновано управљање ризицима у правцу заштите интереса државних средстава;</w:t>
      </w:r>
    </w:p>
    <w:p w:rsidR="00095A83" w:rsidRPr="002752CD" w:rsidRDefault="00095A83" w:rsidP="003D69DC">
      <w:pPr>
        <w:tabs>
          <w:tab w:val="left" w:pos="450"/>
        </w:tabs>
        <w:spacing w:after="0" w:line="240" w:lineRule="auto"/>
        <w:ind w:left="-567"/>
        <w:jc w:val="both"/>
        <w:rPr>
          <w:rFonts w:ascii="Arial" w:eastAsia="Arial" w:hAnsi="Arial" w:cs="Arial"/>
        </w:rPr>
      </w:pPr>
    </w:p>
    <w:p w:rsidR="00425EC1" w:rsidRDefault="00634C8A" w:rsidP="003D69DC">
      <w:pPr>
        <w:tabs>
          <w:tab w:val="left" w:pos="450"/>
        </w:tabs>
        <w:spacing w:after="0" w:line="240" w:lineRule="auto"/>
        <w:ind w:left="-567"/>
        <w:jc w:val="both"/>
        <w:rPr>
          <w:rFonts w:ascii="Arial" w:eastAsia="Arial" w:hAnsi="Arial" w:cs="Arial"/>
        </w:rPr>
      </w:pPr>
      <w:r w:rsidRPr="002752CD">
        <w:rPr>
          <w:rFonts w:ascii="Arial" w:eastAsia="Arial" w:hAnsi="Arial" w:cs="Arial"/>
        </w:rPr>
        <w:t>- да је на исти начин потребно дозволити акционарским друштвима да штите своје интересе;</w:t>
      </w:r>
    </w:p>
    <w:p w:rsidR="00095A83" w:rsidRPr="002752CD" w:rsidRDefault="00095A83" w:rsidP="003D69DC">
      <w:pPr>
        <w:tabs>
          <w:tab w:val="left" w:pos="450"/>
        </w:tabs>
        <w:spacing w:after="0" w:line="240" w:lineRule="auto"/>
        <w:ind w:left="-567"/>
        <w:jc w:val="both"/>
        <w:rPr>
          <w:rFonts w:ascii="Arial" w:eastAsia="Arial" w:hAnsi="Arial" w:cs="Arial"/>
        </w:rPr>
      </w:pPr>
    </w:p>
    <w:p w:rsidR="00425EC1" w:rsidRDefault="00634C8A" w:rsidP="003D69DC">
      <w:pPr>
        <w:tabs>
          <w:tab w:val="left" w:pos="450"/>
        </w:tabs>
        <w:spacing w:after="0" w:line="240" w:lineRule="auto"/>
        <w:ind w:left="-567"/>
        <w:jc w:val="both"/>
        <w:rPr>
          <w:rFonts w:ascii="Arial" w:eastAsia="Arial" w:hAnsi="Arial" w:cs="Arial"/>
        </w:rPr>
      </w:pPr>
      <w:r w:rsidRPr="002752CD">
        <w:rPr>
          <w:rFonts w:ascii="Arial" w:eastAsia="Arial" w:hAnsi="Arial" w:cs="Arial"/>
        </w:rPr>
        <w:t>- да су нетачни наводи подноситељке притужбе да је друштво ограничило њена права на путовање, што укључује и остале садржаје које је навела. Раније, док је за држављане Србије била потребна Шенген виза, осигурање је било обавезан услов за добијање визе. Сада, у промењеним околностима, осигурање није обавезно;</w:t>
      </w:r>
    </w:p>
    <w:p w:rsidR="00095A83" w:rsidRPr="002752CD" w:rsidRDefault="00095A83" w:rsidP="003D69DC">
      <w:pPr>
        <w:tabs>
          <w:tab w:val="left" w:pos="450"/>
        </w:tabs>
        <w:spacing w:after="0" w:line="240" w:lineRule="auto"/>
        <w:ind w:left="-567"/>
        <w:jc w:val="both"/>
        <w:rPr>
          <w:rFonts w:ascii="Arial" w:eastAsia="Arial" w:hAnsi="Arial" w:cs="Arial"/>
        </w:rPr>
      </w:pPr>
    </w:p>
    <w:p w:rsidR="00425EC1" w:rsidRDefault="00634C8A" w:rsidP="003D69DC">
      <w:pPr>
        <w:tabs>
          <w:tab w:val="left" w:pos="450"/>
        </w:tabs>
        <w:spacing w:after="0" w:line="240" w:lineRule="auto"/>
        <w:ind w:left="-567"/>
        <w:jc w:val="both"/>
        <w:rPr>
          <w:rFonts w:ascii="Arial" w:eastAsia="Arial" w:hAnsi="Arial" w:cs="Arial"/>
        </w:rPr>
      </w:pPr>
      <w:r w:rsidRPr="002752CD">
        <w:rPr>
          <w:rFonts w:ascii="Arial" w:eastAsia="Arial" w:hAnsi="Arial" w:cs="Arial"/>
        </w:rPr>
        <w:t>- да свакако треба поздравити одлуку подноситељке притужбе да своје путовање додатно учини релаксираним куповином путног здравственог осигурања, али да је то у сваком друштву за осигурање, па и њиховом, могуће учинити само у складу са актима пословне политике.</w:t>
      </w:r>
    </w:p>
    <w:p w:rsidR="00095A83" w:rsidRPr="002752CD" w:rsidRDefault="00095A83" w:rsidP="003D69DC">
      <w:pPr>
        <w:tabs>
          <w:tab w:val="left" w:pos="450"/>
        </w:tabs>
        <w:spacing w:after="0" w:line="240" w:lineRule="auto"/>
        <w:ind w:left="-567"/>
        <w:jc w:val="both"/>
        <w:rPr>
          <w:rFonts w:ascii="Arial" w:eastAsia="Arial" w:hAnsi="Arial" w:cs="Arial"/>
        </w:rPr>
      </w:pPr>
    </w:p>
    <w:p w:rsidR="00095A83" w:rsidRPr="002752CD" w:rsidRDefault="00634C8A" w:rsidP="001D6DBA">
      <w:pPr>
        <w:tabs>
          <w:tab w:val="left" w:pos="450"/>
        </w:tabs>
        <w:spacing w:after="0" w:line="240" w:lineRule="auto"/>
        <w:ind w:left="-567"/>
        <w:jc w:val="both"/>
        <w:rPr>
          <w:rFonts w:ascii="Arial" w:eastAsia="Arial" w:hAnsi="Arial" w:cs="Arial"/>
        </w:rPr>
      </w:pPr>
      <w:r w:rsidRPr="002752CD">
        <w:rPr>
          <w:rFonts w:ascii="Arial" w:eastAsia="Arial" w:hAnsi="Arial" w:cs="Arial"/>
          <w:b/>
        </w:rPr>
        <w:t>1.5.</w:t>
      </w:r>
      <w:r w:rsidRPr="002752CD">
        <w:rPr>
          <w:rFonts w:ascii="Arial" w:eastAsia="Arial" w:hAnsi="Arial" w:cs="Arial"/>
        </w:rPr>
        <w:t xml:space="preserve"> Уз изјашњење су достављени Општи услови за осигурање лица за време путовања и боравка у иност</w:t>
      </w:r>
      <w:r w:rsidR="00316EF9">
        <w:rPr>
          <w:rFonts w:ascii="Arial" w:eastAsia="Arial" w:hAnsi="Arial" w:cs="Arial"/>
        </w:rPr>
        <w:t>ранству ОУ-ПЗО-.</w:t>
      </w:r>
      <w:r w:rsidRPr="002752CD">
        <w:rPr>
          <w:rFonts w:ascii="Arial" w:eastAsia="Arial" w:hAnsi="Arial" w:cs="Arial"/>
        </w:rPr>
        <w:t>/</w:t>
      </w:r>
      <w:r w:rsidR="00316EF9">
        <w:rPr>
          <w:rFonts w:ascii="Arial" w:eastAsia="Arial" w:hAnsi="Arial" w:cs="Arial"/>
        </w:rPr>
        <w:t>.. бр. ..</w:t>
      </w:r>
      <w:r w:rsidRPr="002752CD">
        <w:rPr>
          <w:rFonts w:ascii="Arial" w:eastAsia="Arial" w:hAnsi="Arial" w:cs="Arial"/>
        </w:rPr>
        <w:t>-</w:t>
      </w:r>
      <w:r w:rsidR="00316EF9">
        <w:rPr>
          <w:rFonts w:ascii="Arial" w:eastAsia="Arial" w:hAnsi="Arial" w:cs="Arial"/>
        </w:rPr>
        <w:t>....</w:t>
      </w:r>
      <w:r w:rsidR="00FC009D">
        <w:rPr>
          <w:rFonts w:ascii="Arial" w:eastAsia="Arial" w:hAnsi="Arial" w:cs="Arial"/>
        </w:rPr>
        <w:t xml:space="preserve"> од 15. новембра 2017. </w:t>
      </w:r>
      <w:r w:rsidR="00FC009D">
        <w:rPr>
          <w:rFonts w:ascii="Arial" w:eastAsia="Arial" w:hAnsi="Arial" w:cs="Arial"/>
          <w:lang w:val="sr-Cyrl-RS"/>
        </w:rPr>
        <w:t>г</w:t>
      </w:r>
      <w:r w:rsidR="00FC009D">
        <w:rPr>
          <w:rFonts w:ascii="Arial" w:eastAsia="Arial" w:hAnsi="Arial" w:cs="Arial"/>
        </w:rPr>
        <w:t>одине</w:t>
      </w:r>
      <w:r w:rsidR="00FC009D">
        <w:rPr>
          <w:rFonts w:ascii="Arial" w:eastAsia="Arial" w:hAnsi="Arial" w:cs="Arial"/>
          <w:lang w:val="sr-Cyrl-RS"/>
        </w:rPr>
        <w:t xml:space="preserve"> </w:t>
      </w:r>
      <w:r w:rsidRPr="002752CD">
        <w:rPr>
          <w:rFonts w:ascii="Arial" w:eastAsia="Arial" w:hAnsi="Arial" w:cs="Arial"/>
        </w:rPr>
        <w:t>и документ насловљен „Путно осигурањеˮ који садржи преглед цена полисе за земље Европе.</w:t>
      </w:r>
    </w:p>
    <w:p w:rsidR="00095A83" w:rsidRDefault="00095A83" w:rsidP="003D69DC">
      <w:pPr>
        <w:spacing w:after="0" w:line="240" w:lineRule="auto"/>
        <w:ind w:left="-567"/>
        <w:jc w:val="both"/>
        <w:rPr>
          <w:rFonts w:ascii="Arial" w:eastAsia="Arial" w:hAnsi="Arial" w:cs="Arial"/>
          <w:b/>
          <w:color w:val="000000"/>
        </w:rPr>
      </w:pPr>
    </w:p>
    <w:p w:rsidR="00EE6B35" w:rsidRDefault="00FA4BE5" w:rsidP="001D6DBA">
      <w:pPr>
        <w:spacing w:after="0" w:line="240" w:lineRule="auto"/>
        <w:ind w:left="-567"/>
        <w:jc w:val="both"/>
        <w:rPr>
          <w:rFonts w:ascii="Arial" w:eastAsia="Arial" w:hAnsi="Arial" w:cs="Arial"/>
          <w:b/>
          <w:color w:val="000000"/>
          <w:lang w:val="sr-Cyrl-RS"/>
        </w:rPr>
      </w:pPr>
      <w:r w:rsidRPr="002752CD">
        <w:rPr>
          <w:rFonts w:ascii="Arial" w:eastAsia="Arial" w:hAnsi="Arial" w:cs="Arial"/>
          <w:b/>
          <w:color w:val="000000"/>
        </w:rPr>
        <w:t xml:space="preserve">2. </w:t>
      </w:r>
      <w:r w:rsidR="00634C8A" w:rsidRPr="002752CD">
        <w:rPr>
          <w:rFonts w:ascii="Arial" w:eastAsia="Arial" w:hAnsi="Arial" w:cs="Arial"/>
          <w:b/>
          <w:color w:val="000000"/>
        </w:rPr>
        <w:t>ЧИЊЕНИЧНО СТАЊЕ</w:t>
      </w:r>
    </w:p>
    <w:p w:rsidR="00FC009D" w:rsidRPr="00FC009D" w:rsidRDefault="00FC009D" w:rsidP="001D6DBA">
      <w:pPr>
        <w:spacing w:after="0" w:line="240" w:lineRule="auto"/>
        <w:ind w:left="-567"/>
        <w:jc w:val="both"/>
        <w:rPr>
          <w:rFonts w:ascii="Arial" w:eastAsia="Arial" w:hAnsi="Arial" w:cs="Arial"/>
          <w:b/>
          <w:color w:val="000000"/>
          <w:lang w:val="sr-Cyrl-RS"/>
        </w:rPr>
      </w:pPr>
    </w:p>
    <w:p w:rsidR="00425EC1" w:rsidRDefault="00634C8A" w:rsidP="003D69DC">
      <w:pPr>
        <w:spacing w:after="0" w:line="240" w:lineRule="auto"/>
        <w:ind w:left="-567"/>
        <w:jc w:val="both"/>
        <w:rPr>
          <w:rFonts w:ascii="Arial" w:eastAsia="Arial" w:hAnsi="Arial" w:cs="Arial"/>
        </w:rPr>
      </w:pPr>
      <w:r w:rsidRPr="002752CD">
        <w:rPr>
          <w:rFonts w:ascii="Arial" w:eastAsia="Arial" w:hAnsi="Arial" w:cs="Arial"/>
          <w:b/>
          <w:color w:val="000000"/>
        </w:rPr>
        <w:t xml:space="preserve">2.1. </w:t>
      </w:r>
      <w:r w:rsidRPr="002752CD">
        <w:rPr>
          <w:rFonts w:ascii="Arial" w:eastAsia="Arial" w:hAnsi="Arial" w:cs="Arial"/>
        </w:rPr>
        <w:t>Увидом у имејл преписку између Д</w:t>
      </w:r>
      <w:r w:rsidR="00316EF9">
        <w:rPr>
          <w:rFonts w:ascii="Arial" w:eastAsia="Arial" w:hAnsi="Arial" w:cs="Arial"/>
        </w:rPr>
        <w:t>.</w:t>
      </w:r>
      <w:r w:rsidRPr="002752CD">
        <w:rPr>
          <w:rFonts w:ascii="Arial" w:eastAsia="Arial" w:hAnsi="Arial" w:cs="Arial"/>
        </w:rPr>
        <w:t xml:space="preserve"> Н</w:t>
      </w:r>
      <w:r w:rsidR="00316EF9">
        <w:rPr>
          <w:rFonts w:ascii="Arial" w:eastAsia="Arial" w:hAnsi="Arial" w:cs="Arial"/>
        </w:rPr>
        <w:t>.</w:t>
      </w:r>
      <w:r w:rsidRPr="002752CD">
        <w:rPr>
          <w:rFonts w:ascii="Arial" w:eastAsia="Arial" w:hAnsi="Arial" w:cs="Arial"/>
        </w:rPr>
        <w:t xml:space="preserve"> и В</w:t>
      </w:r>
      <w:r w:rsidR="00316EF9">
        <w:rPr>
          <w:rFonts w:ascii="Arial" w:eastAsia="Arial" w:hAnsi="Arial" w:cs="Arial"/>
        </w:rPr>
        <w:t>.</w:t>
      </w:r>
      <w:r w:rsidRPr="002752CD">
        <w:rPr>
          <w:rFonts w:ascii="Arial" w:eastAsia="Arial" w:hAnsi="Arial" w:cs="Arial"/>
        </w:rPr>
        <w:t xml:space="preserve"> Р, шефа Од</w:t>
      </w:r>
      <w:r w:rsidR="00FC009D">
        <w:rPr>
          <w:rFonts w:ascii="Arial" w:eastAsia="Arial" w:hAnsi="Arial" w:cs="Arial"/>
        </w:rPr>
        <w:t>ељења за асистентска осигурања</w:t>
      </w:r>
      <w:r w:rsidR="00FC009D">
        <w:rPr>
          <w:rFonts w:ascii="Arial" w:eastAsia="Arial" w:hAnsi="Arial" w:cs="Arial"/>
          <w:lang w:val="sr-Cyrl-RS"/>
        </w:rPr>
        <w:t xml:space="preserve"> овог осигуравајућег друштва</w:t>
      </w:r>
      <w:r w:rsidRPr="002752CD">
        <w:rPr>
          <w:rFonts w:ascii="Arial" w:eastAsia="Arial" w:hAnsi="Arial" w:cs="Arial"/>
        </w:rPr>
        <w:t>, од 28. маја 2019. године, утврђено је да је Д</w:t>
      </w:r>
      <w:r w:rsidR="00316EF9">
        <w:rPr>
          <w:rFonts w:ascii="Arial" w:eastAsia="Arial" w:hAnsi="Arial" w:cs="Arial"/>
        </w:rPr>
        <w:t>.</w:t>
      </w:r>
      <w:r w:rsidRPr="002752CD">
        <w:rPr>
          <w:rFonts w:ascii="Arial" w:eastAsia="Arial" w:hAnsi="Arial" w:cs="Arial"/>
        </w:rPr>
        <w:t xml:space="preserve"> Н</w:t>
      </w:r>
      <w:r w:rsidR="00316EF9">
        <w:rPr>
          <w:rFonts w:ascii="Arial" w:eastAsia="Arial" w:hAnsi="Arial" w:cs="Arial"/>
        </w:rPr>
        <w:t>.</w:t>
      </w:r>
      <w:r w:rsidRPr="002752CD">
        <w:rPr>
          <w:rFonts w:ascii="Arial" w:eastAsia="Arial" w:hAnsi="Arial" w:cs="Arial"/>
        </w:rPr>
        <w:t xml:space="preserve"> написао следеће: „Обратила нам се наша стална странка коју осигуравамо годинама захтевом да јој урадимо полису путног осигурања на 90 дана за пут у Швајцарску. Пошто се ради о госпођи од 81 године, молим Вас да нам јавите да ли смо у могућности да јој изађемо у сусрет и урадимо тражену полису осигурања.ˮ В</w:t>
      </w:r>
      <w:r w:rsidR="00316EF9">
        <w:rPr>
          <w:rFonts w:ascii="Arial" w:eastAsia="Arial" w:hAnsi="Arial" w:cs="Arial"/>
        </w:rPr>
        <w:t>.</w:t>
      </w:r>
      <w:r w:rsidRPr="002752CD">
        <w:rPr>
          <w:rFonts w:ascii="Arial" w:eastAsia="Arial" w:hAnsi="Arial" w:cs="Arial"/>
        </w:rPr>
        <w:t xml:space="preserve"> Р</w:t>
      </w:r>
      <w:r w:rsidR="00316EF9">
        <w:rPr>
          <w:rFonts w:ascii="Arial" w:eastAsia="Arial" w:hAnsi="Arial" w:cs="Arial"/>
        </w:rPr>
        <w:t>.</w:t>
      </w:r>
      <w:r w:rsidRPr="002752CD">
        <w:rPr>
          <w:rFonts w:ascii="Arial" w:eastAsia="Arial" w:hAnsi="Arial" w:cs="Arial"/>
        </w:rPr>
        <w:t xml:space="preserve"> је Д</w:t>
      </w:r>
      <w:r w:rsidR="00316EF9">
        <w:rPr>
          <w:rFonts w:ascii="Arial" w:eastAsia="Arial" w:hAnsi="Arial" w:cs="Arial"/>
        </w:rPr>
        <w:t>.</w:t>
      </w:r>
      <w:r w:rsidRPr="002752CD">
        <w:rPr>
          <w:rFonts w:ascii="Arial" w:eastAsia="Arial" w:hAnsi="Arial" w:cs="Arial"/>
        </w:rPr>
        <w:t xml:space="preserve"> Н</w:t>
      </w:r>
      <w:r w:rsidR="00316EF9">
        <w:rPr>
          <w:rFonts w:ascii="Arial" w:eastAsia="Arial" w:hAnsi="Arial" w:cs="Arial"/>
        </w:rPr>
        <w:t>.</w:t>
      </w:r>
      <w:r w:rsidRPr="002752CD">
        <w:rPr>
          <w:rFonts w:ascii="Arial" w:eastAsia="Arial" w:hAnsi="Arial" w:cs="Arial"/>
        </w:rPr>
        <w:t xml:space="preserve"> одговорио следеће: „Нажалост нисмо у могућности да издамо такву полису, јер се према нашим условима осигуравају само лица до 80 година страости. Шаљем вам услове у </w:t>
      </w:r>
      <w:r w:rsidRPr="002752CD">
        <w:rPr>
          <w:rFonts w:ascii="Arial" w:eastAsia="Arial" w:hAnsi="Arial" w:cs="Arial"/>
          <w:i/>
        </w:rPr>
        <w:t>att.</w:t>
      </w:r>
      <w:r w:rsidRPr="002752CD">
        <w:rPr>
          <w:rFonts w:ascii="Arial" w:eastAsia="Arial" w:hAnsi="Arial" w:cs="Arial"/>
        </w:rPr>
        <w:t xml:space="preserve"> где је то дефинисано у члану 2.ˮ</w:t>
      </w:r>
    </w:p>
    <w:p w:rsidR="002752CD" w:rsidRPr="002752CD" w:rsidRDefault="002752CD" w:rsidP="003D69DC">
      <w:pPr>
        <w:spacing w:after="0" w:line="240" w:lineRule="auto"/>
        <w:ind w:left="-567"/>
        <w:jc w:val="both"/>
        <w:rPr>
          <w:rFonts w:ascii="Arial" w:eastAsia="Arial" w:hAnsi="Arial" w:cs="Arial"/>
          <w:b/>
          <w:color w:val="000000"/>
        </w:rPr>
      </w:pPr>
    </w:p>
    <w:p w:rsidR="00425EC1" w:rsidRDefault="00634C8A" w:rsidP="003D69DC">
      <w:pPr>
        <w:spacing w:after="0" w:line="240" w:lineRule="auto"/>
        <w:ind w:left="-567"/>
        <w:jc w:val="both"/>
        <w:rPr>
          <w:rFonts w:ascii="Arial" w:eastAsia="Arial" w:hAnsi="Arial" w:cs="Arial"/>
        </w:rPr>
      </w:pPr>
      <w:r w:rsidRPr="002752CD">
        <w:rPr>
          <w:rFonts w:ascii="Arial" w:eastAsia="Arial" w:hAnsi="Arial" w:cs="Arial"/>
          <w:b/>
          <w:color w:val="000000"/>
        </w:rPr>
        <w:t xml:space="preserve">2.2. </w:t>
      </w:r>
      <w:r w:rsidRPr="002752CD">
        <w:rPr>
          <w:rFonts w:ascii="Arial" w:eastAsia="Arial" w:hAnsi="Arial" w:cs="Arial"/>
        </w:rPr>
        <w:t>Одредбом члана 2. Општих услова за осигурање лица за време путовања и</w:t>
      </w:r>
      <w:r w:rsidR="00316EF9">
        <w:rPr>
          <w:rFonts w:ascii="Arial" w:eastAsia="Arial" w:hAnsi="Arial" w:cs="Arial"/>
        </w:rPr>
        <w:t xml:space="preserve"> боравка у иностранству ОУ-ПЗО-.</w:t>
      </w:r>
      <w:r w:rsidRPr="002752CD">
        <w:rPr>
          <w:rFonts w:ascii="Arial" w:eastAsia="Arial" w:hAnsi="Arial" w:cs="Arial"/>
        </w:rPr>
        <w:t>/</w:t>
      </w:r>
      <w:r w:rsidR="00316EF9">
        <w:rPr>
          <w:rFonts w:ascii="Arial" w:eastAsia="Arial" w:hAnsi="Arial" w:cs="Arial"/>
        </w:rPr>
        <w:t>..</w:t>
      </w:r>
      <w:r w:rsidRPr="002752CD">
        <w:rPr>
          <w:rFonts w:ascii="Arial" w:eastAsia="Arial" w:hAnsi="Arial" w:cs="Arial"/>
        </w:rPr>
        <w:t xml:space="preserve"> бр. </w:t>
      </w:r>
      <w:r w:rsidR="00316EF9">
        <w:rPr>
          <w:rFonts w:ascii="Arial" w:eastAsia="Arial" w:hAnsi="Arial" w:cs="Arial"/>
        </w:rPr>
        <w:t>..</w:t>
      </w:r>
      <w:r w:rsidRPr="002752CD">
        <w:rPr>
          <w:rFonts w:ascii="Arial" w:eastAsia="Arial" w:hAnsi="Arial" w:cs="Arial"/>
        </w:rPr>
        <w:t>-</w:t>
      </w:r>
      <w:r w:rsidR="00316EF9">
        <w:rPr>
          <w:rFonts w:ascii="Arial" w:eastAsia="Arial" w:hAnsi="Arial" w:cs="Arial"/>
        </w:rPr>
        <w:t>....</w:t>
      </w:r>
      <w:r w:rsidR="00FC009D">
        <w:rPr>
          <w:rFonts w:ascii="Arial" w:eastAsia="Arial" w:hAnsi="Arial" w:cs="Arial"/>
        </w:rPr>
        <w:t xml:space="preserve"> од 15. новембра 2017. </w:t>
      </w:r>
      <w:r w:rsidR="00FC009D">
        <w:rPr>
          <w:rFonts w:ascii="Arial" w:eastAsia="Arial" w:hAnsi="Arial" w:cs="Arial"/>
          <w:lang w:val="sr-Cyrl-RS"/>
        </w:rPr>
        <w:t>г</w:t>
      </w:r>
      <w:r w:rsidR="00FC009D">
        <w:rPr>
          <w:rFonts w:ascii="Arial" w:eastAsia="Arial" w:hAnsi="Arial" w:cs="Arial"/>
        </w:rPr>
        <w:t>одине</w:t>
      </w:r>
      <w:r w:rsidR="00FC009D">
        <w:rPr>
          <w:rFonts w:ascii="Arial" w:eastAsia="Arial" w:hAnsi="Arial" w:cs="Arial"/>
          <w:lang w:val="sr-Cyrl-RS"/>
        </w:rPr>
        <w:t xml:space="preserve"> </w:t>
      </w:r>
      <w:r w:rsidRPr="002752CD">
        <w:rPr>
          <w:rFonts w:ascii="Arial" w:eastAsia="Arial" w:hAnsi="Arial" w:cs="Arial"/>
        </w:rPr>
        <w:t>прописано је да се по овим условима могу осигурати здрава лица од 0 месеци до навршених 80 година живота, који су држављани Републике Србије, као и страни држављани и лица без држављанства уз услов да имају пребивалиште односно одобрење за привремени боравак или су стално настањени у Републици Србији.</w:t>
      </w:r>
    </w:p>
    <w:p w:rsidR="00095A83" w:rsidRPr="002752CD" w:rsidRDefault="00095A83" w:rsidP="003D69DC">
      <w:pPr>
        <w:spacing w:after="0" w:line="240" w:lineRule="auto"/>
        <w:ind w:left="-567"/>
        <w:jc w:val="both"/>
        <w:rPr>
          <w:rFonts w:ascii="Arial" w:eastAsia="Arial" w:hAnsi="Arial" w:cs="Arial"/>
        </w:rPr>
      </w:pPr>
    </w:p>
    <w:p w:rsidR="00425EC1" w:rsidRDefault="00634C8A" w:rsidP="003D69DC">
      <w:pPr>
        <w:tabs>
          <w:tab w:val="left" w:pos="450"/>
        </w:tabs>
        <w:spacing w:after="0" w:line="240" w:lineRule="auto"/>
        <w:ind w:left="-567"/>
        <w:jc w:val="both"/>
        <w:rPr>
          <w:rFonts w:ascii="Arial" w:eastAsia="Arial" w:hAnsi="Arial" w:cs="Arial"/>
        </w:rPr>
      </w:pPr>
      <w:r w:rsidRPr="002752CD">
        <w:rPr>
          <w:rFonts w:ascii="Arial" w:eastAsia="Arial" w:hAnsi="Arial" w:cs="Arial"/>
          <w:b/>
          <w:color w:val="000000"/>
        </w:rPr>
        <w:t xml:space="preserve">2.3. </w:t>
      </w:r>
      <w:r w:rsidRPr="002752CD">
        <w:rPr>
          <w:rFonts w:ascii="Arial" w:eastAsia="Arial" w:hAnsi="Arial" w:cs="Arial"/>
        </w:rPr>
        <w:t>Увидом у документ насловљен „Путно осигурањеˮ утврђено је да је у истом наведено следеће: „Можете попунити формулар и наручити полису путног осигурања. За случај хитне, неопходне и неодложне медицинске помоћи за време пута и боравка у иностранству осигураник сноси трошкове лечења, које му по повратку са пута Добровољно осигурање РФЗО рефундира до износа од највише 15.000,00 евра.ˮ Документ садржи преглед цена полисе за земље Европе (укључујући Турску и Русију), за старије од 75 година. У наведеном прегледу наведене су цене од другог до 31. дана боравка. Од 32. до 90. дана боравка, у прегледу нису наведене цене.</w:t>
      </w:r>
    </w:p>
    <w:p w:rsidR="00425EC1" w:rsidRPr="002752CD" w:rsidRDefault="00425EC1" w:rsidP="003D69DC">
      <w:pPr>
        <w:spacing w:after="0" w:line="240" w:lineRule="auto"/>
        <w:ind w:left="-567"/>
        <w:jc w:val="both"/>
        <w:rPr>
          <w:rFonts w:ascii="Arial" w:eastAsia="Arial" w:hAnsi="Arial" w:cs="Arial"/>
          <w:b/>
          <w:color w:val="000000"/>
        </w:rPr>
      </w:pPr>
    </w:p>
    <w:p w:rsidR="00425EC1" w:rsidRPr="002752CD" w:rsidRDefault="00FA4BE5" w:rsidP="003D69DC">
      <w:pPr>
        <w:spacing w:after="0" w:line="240" w:lineRule="auto"/>
        <w:ind w:left="-567"/>
        <w:jc w:val="both"/>
        <w:rPr>
          <w:rFonts w:ascii="Arial" w:eastAsia="Arial" w:hAnsi="Arial" w:cs="Arial"/>
          <w:b/>
          <w:color w:val="000000"/>
        </w:rPr>
      </w:pPr>
      <w:r w:rsidRPr="002752CD">
        <w:rPr>
          <w:rFonts w:ascii="Arial" w:eastAsia="Arial" w:hAnsi="Arial" w:cs="Arial"/>
          <w:b/>
          <w:color w:val="000000"/>
        </w:rPr>
        <w:t xml:space="preserve">3. </w:t>
      </w:r>
      <w:r w:rsidR="00634C8A" w:rsidRPr="002752CD">
        <w:rPr>
          <w:rFonts w:ascii="Arial" w:eastAsia="Arial" w:hAnsi="Arial" w:cs="Arial"/>
          <w:b/>
          <w:color w:val="000000"/>
        </w:rPr>
        <w:t>МОТИВИ И РАЗЛОЗИ ЗА ДОНОШЕЊЕ МИШЉЕЊА</w:t>
      </w:r>
    </w:p>
    <w:p w:rsidR="00425EC1" w:rsidRPr="002752CD" w:rsidRDefault="00425EC1" w:rsidP="003D69DC">
      <w:pPr>
        <w:spacing w:after="0" w:line="240" w:lineRule="auto"/>
        <w:ind w:left="-567"/>
        <w:jc w:val="both"/>
        <w:rPr>
          <w:rFonts w:ascii="Arial" w:eastAsia="Arial" w:hAnsi="Arial" w:cs="Arial"/>
          <w:b/>
          <w:color w:val="000000"/>
        </w:rPr>
      </w:pPr>
    </w:p>
    <w:p w:rsidR="00425EC1" w:rsidRDefault="00634C8A" w:rsidP="003D69DC">
      <w:pPr>
        <w:tabs>
          <w:tab w:val="left" w:pos="450"/>
        </w:tabs>
        <w:spacing w:after="0" w:line="240" w:lineRule="auto"/>
        <w:ind w:left="-567"/>
        <w:jc w:val="both"/>
        <w:rPr>
          <w:rFonts w:ascii="Arial" w:eastAsia="Arial" w:hAnsi="Arial" w:cs="Arial"/>
        </w:rPr>
      </w:pPr>
      <w:r w:rsidRPr="002752CD">
        <w:rPr>
          <w:rFonts w:ascii="Arial" w:eastAsia="Arial" w:hAnsi="Arial" w:cs="Arial"/>
        </w:rPr>
        <w:t>Повереник за заштиту равноправности, приликом одлучивања у овом предмету, имао је у виду наводе садржане у притужби и изјашњењу, као и релевантне правне прописе у области заштите од дискриминације.</w:t>
      </w:r>
    </w:p>
    <w:p w:rsidR="007F171D" w:rsidRPr="002752CD" w:rsidRDefault="007F171D" w:rsidP="003D69DC">
      <w:pPr>
        <w:tabs>
          <w:tab w:val="left" w:pos="450"/>
        </w:tabs>
        <w:spacing w:after="0" w:line="240" w:lineRule="auto"/>
        <w:ind w:left="-567"/>
        <w:jc w:val="both"/>
        <w:rPr>
          <w:rFonts w:ascii="Arial" w:eastAsia="Arial" w:hAnsi="Arial" w:cs="Arial"/>
        </w:rPr>
      </w:pPr>
    </w:p>
    <w:p w:rsidR="00425EC1" w:rsidRDefault="00634C8A" w:rsidP="003D69DC">
      <w:pPr>
        <w:tabs>
          <w:tab w:val="left" w:pos="450"/>
        </w:tabs>
        <w:spacing w:after="0" w:line="240" w:lineRule="auto"/>
        <w:ind w:left="-567"/>
        <w:jc w:val="both"/>
        <w:rPr>
          <w:rFonts w:ascii="Arial" w:eastAsia="Arial" w:hAnsi="Arial" w:cs="Arial"/>
          <w:u w:val="single"/>
        </w:rPr>
      </w:pPr>
      <w:r w:rsidRPr="002752CD">
        <w:rPr>
          <w:rFonts w:ascii="Arial" w:eastAsia="Arial" w:hAnsi="Arial" w:cs="Arial"/>
          <w:u w:val="single"/>
        </w:rPr>
        <w:t>Правни оквир</w:t>
      </w:r>
    </w:p>
    <w:p w:rsidR="007F171D" w:rsidRPr="002752CD" w:rsidRDefault="007F171D" w:rsidP="003D69DC">
      <w:pPr>
        <w:tabs>
          <w:tab w:val="left" w:pos="450"/>
        </w:tabs>
        <w:spacing w:after="0" w:line="240" w:lineRule="auto"/>
        <w:ind w:left="-567"/>
        <w:jc w:val="both"/>
        <w:rPr>
          <w:rFonts w:ascii="Arial" w:eastAsia="Arial" w:hAnsi="Arial" w:cs="Arial"/>
          <w:b/>
          <w:color w:val="000000"/>
        </w:rPr>
      </w:pPr>
    </w:p>
    <w:p w:rsidR="00425EC1" w:rsidRDefault="00634C8A" w:rsidP="003D69DC">
      <w:pPr>
        <w:spacing w:after="0" w:line="240" w:lineRule="auto"/>
        <w:ind w:left="-567"/>
        <w:jc w:val="both"/>
        <w:rPr>
          <w:rFonts w:ascii="Arial" w:eastAsia="Arial" w:hAnsi="Arial" w:cs="Arial"/>
        </w:rPr>
      </w:pPr>
      <w:r w:rsidRPr="002752CD">
        <w:rPr>
          <w:rFonts w:ascii="Arial" w:eastAsia="Arial" w:hAnsi="Arial" w:cs="Arial"/>
          <w:b/>
        </w:rPr>
        <w:lastRenderedPageBreak/>
        <w:t>3.1.</w:t>
      </w:r>
      <w:r w:rsidRPr="002752CD">
        <w:rPr>
          <w:rFonts w:ascii="Arial" w:eastAsia="Arial" w:hAnsi="Arial" w:cs="Arial"/>
        </w:rPr>
        <w:t xml:space="preserve"> Повереник за заштиту равноправности је установљен Законом о забрани дискриминације</w:t>
      </w:r>
      <w:r w:rsidR="00D373FD">
        <w:rPr>
          <w:rStyle w:val="FootnoteReference"/>
          <w:rFonts w:ascii="Arial" w:eastAsia="Arial" w:hAnsi="Arial" w:cs="Arial"/>
        </w:rPr>
        <w:footnoteReference w:id="2"/>
      </w:r>
      <w:r w:rsidRPr="002752CD">
        <w:rPr>
          <w:rFonts w:ascii="Arial" w:eastAsia="Arial" w:hAnsi="Arial" w:cs="Arial"/>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прекршајне пријаве због аката дискриминације прописаних антидискриминационим прописима.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 </w:t>
      </w:r>
    </w:p>
    <w:p w:rsidR="007F171D" w:rsidRPr="002752CD" w:rsidRDefault="007F171D" w:rsidP="003D69DC">
      <w:pPr>
        <w:spacing w:after="0" w:line="240" w:lineRule="auto"/>
        <w:ind w:left="-567"/>
        <w:jc w:val="both"/>
        <w:rPr>
          <w:rFonts w:ascii="Arial" w:eastAsia="Arial" w:hAnsi="Arial" w:cs="Arial"/>
        </w:rPr>
      </w:pPr>
    </w:p>
    <w:p w:rsidR="00425EC1" w:rsidRDefault="00634C8A" w:rsidP="003D69DC">
      <w:pPr>
        <w:tabs>
          <w:tab w:val="left" w:pos="450"/>
        </w:tabs>
        <w:spacing w:after="0" w:line="240" w:lineRule="auto"/>
        <w:ind w:left="-567"/>
        <w:jc w:val="both"/>
        <w:rPr>
          <w:rFonts w:ascii="Arial" w:eastAsia="Arial" w:hAnsi="Arial" w:cs="Arial"/>
        </w:rPr>
      </w:pPr>
      <w:r w:rsidRPr="002752CD">
        <w:rPr>
          <w:rFonts w:ascii="Arial" w:eastAsia="Arial" w:hAnsi="Arial" w:cs="Arial"/>
          <w:b/>
        </w:rPr>
        <w:t>3.2.</w:t>
      </w:r>
      <w:r w:rsidR="00824ED8" w:rsidRPr="002752CD">
        <w:rPr>
          <w:rFonts w:ascii="Arial" w:eastAsia="Arial" w:hAnsi="Arial" w:cs="Arial"/>
        </w:rPr>
        <w:t xml:space="preserve"> Устав Републике Србије</w:t>
      </w:r>
      <w:r w:rsidR="00824ED8" w:rsidRPr="002752CD">
        <w:rPr>
          <w:rStyle w:val="FootnoteReference"/>
          <w:rFonts w:ascii="Arial" w:eastAsia="Arial" w:hAnsi="Arial" w:cs="Arial"/>
        </w:rPr>
        <w:footnoteReference w:id="3"/>
      </w:r>
      <w:r w:rsidR="00824ED8" w:rsidRPr="002752CD">
        <w:rPr>
          <w:rFonts w:ascii="Arial" w:eastAsia="Arial" w:hAnsi="Arial" w:cs="Arial"/>
        </w:rPr>
        <w:t xml:space="preserve"> </w:t>
      </w:r>
      <w:r w:rsidRPr="002752CD">
        <w:rPr>
          <w:rFonts w:ascii="Arial" w:eastAsia="Arial" w:hAnsi="Arial" w:cs="Arial"/>
        </w:rPr>
        <w:t>прописује да је забрањена дискриминација, непосредна или посредна,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w:t>
      </w:r>
      <w:r w:rsidR="00824ED8" w:rsidRPr="002752CD">
        <w:rPr>
          <w:rStyle w:val="FootnoteReference"/>
          <w:rFonts w:ascii="Arial" w:eastAsia="Arial" w:hAnsi="Arial" w:cs="Arial"/>
        </w:rPr>
        <w:footnoteReference w:id="4"/>
      </w:r>
      <w:r w:rsidRPr="002752CD">
        <w:rPr>
          <w:rFonts w:ascii="Arial" w:eastAsia="Arial" w:hAnsi="Arial" w:cs="Arial"/>
        </w:rPr>
        <w:t xml:space="preserve"> </w:t>
      </w:r>
    </w:p>
    <w:p w:rsidR="007F171D" w:rsidRPr="002752CD" w:rsidRDefault="007F171D" w:rsidP="003D69DC">
      <w:pPr>
        <w:tabs>
          <w:tab w:val="left" w:pos="450"/>
        </w:tabs>
        <w:spacing w:after="0" w:line="240" w:lineRule="auto"/>
        <w:ind w:left="-567"/>
        <w:jc w:val="both"/>
        <w:rPr>
          <w:rFonts w:ascii="Arial" w:eastAsia="Arial" w:hAnsi="Arial" w:cs="Arial"/>
        </w:rPr>
      </w:pPr>
    </w:p>
    <w:p w:rsidR="00425EC1" w:rsidRDefault="00634C8A" w:rsidP="003D69DC">
      <w:pPr>
        <w:tabs>
          <w:tab w:val="left" w:pos="426"/>
        </w:tabs>
        <w:spacing w:after="0" w:line="240" w:lineRule="auto"/>
        <w:ind w:left="-567"/>
        <w:jc w:val="both"/>
        <w:rPr>
          <w:rFonts w:ascii="Arial" w:eastAsia="Arial" w:hAnsi="Arial" w:cs="Arial"/>
        </w:rPr>
      </w:pPr>
      <w:r w:rsidRPr="002752CD">
        <w:rPr>
          <w:rFonts w:ascii="Arial" w:eastAsia="Arial" w:hAnsi="Arial" w:cs="Arial"/>
          <w:b/>
        </w:rPr>
        <w:t>3.3.</w:t>
      </w:r>
      <w:r w:rsidRPr="002752CD">
        <w:rPr>
          <w:rFonts w:ascii="Arial" w:eastAsia="Arial" w:hAnsi="Arial" w:cs="Arial"/>
        </w:rPr>
        <w:t xml:space="preserve"> Уставна забрана дискриминације ближе је разрађена Законом о забрани дискриминације, којим је дискриминација дефинисана као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и чланству у политичким, синдикалним и другим организацијама и другим стварним, односно претпостављеним личним својствима.</w:t>
      </w:r>
      <w:r w:rsidR="00824ED8" w:rsidRPr="002752CD">
        <w:rPr>
          <w:rStyle w:val="FootnoteReference"/>
          <w:rFonts w:ascii="Arial" w:eastAsia="Arial" w:hAnsi="Arial" w:cs="Arial"/>
        </w:rPr>
        <w:footnoteReference w:id="5"/>
      </w:r>
      <w:r w:rsidRPr="002752CD">
        <w:rPr>
          <w:rFonts w:ascii="Arial" w:eastAsia="Arial" w:hAnsi="Arial" w:cs="Arial"/>
        </w:rPr>
        <w:t xml:space="preserve"> </w:t>
      </w:r>
    </w:p>
    <w:p w:rsidR="007F171D" w:rsidRPr="002752CD" w:rsidRDefault="007F171D" w:rsidP="003D69DC">
      <w:pPr>
        <w:tabs>
          <w:tab w:val="left" w:pos="426"/>
        </w:tabs>
        <w:spacing w:after="0" w:line="240" w:lineRule="auto"/>
        <w:ind w:left="-567"/>
        <w:jc w:val="both"/>
        <w:rPr>
          <w:rFonts w:ascii="Arial" w:eastAsia="Arial" w:hAnsi="Arial" w:cs="Arial"/>
        </w:rPr>
      </w:pPr>
    </w:p>
    <w:p w:rsidR="00425EC1" w:rsidRDefault="00634C8A" w:rsidP="003D69DC">
      <w:pPr>
        <w:tabs>
          <w:tab w:val="left" w:pos="450"/>
        </w:tabs>
        <w:spacing w:after="0" w:line="240" w:lineRule="auto"/>
        <w:ind w:left="-567"/>
        <w:jc w:val="both"/>
        <w:rPr>
          <w:rFonts w:ascii="Arial" w:eastAsia="Arial" w:hAnsi="Arial" w:cs="Arial"/>
        </w:rPr>
      </w:pPr>
      <w:r w:rsidRPr="002752CD">
        <w:rPr>
          <w:rFonts w:ascii="Arial" w:eastAsia="Arial" w:hAnsi="Arial" w:cs="Arial"/>
        </w:rPr>
        <w:t>Одредбама члана 6. Зaкoнa o зaбрaни дискриминaциje прoписaнo je да непосредна дискриминација постоји ако се лице или група лица, због његовог односно њиховог личног  својства у истој или сличној ситуацији, било којим актом, радњом или пропуштањем, стављају или су стављени у неповољнији положај или би могли бити стављени у неповољнији положај. Одредбама чланова 15 - 27. Закона о забрани дискриминације прописани су посебни случајеви дискриминације, па је тако чланом 17. став 1. прописано да дискриминација у пружању јавних услуга постоји ако правно или физичко лице, у оквиру своје делатности, односно занимања, на основу личног својства лица или групе лица, одбије пружање услуге, за пружање услуге тражи испуњење услова који се не траже од других лица или групе лица, односно ако у пружању услуга неоправдано омогући првенство другом лицу или групи лица. Такође, с обзиром на чињенице и околности конкретног случаја, за његово разматрање релевантне су и одредбе члана 23. Закона о забрани дискриминације, којима је забрањена дискриминација на основу старосног доба и изричито утврђено да старије особе имају право на достојанствене услове живота без дискриминације, а посебно, право на једнак приступ у коришћењу јавних услуга.</w:t>
      </w:r>
    </w:p>
    <w:p w:rsidR="007F171D" w:rsidRPr="002752CD" w:rsidRDefault="007F171D" w:rsidP="003D69DC">
      <w:pPr>
        <w:tabs>
          <w:tab w:val="left" w:pos="450"/>
        </w:tabs>
        <w:spacing w:after="0" w:line="240" w:lineRule="auto"/>
        <w:ind w:left="-567"/>
        <w:jc w:val="both"/>
        <w:rPr>
          <w:rFonts w:ascii="Arial" w:eastAsia="Arial" w:hAnsi="Arial" w:cs="Arial"/>
        </w:rPr>
      </w:pPr>
    </w:p>
    <w:p w:rsidR="00425EC1" w:rsidRPr="002752CD" w:rsidRDefault="00634C8A" w:rsidP="003D69DC">
      <w:pPr>
        <w:tabs>
          <w:tab w:val="left" w:pos="450"/>
        </w:tabs>
        <w:spacing w:after="0" w:line="240" w:lineRule="auto"/>
        <w:ind w:left="-567"/>
        <w:jc w:val="both"/>
        <w:rPr>
          <w:rFonts w:ascii="Arial" w:eastAsia="Arial" w:hAnsi="Arial" w:cs="Arial"/>
          <w:u w:val="single"/>
        </w:rPr>
      </w:pPr>
      <w:r w:rsidRPr="002752CD">
        <w:rPr>
          <w:rFonts w:ascii="Arial" w:eastAsia="Arial" w:hAnsi="Arial" w:cs="Arial"/>
          <w:b/>
        </w:rPr>
        <w:t>3.4.</w:t>
      </w:r>
      <w:r w:rsidRPr="002752CD">
        <w:rPr>
          <w:rFonts w:ascii="Arial" w:eastAsia="Arial" w:hAnsi="Arial" w:cs="Arial"/>
        </w:rPr>
        <w:t xml:space="preserve"> Препоруком Комитета министара Савета Европе o промоцији људских права старијих особа (2014)</w:t>
      </w:r>
      <w:r w:rsidR="005131A5" w:rsidRPr="002752CD">
        <w:rPr>
          <w:rStyle w:val="FootnoteReference"/>
          <w:rFonts w:ascii="Arial" w:eastAsia="Arial" w:hAnsi="Arial" w:cs="Arial"/>
        </w:rPr>
        <w:footnoteReference w:id="6"/>
      </w:r>
      <w:r w:rsidRPr="002752CD">
        <w:rPr>
          <w:rFonts w:ascii="Arial" w:eastAsia="Arial" w:hAnsi="Arial" w:cs="Arial"/>
        </w:rPr>
        <w:t xml:space="preserve"> Комитет је потврдио права старијих особа и препоручио државама чланицама мере у циљу борбе против дискриминације на основу старосног доба. Посебан осврт дат је на области недискриминације, самосталности и партиципације, заштите од насиља и злостављања, социјалне заштите и запошљавања, неге и уређења правног система. Између осталог, државама чланицама је препоручено да старије особе уживају своја права и слободе без дискриминације по било ком основу, укључујући и старосно доба, као и да старије особе треба да добију одговарајуће ресурсе које им омогућавају да имају адекватан животни стандард и учествују у јавном, економском, друштвеном и културном животу. </w:t>
      </w:r>
    </w:p>
    <w:p w:rsidR="002752CD" w:rsidRDefault="002752CD" w:rsidP="001D6DBA">
      <w:pPr>
        <w:spacing w:after="0" w:line="240" w:lineRule="auto"/>
        <w:jc w:val="both"/>
        <w:rPr>
          <w:rFonts w:ascii="Arial" w:eastAsia="Arial" w:hAnsi="Arial" w:cs="Arial"/>
          <w:u w:val="single"/>
        </w:rPr>
      </w:pPr>
    </w:p>
    <w:p w:rsidR="00E52960" w:rsidRPr="002752CD" w:rsidRDefault="00E52960" w:rsidP="003D69DC">
      <w:pPr>
        <w:spacing w:after="0" w:line="240" w:lineRule="auto"/>
        <w:ind w:left="-567"/>
        <w:jc w:val="both"/>
        <w:rPr>
          <w:rFonts w:ascii="Arial" w:eastAsia="Arial" w:hAnsi="Arial" w:cs="Arial"/>
          <w:u w:val="single"/>
        </w:rPr>
      </w:pPr>
      <w:r w:rsidRPr="002752CD">
        <w:rPr>
          <w:rFonts w:ascii="Arial" w:eastAsia="Arial" w:hAnsi="Arial" w:cs="Arial"/>
          <w:u w:val="single"/>
        </w:rPr>
        <w:lastRenderedPageBreak/>
        <w:t>Анализа навода из притужбе, прилога и изјашњења са аспекта антидискриминационих прописа</w:t>
      </w:r>
    </w:p>
    <w:p w:rsidR="00E52960" w:rsidRPr="002752CD" w:rsidRDefault="00E52960" w:rsidP="003D69DC">
      <w:pPr>
        <w:spacing w:after="0" w:line="240" w:lineRule="auto"/>
        <w:ind w:left="-567"/>
        <w:jc w:val="both"/>
        <w:rPr>
          <w:rFonts w:ascii="Arial" w:eastAsia="Arial" w:hAnsi="Arial" w:cs="Arial"/>
          <w:u w:val="single"/>
        </w:rPr>
      </w:pPr>
    </w:p>
    <w:p w:rsidR="00E52960" w:rsidRPr="002752CD" w:rsidRDefault="00E52960" w:rsidP="003D69DC">
      <w:pPr>
        <w:spacing w:after="0" w:line="240" w:lineRule="auto"/>
        <w:ind w:left="-567"/>
        <w:jc w:val="both"/>
        <w:rPr>
          <w:rFonts w:ascii="Arial" w:eastAsia="Arial" w:hAnsi="Arial" w:cs="Arial"/>
        </w:rPr>
      </w:pPr>
      <w:r w:rsidRPr="002752CD">
        <w:rPr>
          <w:rFonts w:ascii="Arial" w:eastAsia="Arial" w:hAnsi="Arial" w:cs="Arial"/>
          <w:b/>
        </w:rPr>
        <w:t>3.5.</w:t>
      </w:r>
      <w:r w:rsidRPr="002752CD">
        <w:rPr>
          <w:rFonts w:ascii="Arial" w:eastAsia="Arial" w:hAnsi="Arial" w:cs="Arial"/>
        </w:rPr>
        <w:t xml:space="preserve"> Имајући у виду предмет ове притужбе, у конкретном случају потребно је утврдити да ли је </w:t>
      </w:r>
      <w:r w:rsidR="00FC009D">
        <w:rPr>
          <w:rFonts w:ascii="Arial" w:eastAsia="Arial" w:hAnsi="Arial" w:cs="Arial"/>
          <w:lang w:val="sr-Cyrl-RS"/>
        </w:rPr>
        <w:t>осигуравајуће друштво</w:t>
      </w:r>
      <w:r w:rsidRPr="002752CD">
        <w:rPr>
          <w:rFonts w:ascii="Arial" w:eastAsia="Arial" w:hAnsi="Arial" w:cs="Arial"/>
        </w:rPr>
        <w:t>, одбијањем да С</w:t>
      </w:r>
      <w:r w:rsidR="00316EF9">
        <w:rPr>
          <w:rFonts w:ascii="Arial" w:eastAsia="Arial" w:hAnsi="Arial" w:cs="Arial"/>
        </w:rPr>
        <w:t>.</w:t>
      </w:r>
      <w:r w:rsidRPr="002752CD">
        <w:rPr>
          <w:rFonts w:ascii="Arial" w:eastAsia="Arial" w:hAnsi="Arial" w:cs="Arial"/>
        </w:rPr>
        <w:t xml:space="preserve"> Х</w:t>
      </w:r>
      <w:r w:rsidR="00316EF9">
        <w:rPr>
          <w:rFonts w:ascii="Arial" w:eastAsia="Arial" w:hAnsi="Arial" w:cs="Arial"/>
        </w:rPr>
        <w:t>.</w:t>
      </w:r>
      <w:r w:rsidRPr="002752CD">
        <w:rPr>
          <w:rFonts w:ascii="Arial" w:eastAsia="Arial" w:hAnsi="Arial" w:cs="Arial"/>
        </w:rPr>
        <w:t xml:space="preserve"> пружи услугу осигурања за време путовања и боравка у иностранству, извршило акт дискриминације на основу старосног доба.</w:t>
      </w:r>
    </w:p>
    <w:p w:rsidR="00E52960" w:rsidRPr="002752CD" w:rsidRDefault="00E52960" w:rsidP="003D69DC">
      <w:pPr>
        <w:spacing w:after="0" w:line="240" w:lineRule="auto"/>
        <w:ind w:left="-567"/>
        <w:jc w:val="both"/>
        <w:rPr>
          <w:rFonts w:ascii="Arial" w:eastAsia="Arial" w:hAnsi="Arial" w:cs="Arial"/>
        </w:rPr>
      </w:pPr>
    </w:p>
    <w:p w:rsidR="00E52960" w:rsidRDefault="00E52960" w:rsidP="003D69DC">
      <w:pPr>
        <w:spacing w:after="0" w:line="240" w:lineRule="auto"/>
        <w:ind w:left="-567"/>
        <w:jc w:val="both"/>
        <w:rPr>
          <w:rFonts w:ascii="Arial" w:eastAsia="Arial" w:hAnsi="Arial" w:cs="Arial"/>
        </w:rPr>
      </w:pPr>
      <w:r w:rsidRPr="002752CD">
        <w:rPr>
          <w:rFonts w:ascii="Arial" w:eastAsia="Arial" w:hAnsi="Arial" w:cs="Arial"/>
          <w:b/>
        </w:rPr>
        <w:t>3.6.</w:t>
      </w:r>
      <w:r w:rsidRPr="002752CD">
        <w:rPr>
          <w:rFonts w:ascii="Arial" w:eastAsia="Arial" w:hAnsi="Arial" w:cs="Arial"/>
        </w:rPr>
        <w:t xml:space="preserve"> Неспорно је да је Д</w:t>
      </w:r>
      <w:r w:rsidR="00316EF9">
        <w:rPr>
          <w:rFonts w:ascii="Arial" w:eastAsia="Arial" w:hAnsi="Arial" w:cs="Arial"/>
        </w:rPr>
        <w:t>.</w:t>
      </w:r>
      <w:r w:rsidRPr="002752CD">
        <w:rPr>
          <w:rFonts w:ascii="Arial" w:eastAsia="Arial" w:hAnsi="Arial" w:cs="Arial"/>
        </w:rPr>
        <w:t xml:space="preserve"> Н</w:t>
      </w:r>
      <w:r w:rsidR="00316EF9">
        <w:rPr>
          <w:rFonts w:ascii="Arial" w:eastAsia="Arial" w:hAnsi="Arial" w:cs="Arial"/>
        </w:rPr>
        <w:t>.</w:t>
      </w:r>
      <w:r w:rsidRPr="002752CD">
        <w:rPr>
          <w:rFonts w:ascii="Arial" w:eastAsia="Arial" w:hAnsi="Arial" w:cs="Arial"/>
        </w:rPr>
        <w:t xml:space="preserve"> на питање да ли постоји могућност да госпођи од 81 године изађу у сусрет и издају полису путног осигурања на 90 дана за пут у Швајцарску, од В</w:t>
      </w:r>
      <w:r w:rsidR="00316EF9">
        <w:rPr>
          <w:rFonts w:ascii="Arial" w:eastAsia="Arial" w:hAnsi="Arial" w:cs="Arial"/>
        </w:rPr>
        <w:t>.</w:t>
      </w:r>
      <w:r w:rsidRPr="002752CD">
        <w:rPr>
          <w:rFonts w:ascii="Arial" w:eastAsia="Arial" w:hAnsi="Arial" w:cs="Arial"/>
        </w:rPr>
        <w:t xml:space="preserve"> Р, шефа Одељења за асистентска осигурања, путем имејла добио одговор следеће садржине: „Нажалост нисмо у могућности да издамо такву полису, јер се према нашим условима осигуравају само лица до 80 година старости. Шаљем вам услове у </w:t>
      </w:r>
      <w:r w:rsidRPr="002752CD">
        <w:rPr>
          <w:rFonts w:ascii="Arial" w:eastAsia="Arial" w:hAnsi="Arial" w:cs="Arial"/>
          <w:i/>
        </w:rPr>
        <w:t>att.</w:t>
      </w:r>
      <w:r w:rsidRPr="002752CD">
        <w:rPr>
          <w:rFonts w:ascii="Arial" w:eastAsia="Arial" w:hAnsi="Arial" w:cs="Arial"/>
        </w:rPr>
        <w:t xml:space="preserve"> где је то дефинисано у члану 2.ˮ Увидом у Опште услове за осигурање лица за време путовања и</w:t>
      </w:r>
      <w:r w:rsidR="000064BF">
        <w:rPr>
          <w:rFonts w:ascii="Arial" w:eastAsia="Arial" w:hAnsi="Arial" w:cs="Arial"/>
        </w:rPr>
        <w:t xml:space="preserve"> боравка у иностранству ОУ-ПЗО-.</w:t>
      </w:r>
      <w:r w:rsidRPr="002752CD">
        <w:rPr>
          <w:rFonts w:ascii="Arial" w:eastAsia="Arial" w:hAnsi="Arial" w:cs="Arial"/>
        </w:rPr>
        <w:t>/</w:t>
      </w:r>
      <w:r w:rsidR="000064BF">
        <w:rPr>
          <w:rFonts w:ascii="Arial" w:eastAsia="Arial" w:hAnsi="Arial" w:cs="Arial"/>
        </w:rPr>
        <w:t>..</w:t>
      </w:r>
      <w:r w:rsidRPr="002752CD">
        <w:rPr>
          <w:rFonts w:ascii="Arial" w:eastAsia="Arial" w:hAnsi="Arial" w:cs="Arial"/>
        </w:rPr>
        <w:t xml:space="preserve"> бр. </w:t>
      </w:r>
      <w:r w:rsidR="000064BF">
        <w:rPr>
          <w:rFonts w:ascii="Arial" w:eastAsia="Arial" w:hAnsi="Arial" w:cs="Arial"/>
        </w:rPr>
        <w:t>..</w:t>
      </w:r>
      <w:r w:rsidRPr="002752CD">
        <w:rPr>
          <w:rFonts w:ascii="Arial" w:eastAsia="Arial" w:hAnsi="Arial" w:cs="Arial"/>
        </w:rPr>
        <w:t>-</w:t>
      </w:r>
      <w:r w:rsidR="000064BF">
        <w:rPr>
          <w:rFonts w:ascii="Arial" w:eastAsia="Arial" w:hAnsi="Arial" w:cs="Arial"/>
        </w:rPr>
        <w:t>....</w:t>
      </w:r>
      <w:r w:rsidRPr="002752CD">
        <w:rPr>
          <w:rFonts w:ascii="Arial" w:eastAsia="Arial" w:hAnsi="Arial" w:cs="Arial"/>
        </w:rPr>
        <w:t xml:space="preserve"> од 15. новембра 2017. године, потврђени су наводи В</w:t>
      </w:r>
      <w:r w:rsidR="000064BF">
        <w:rPr>
          <w:rFonts w:ascii="Arial" w:eastAsia="Arial" w:hAnsi="Arial" w:cs="Arial"/>
        </w:rPr>
        <w:t>.</w:t>
      </w:r>
      <w:r w:rsidRPr="002752CD">
        <w:rPr>
          <w:rFonts w:ascii="Arial" w:eastAsia="Arial" w:hAnsi="Arial" w:cs="Arial"/>
        </w:rPr>
        <w:t xml:space="preserve"> Р, будући да је одредбом члана 2. прописано да се по овим условима могу осигурати здрава лица од 0 месеци до навршених 80 година живота, који су држављани Републике Србије, као и страни држављани и лица без држављанства уз услов да имају пребивалиште односно одобрење за привремени боравак или су стално настањени у Републици Србији. </w:t>
      </w:r>
    </w:p>
    <w:p w:rsidR="007F171D" w:rsidRPr="002752CD" w:rsidRDefault="007F171D" w:rsidP="003D69DC">
      <w:pPr>
        <w:spacing w:after="0" w:line="240" w:lineRule="auto"/>
        <w:ind w:left="-567"/>
        <w:jc w:val="both"/>
        <w:rPr>
          <w:rFonts w:ascii="Arial" w:eastAsia="Arial" w:hAnsi="Arial" w:cs="Arial"/>
        </w:rPr>
      </w:pPr>
    </w:p>
    <w:p w:rsidR="00E52960" w:rsidRDefault="00E52960" w:rsidP="003D69DC">
      <w:pPr>
        <w:tabs>
          <w:tab w:val="left" w:pos="450"/>
        </w:tabs>
        <w:spacing w:after="0" w:line="240" w:lineRule="auto"/>
        <w:ind w:left="-567"/>
        <w:jc w:val="both"/>
        <w:rPr>
          <w:rFonts w:ascii="Arial" w:eastAsia="Arial" w:hAnsi="Arial" w:cs="Arial"/>
        </w:rPr>
      </w:pPr>
      <w:r w:rsidRPr="002752CD">
        <w:rPr>
          <w:rFonts w:ascii="Arial" w:eastAsia="Arial" w:hAnsi="Arial" w:cs="Arial"/>
          <w:b/>
        </w:rPr>
        <w:t>3.7.</w:t>
      </w:r>
      <w:r w:rsidRPr="002752CD">
        <w:rPr>
          <w:rFonts w:ascii="Arial" w:eastAsia="Arial" w:hAnsi="Arial" w:cs="Arial"/>
        </w:rPr>
        <w:tab/>
        <w:t xml:space="preserve"> Поводом навода из изјашњења да Републички фонд за здравствено осигурање ограничава могућност осигурања лица старијих од 75 година преко 31 дана, указујемо да </w:t>
      </w:r>
      <w:r w:rsidR="000F05EA">
        <w:rPr>
          <w:rFonts w:ascii="Arial" w:eastAsia="Arial" w:hAnsi="Arial" w:cs="Arial"/>
        </w:rPr>
        <w:t>притужба није поднета против овог правног лица, те да наведено није било предмет анализе Повереника у конкретном случају</w:t>
      </w:r>
      <w:r w:rsidR="00CD4E09">
        <w:rPr>
          <w:rFonts w:ascii="Arial" w:eastAsia="Arial" w:hAnsi="Arial" w:cs="Arial"/>
        </w:rPr>
        <w:t xml:space="preserve">. </w:t>
      </w:r>
      <w:r w:rsidR="00306248">
        <w:rPr>
          <w:rFonts w:ascii="Arial" w:eastAsia="Arial" w:hAnsi="Arial" w:cs="Arial"/>
        </w:rPr>
        <w:t>Наиме,</w:t>
      </w:r>
      <w:r w:rsidR="00306248" w:rsidRPr="002752CD">
        <w:rPr>
          <w:rFonts w:ascii="Arial" w:eastAsia="Arial" w:hAnsi="Arial" w:cs="Arial"/>
        </w:rPr>
        <w:t xml:space="preserve"> предмет овог поступка је утврђивање да ли је </w:t>
      </w:r>
      <w:r w:rsidR="00C25A63">
        <w:rPr>
          <w:rFonts w:ascii="Arial" w:eastAsia="Arial" w:hAnsi="Arial" w:cs="Arial"/>
          <w:lang w:val="sr-Cyrl-RS"/>
        </w:rPr>
        <w:t>осигуравајуће друштво</w:t>
      </w:r>
      <w:r w:rsidR="00306248" w:rsidRPr="002752CD">
        <w:rPr>
          <w:rFonts w:ascii="Arial" w:eastAsia="Arial" w:hAnsi="Arial" w:cs="Arial"/>
        </w:rPr>
        <w:t>, одбијањем да С</w:t>
      </w:r>
      <w:r w:rsidR="000064BF">
        <w:rPr>
          <w:rFonts w:ascii="Arial" w:eastAsia="Arial" w:hAnsi="Arial" w:cs="Arial"/>
        </w:rPr>
        <w:t>.</w:t>
      </w:r>
      <w:r w:rsidR="00306248" w:rsidRPr="002752CD">
        <w:rPr>
          <w:rFonts w:ascii="Arial" w:eastAsia="Arial" w:hAnsi="Arial" w:cs="Arial"/>
        </w:rPr>
        <w:t xml:space="preserve"> Х</w:t>
      </w:r>
      <w:r w:rsidR="000064BF">
        <w:rPr>
          <w:rFonts w:ascii="Arial" w:eastAsia="Arial" w:hAnsi="Arial" w:cs="Arial"/>
        </w:rPr>
        <w:t>.</w:t>
      </w:r>
      <w:r w:rsidR="00306248" w:rsidRPr="002752CD">
        <w:rPr>
          <w:rFonts w:ascii="Arial" w:eastAsia="Arial" w:hAnsi="Arial" w:cs="Arial"/>
        </w:rPr>
        <w:t xml:space="preserve"> пружи услугу осигурања за време путовања и боравка у иностранству, извршило акт дискриминације на основу старосног доба, те пословна пракса или политика других осигуравајућих друштава или државних установа не може представљати основ за ослобођење </w:t>
      </w:r>
      <w:r w:rsidR="00C25A63">
        <w:rPr>
          <w:rFonts w:ascii="Arial" w:eastAsia="Arial" w:hAnsi="Arial" w:cs="Arial"/>
          <w:lang w:val="sr-Cyrl-RS"/>
        </w:rPr>
        <w:t>осигуравајућег друштва</w:t>
      </w:r>
      <w:r w:rsidR="00306248" w:rsidRPr="002752CD">
        <w:rPr>
          <w:rFonts w:ascii="Arial" w:eastAsia="Arial" w:hAnsi="Arial" w:cs="Arial"/>
        </w:rPr>
        <w:t xml:space="preserve"> обавезе поштовања антидискриминационих прописа, нити је од значаја за оцену законитости поступања овог осигуравајућег друштв</w:t>
      </w:r>
      <w:r w:rsidR="00C25A63">
        <w:rPr>
          <w:rFonts w:ascii="Arial" w:eastAsia="Arial" w:hAnsi="Arial" w:cs="Arial"/>
        </w:rPr>
        <w:t xml:space="preserve">а као пружаоца јавних услуга. </w:t>
      </w:r>
      <w:r w:rsidR="00C25A63">
        <w:rPr>
          <w:rFonts w:ascii="Arial" w:eastAsia="Arial" w:hAnsi="Arial" w:cs="Arial"/>
          <w:lang w:val="sr-Cyrl-RS"/>
        </w:rPr>
        <w:t xml:space="preserve"> </w:t>
      </w:r>
      <w:r w:rsidR="00CD4E09">
        <w:rPr>
          <w:rFonts w:ascii="Arial" w:eastAsia="Arial" w:hAnsi="Arial" w:cs="Arial"/>
        </w:rPr>
        <w:t>Међутим може се констатовати да Фонд п</w:t>
      </w:r>
      <w:r w:rsidRPr="002752CD">
        <w:rPr>
          <w:rFonts w:ascii="Arial" w:eastAsia="Arial" w:hAnsi="Arial" w:cs="Arial"/>
        </w:rPr>
        <w:t xml:space="preserve">ружа услугу осигурања старијим лицима на краћи временски период, док према условима пословања </w:t>
      </w:r>
      <w:r w:rsidR="00C25A63">
        <w:rPr>
          <w:rFonts w:ascii="Arial" w:eastAsia="Arial" w:hAnsi="Arial" w:cs="Arial"/>
          <w:lang w:val="sr-Cyrl-RS"/>
        </w:rPr>
        <w:t>овог осигуравајућег друштва</w:t>
      </w:r>
      <w:r w:rsidRPr="002752CD">
        <w:rPr>
          <w:rFonts w:ascii="Arial" w:eastAsia="Arial" w:hAnsi="Arial" w:cs="Arial"/>
        </w:rPr>
        <w:t xml:space="preserve">, одређена категорија старијих лица не може да се осигура ни под каквим условима. </w:t>
      </w:r>
    </w:p>
    <w:p w:rsidR="007F171D" w:rsidRPr="002752CD" w:rsidRDefault="007F171D" w:rsidP="003D69DC">
      <w:pPr>
        <w:tabs>
          <w:tab w:val="left" w:pos="450"/>
        </w:tabs>
        <w:spacing w:after="0" w:line="240" w:lineRule="auto"/>
        <w:ind w:left="-567"/>
        <w:jc w:val="both"/>
        <w:rPr>
          <w:rFonts w:ascii="Arial" w:eastAsia="Arial" w:hAnsi="Arial" w:cs="Arial"/>
        </w:rPr>
      </w:pPr>
    </w:p>
    <w:p w:rsidR="007F171D" w:rsidRDefault="00E52960" w:rsidP="003D69DC">
      <w:pPr>
        <w:tabs>
          <w:tab w:val="left" w:pos="450"/>
        </w:tabs>
        <w:spacing w:after="0" w:line="240" w:lineRule="auto"/>
        <w:ind w:left="-567"/>
        <w:jc w:val="both"/>
        <w:rPr>
          <w:rFonts w:ascii="Arial" w:eastAsia="Arial" w:hAnsi="Arial" w:cs="Arial"/>
        </w:rPr>
      </w:pPr>
      <w:r w:rsidRPr="002752CD">
        <w:rPr>
          <w:rFonts w:ascii="Arial" w:eastAsia="Arial" w:hAnsi="Arial" w:cs="Arial"/>
          <w:b/>
        </w:rPr>
        <w:t>3.8.</w:t>
      </w:r>
      <w:r w:rsidR="00100294">
        <w:rPr>
          <w:rFonts w:ascii="Arial" w:eastAsia="Arial" w:hAnsi="Arial" w:cs="Arial"/>
          <w:b/>
        </w:rPr>
        <w:t xml:space="preserve"> </w:t>
      </w:r>
      <w:r w:rsidRPr="002752CD">
        <w:rPr>
          <w:rFonts w:ascii="Arial" w:eastAsia="Arial" w:hAnsi="Arial" w:cs="Arial"/>
        </w:rPr>
        <w:t>Повереник је ценио наводе из изјашњења да друштва за осигурање имају не само право, него и законску обавезу да идентификују, мере и процењују ризике којима су изложени у свом пословању и да управљају овим ризицима, затим наводе да друштво за осигурање утврђује процедуре за идентификовање, процену и мерење ризика, као и за управљање ризицима, у складу са прописима, стандардима и правилима струке осигурања</w:t>
      </w:r>
      <w:r w:rsidR="00306248">
        <w:rPr>
          <w:rFonts w:ascii="Arial" w:eastAsia="Arial" w:hAnsi="Arial" w:cs="Arial"/>
        </w:rPr>
        <w:t xml:space="preserve">. С </w:t>
      </w:r>
      <w:r w:rsidR="0061390E">
        <w:rPr>
          <w:rFonts w:ascii="Arial" w:eastAsia="Arial" w:hAnsi="Arial" w:cs="Arial"/>
        </w:rPr>
        <w:t xml:space="preserve">тим у вези, може се констатовати да </w:t>
      </w:r>
      <w:r w:rsidRPr="002752CD">
        <w:rPr>
          <w:rFonts w:ascii="Arial" w:eastAsia="Arial" w:hAnsi="Arial" w:cs="Arial"/>
        </w:rPr>
        <w:t>сви наведени критеријуми могу утицати на услове под којима ће некој особи бити понуђен</w:t>
      </w:r>
      <w:r w:rsidR="00D02B97" w:rsidRPr="002752CD">
        <w:rPr>
          <w:rFonts w:ascii="Arial" w:eastAsia="Arial" w:hAnsi="Arial" w:cs="Arial"/>
        </w:rPr>
        <w:t>о закључење</w:t>
      </w:r>
      <w:r w:rsidRPr="002752CD">
        <w:rPr>
          <w:rFonts w:ascii="Arial" w:eastAsia="Arial" w:hAnsi="Arial" w:cs="Arial"/>
        </w:rPr>
        <w:t xml:space="preserve"> уговор</w:t>
      </w:r>
      <w:r w:rsidR="00D02B97" w:rsidRPr="002752CD">
        <w:rPr>
          <w:rFonts w:ascii="Arial" w:eastAsia="Arial" w:hAnsi="Arial" w:cs="Arial"/>
        </w:rPr>
        <w:t>а</w:t>
      </w:r>
      <w:r w:rsidRPr="002752CD">
        <w:rPr>
          <w:rFonts w:ascii="Arial" w:eastAsia="Arial" w:hAnsi="Arial" w:cs="Arial"/>
        </w:rPr>
        <w:t xml:space="preserve"> о осигурању, али никако не могу бити фактор који иск</w:t>
      </w:r>
      <w:r w:rsidR="00FA4BE5" w:rsidRPr="002752CD">
        <w:rPr>
          <w:rFonts w:ascii="Arial" w:eastAsia="Arial" w:hAnsi="Arial" w:cs="Arial"/>
        </w:rPr>
        <w:t>љ</w:t>
      </w:r>
      <w:r w:rsidRPr="002752CD">
        <w:rPr>
          <w:rFonts w:ascii="Arial" w:eastAsia="Arial" w:hAnsi="Arial" w:cs="Arial"/>
        </w:rPr>
        <w:t xml:space="preserve">учује пружање услуге </w:t>
      </w:r>
      <w:r w:rsidR="00FD41AD">
        <w:rPr>
          <w:rFonts w:ascii="Arial" w:eastAsia="Arial" w:hAnsi="Arial" w:cs="Arial"/>
        </w:rPr>
        <w:t xml:space="preserve">осигурања одређеном кругу лица. </w:t>
      </w:r>
    </w:p>
    <w:p w:rsidR="00DA67B0" w:rsidRPr="002752CD" w:rsidRDefault="00DA67B0" w:rsidP="003D69DC">
      <w:pPr>
        <w:tabs>
          <w:tab w:val="left" w:pos="450"/>
        </w:tabs>
        <w:spacing w:after="0" w:line="240" w:lineRule="auto"/>
        <w:ind w:left="-567"/>
        <w:jc w:val="both"/>
        <w:rPr>
          <w:rFonts w:ascii="Arial" w:eastAsia="Arial" w:hAnsi="Arial" w:cs="Arial"/>
        </w:rPr>
      </w:pPr>
    </w:p>
    <w:p w:rsidR="00E52960" w:rsidRDefault="00E52960" w:rsidP="003D69DC">
      <w:pPr>
        <w:tabs>
          <w:tab w:val="left" w:pos="450"/>
        </w:tabs>
        <w:spacing w:after="0" w:line="240" w:lineRule="auto"/>
        <w:ind w:left="-567"/>
        <w:jc w:val="both"/>
        <w:rPr>
          <w:rFonts w:ascii="Arial" w:eastAsia="Arial" w:hAnsi="Arial" w:cs="Arial"/>
        </w:rPr>
      </w:pPr>
      <w:r w:rsidRPr="002752CD">
        <w:rPr>
          <w:rFonts w:ascii="Arial" w:eastAsia="Arial" w:hAnsi="Arial" w:cs="Arial"/>
          <w:b/>
        </w:rPr>
        <w:t>3.9.</w:t>
      </w:r>
      <w:r w:rsidRPr="002752CD">
        <w:rPr>
          <w:rFonts w:ascii="Arial" w:eastAsia="Arial" w:hAnsi="Arial" w:cs="Arial"/>
        </w:rPr>
        <w:t xml:space="preserve"> Неспорно је да је </w:t>
      </w:r>
      <w:r w:rsidR="00C25A63">
        <w:rPr>
          <w:rFonts w:ascii="Arial" w:eastAsia="Arial" w:hAnsi="Arial" w:cs="Arial"/>
          <w:lang w:val="sr-Cyrl-RS"/>
        </w:rPr>
        <w:t>ово осигуравајуће друштво</w:t>
      </w:r>
      <w:r w:rsidRPr="002752CD">
        <w:rPr>
          <w:rFonts w:ascii="Arial" w:eastAsia="Arial" w:hAnsi="Arial" w:cs="Arial"/>
        </w:rPr>
        <w:t xml:space="preserve">, као и сва друга друштва за осигурање, овлашћено да утврђује услове осигурања којим уређује своје пословање, али сви акти друштава за осигурање морају да буду усклађени са Уставом и законским прописима, како оним из области делатности осигурања, тако и са другим прописима Републике Србије, укључујући и прописе који забрањују дискриминацију. Повереник за заштиту равноправности </w:t>
      </w:r>
      <w:r w:rsidR="00FA4BE5" w:rsidRPr="002752CD">
        <w:rPr>
          <w:rFonts w:ascii="Arial" w:eastAsia="Arial" w:hAnsi="Arial" w:cs="Arial"/>
        </w:rPr>
        <w:t xml:space="preserve">истиче да </w:t>
      </w:r>
      <w:r w:rsidRPr="002752CD">
        <w:rPr>
          <w:rFonts w:ascii="Arial" w:eastAsia="Arial" w:hAnsi="Arial" w:cs="Arial"/>
        </w:rPr>
        <w:t xml:space="preserve">према одредби члана 6. Закона о забрани дискриминације, до непосредне дискриминације долази када су појединац или група лица због њиховог личног својства стављени у неповољнији положај у односу на појединца или групу који се налазе у истој или сличној ситуацији, а који немају то лично својство. У конкретном случају, очигледно је да су особе старије од 80 година, које желе да буду осигуране за време путовања и боравка у иностранству од </w:t>
      </w:r>
      <w:r w:rsidR="00C25A63">
        <w:rPr>
          <w:rFonts w:ascii="Arial" w:eastAsia="Arial" w:hAnsi="Arial" w:cs="Arial"/>
          <w:lang w:val="sr-Cyrl-RS"/>
        </w:rPr>
        <w:t>овог осигуравајућег друштва</w:t>
      </w:r>
      <w:r w:rsidRPr="002752CD">
        <w:rPr>
          <w:rFonts w:ascii="Arial" w:eastAsia="Arial" w:hAnsi="Arial" w:cs="Arial"/>
        </w:rPr>
        <w:t xml:space="preserve"> у томе спречене, будући да ова осигуравајућа кућа особама старосне доби од преко 80 година не пружа услугу осигурања за време путовања и боравка у иностранству</w:t>
      </w:r>
      <w:r w:rsidRPr="00B9598E">
        <w:rPr>
          <w:rFonts w:ascii="Arial" w:eastAsia="Arial" w:hAnsi="Arial" w:cs="Arial"/>
        </w:rPr>
        <w:t>.</w:t>
      </w:r>
      <w:r w:rsidR="00DA67B0" w:rsidRPr="00B9598E">
        <w:rPr>
          <w:rFonts w:ascii="Arial" w:eastAsia="Arial" w:hAnsi="Arial" w:cs="Arial"/>
          <w:lang w:val="sr-Cyrl-CS"/>
        </w:rPr>
        <w:t xml:space="preserve"> </w:t>
      </w:r>
    </w:p>
    <w:p w:rsidR="007F171D" w:rsidRPr="002752CD" w:rsidRDefault="007F171D" w:rsidP="003D69DC">
      <w:pPr>
        <w:tabs>
          <w:tab w:val="left" w:pos="450"/>
        </w:tabs>
        <w:spacing w:after="0" w:line="240" w:lineRule="auto"/>
        <w:ind w:left="-567"/>
        <w:jc w:val="both"/>
        <w:rPr>
          <w:rFonts w:ascii="Arial" w:eastAsia="Arial" w:hAnsi="Arial" w:cs="Arial"/>
        </w:rPr>
      </w:pPr>
    </w:p>
    <w:p w:rsidR="00E52960" w:rsidRDefault="00E52960" w:rsidP="003D69DC">
      <w:pPr>
        <w:tabs>
          <w:tab w:val="left" w:pos="450"/>
        </w:tabs>
        <w:spacing w:after="0" w:line="240" w:lineRule="auto"/>
        <w:ind w:left="-567"/>
        <w:jc w:val="both"/>
        <w:rPr>
          <w:rFonts w:ascii="Arial" w:eastAsia="Arial" w:hAnsi="Arial" w:cs="Arial"/>
          <w:lang w:val="en-US"/>
        </w:rPr>
      </w:pPr>
      <w:r w:rsidRPr="002752CD">
        <w:rPr>
          <w:rFonts w:ascii="Arial" w:eastAsia="Arial" w:hAnsi="Arial" w:cs="Arial"/>
          <w:b/>
        </w:rPr>
        <w:t>3.10.</w:t>
      </w:r>
      <w:r w:rsidRPr="002752CD">
        <w:rPr>
          <w:rFonts w:ascii="Arial" w:eastAsia="Arial" w:hAnsi="Arial" w:cs="Arial"/>
        </w:rPr>
        <w:t xml:space="preserve"> Повереник, надаље, констатује да се у конкретном случају ради о пружању услуге која се нуди неограниченом броју лица и која је дизајнирана да задовољи одређени интерес који је типичан за широк круг субјеката. Сагласно томе, с аспекта Закона о забрани дискриминације, уговор о осигурању лица за време путовања и боравка у иностранству мора </w:t>
      </w:r>
      <w:r w:rsidRPr="002752CD">
        <w:rPr>
          <w:rFonts w:ascii="Arial" w:eastAsia="Arial" w:hAnsi="Arial" w:cs="Arial"/>
        </w:rPr>
        <w:lastRenderedPageBreak/>
        <w:t>бити доступан свим особама, без дискриминације</w:t>
      </w:r>
      <w:r w:rsidR="0061390E">
        <w:rPr>
          <w:rFonts w:ascii="Arial" w:eastAsia="Arial" w:hAnsi="Arial" w:cs="Arial"/>
        </w:rPr>
        <w:t>.</w:t>
      </w:r>
    </w:p>
    <w:p w:rsidR="007F171D" w:rsidRPr="007F171D" w:rsidRDefault="007F171D" w:rsidP="003D69DC">
      <w:pPr>
        <w:tabs>
          <w:tab w:val="left" w:pos="450"/>
        </w:tabs>
        <w:spacing w:after="0" w:line="240" w:lineRule="auto"/>
        <w:ind w:left="-567"/>
        <w:jc w:val="both"/>
        <w:rPr>
          <w:rFonts w:ascii="Arial" w:eastAsia="Arial" w:hAnsi="Arial" w:cs="Arial"/>
          <w:lang w:val="en-US"/>
        </w:rPr>
      </w:pPr>
    </w:p>
    <w:p w:rsidR="001C1138" w:rsidRDefault="00E52960" w:rsidP="003D69DC">
      <w:pPr>
        <w:tabs>
          <w:tab w:val="left" w:pos="450"/>
        </w:tabs>
        <w:spacing w:after="0" w:line="240" w:lineRule="auto"/>
        <w:ind w:left="-567"/>
        <w:jc w:val="both"/>
        <w:rPr>
          <w:rFonts w:ascii="Arial" w:eastAsia="Arial" w:hAnsi="Arial" w:cs="Arial"/>
        </w:rPr>
      </w:pPr>
      <w:r w:rsidRPr="002752CD">
        <w:rPr>
          <w:rFonts w:ascii="Arial" w:eastAsia="Arial" w:hAnsi="Arial" w:cs="Arial"/>
          <w:b/>
        </w:rPr>
        <w:t>3.11.</w:t>
      </w:r>
      <w:r w:rsidRPr="002752CD">
        <w:rPr>
          <w:rFonts w:ascii="Arial" w:eastAsia="Arial" w:hAnsi="Arial" w:cs="Arial"/>
        </w:rPr>
        <w:t xml:space="preserve"> </w:t>
      </w:r>
      <w:r w:rsidR="009B4198">
        <w:rPr>
          <w:rFonts w:ascii="Arial" w:eastAsia="Arial" w:hAnsi="Arial" w:cs="Arial"/>
        </w:rPr>
        <w:t xml:space="preserve">Повереник такође истиче да је поседовање </w:t>
      </w:r>
      <w:r w:rsidRPr="002752CD">
        <w:rPr>
          <w:rFonts w:ascii="Arial" w:eastAsia="Arial" w:hAnsi="Arial" w:cs="Arial"/>
        </w:rPr>
        <w:t xml:space="preserve">полисе о међународном путном осигурању као услова за издавање визе. </w:t>
      </w:r>
      <w:r w:rsidR="009B4198">
        <w:rPr>
          <w:rFonts w:ascii="Arial" w:eastAsia="Arial" w:hAnsi="Arial" w:cs="Arial"/>
        </w:rPr>
        <w:t xml:space="preserve">Тако примера ради </w:t>
      </w:r>
      <w:r w:rsidR="00221860" w:rsidRPr="002752CD">
        <w:rPr>
          <w:rFonts w:ascii="Arial" w:eastAsia="Arial" w:hAnsi="Arial" w:cs="Arial"/>
        </w:rPr>
        <w:t xml:space="preserve">и Република Србија, </w:t>
      </w:r>
      <w:r w:rsidRPr="002752CD">
        <w:rPr>
          <w:rFonts w:ascii="Arial" w:eastAsia="Arial" w:hAnsi="Arial" w:cs="Arial"/>
        </w:rPr>
        <w:t>члан</w:t>
      </w:r>
      <w:r w:rsidR="00221860" w:rsidRPr="002752CD">
        <w:rPr>
          <w:rFonts w:ascii="Arial" w:eastAsia="Arial" w:hAnsi="Arial" w:cs="Arial"/>
        </w:rPr>
        <w:t>ом</w:t>
      </w:r>
      <w:r w:rsidRPr="002752CD">
        <w:rPr>
          <w:rFonts w:ascii="Arial" w:eastAsia="Arial" w:hAnsi="Arial" w:cs="Arial"/>
        </w:rPr>
        <w:t xml:space="preserve"> 15</w:t>
      </w:r>
      <w:r w:rsidR="00221860" w:rsidRPr="002752CD">
        <w:rPr>
          <w:rFonts w:ascii="Arial" w:eastAsia="Arial" w:hAnsi="Arial" w:cs="Arial"/>
        </w:rPr>
        <w:t>.</w:t>
      </w:r>
      <w:r w:rsidRPr="002752CD">
        <w:rPr>
          <w:rFonts w:ascii="Arial" w:eastAsia="Arial" w:hAnsi="Arial" w:cs="Arial"/>
        </w:rPr>
        <w:t xml:space="preserve"> </w:t>
      </w:r>
      <w:r w:rsidR="00221860" w:rsidRPr="002752CD">
        <w:rPr>
          <w:rFonts w:ascii="Arial" w:eastAsia="Arial" w:hAnsi="Arial" w:cs="Arial"/>
        </w:rPr>
        <w:t>став 1. тачка</w:t>
      </w:r>
      <w:r w:rsidRPr="002752CD">
        <w:rPr>
          <w:rFonts w:ascii="Arial" w:eastAsia="Arial" w:hAnsi="Arial" w:cs="Arial"/>
        </w:rPr>
        <w:t xml:space="preserve"> 6</w:t>
      </w:r>
      <w:r w:rsidR="00221860" w:rsidRPr="002752CD">
        <w:rPr>
          <w:rFonts w:ascii="Arial" w:eastAsia="Arial" w:hAnsi="Arial" w:cs="Arial"/>
        </w:rPr>
        <w:t>.</w:t>
      </w:r>
      <w:r w:rsidRPr="002752CD">
        <w:rPr>
          <w:rFonts w:ascii="Arial" w:eastAsia="Arial" w:hAnsi="Arial" w:cs="Arial"/>
        </w:rPr>
        <w:t xml:space="preserve"> Закона о странцима</w:t>
      </w:r>
      <w:r w:rsidR="00221860" w:rsidRPr="002752CD">
        <w:rPr>
          <w:rStyle w:val="FootnoteReference"/>
          <w:rFonts w:ascii="Arial" w:eastAsia="Arial" w:hAnsi="Arial" w:cs="Arial"/>
        </w:rPr>
        <w:footnoteReference w:id="7"/>
      </w:r>
      <w:r w:rsidRPr="002752CD">
        <w:rPr>
          <w:rFonts w:ascii="Arial" w:eastAsia="Arial" w:hAnsi="Arial" w:cs="Arial"/>
        </w:rPr>
        <w:t xml:space="preserve"> пр</w:t>
      </w:r>
      <w:r w:rsidR="00221860" w:rsidRPr="002752CD">
        <w:rPr>
          <w:rFonts w:ascii="Arial" w:eastAsia="Arial" w:hAnsi="Arial" w:cs="Arial"/>
        </w:rPr>
        <w:t>опис</w:t>
      </w:r>
      <w:r w:rsidR="009B4198">
        <w:rPr>
          <w:rFonts w:ascii="Arial" w:eastAsia="Arial" w:hAnsi="Arial" w:cs="Arial"/>
        </w:rPr>
        <w:t>ује</w:t>
      </w:r>
      <w:r w:rsidRPr="002752CD">
        <w:rPr>
          <w:rFonts w:ascii="Arial" w:eastAsia="Arial" w:hAnsi="Arial" w:cs="Arial"/>
        </w:rPr>
        <w:t xml:space="preserve"> да ће гранична полиција одбити улазак странца у Републику Србију ако нема путно здравствено осигурање за период </w:t>
      </w:r>
      <w:r w:rsidR="00221860" w:rsidRPr="002752CD">
        <w:rPr>
          <w:rFonts w:ascii="Arial" w:eastAsia="Arial" w:hAnsi="Arial" w:cs="Arial"/>
        </w:rPr>
        <w:t xml:space="preserve">за </w:t>
      </w:r>
      <w:r w:rsidRPr="002752CD">
        <w:rPr>
          <w:rFonts w:ascii="Arial" w:eastAsia="Arial" w:hAnsi="Arial" w:cs="Arial"/>
        </w:rPr>
        <w:t xml:space="preserve">који </w:t>
      </w:r>
      <w:r w:rsidR="00221860" w:rsidRPr="002752CD">
        <w:rPr>
          <w:rFonts w:ascii="Arial" w:eastAsia="Arial" w:hAnsi="Arial" w:cs="Arial"/>
        </w:rPr>
        <w:t>намерава</w:t>
      </w:r>
      <w:r w:rsidRPr="002752CD">
        <w:rPr>
          <w:rFonts w:ascii="Arial" w:eastAsia="Arial" w:hAnsi="Arial" w:cs="Arial"/>
        </w:rPr>
        <w:t xml:space="preserve"> да борави у Републици Србији. </w:t>
      </w:r>
    </w:p>
    <w:p w:rsidR="007F171D" w:rsidRDefault="007F171D" w:rsidP="003D69DC">
      <w:pPr>
        <w:tabs>
          <w:tab w:val="left" w:pos="450"/>
        </w:tabs>
        <w:spacing w:after="0" w:line="240" w:lineRule="auto"/>
        <w:ind w:left="-567"/>
        <w:jc w:val="both"/>
        <w:rPr>
          <w:rFonts w:ascii="Arial" w:eastAsia="Arial" w:hAnsi="Arial" w:cs="Arial"/>
        </w:rPr>
      </w:pPr>
    </w:p>
    <w:p w:rsidR="00DF164D" w:rsidRDefault="00E52960" w:rsidP="003D69DC">
      <w:pPr>
        <w:tabs>
          <w:tab w:val="left" w:pos="450"/>
        </w:tabs>
        <w:spacing w:after="0" w:line="240" w:lineRule="auto"/>
        <w:ind w:left="-567"/>
        <w:jc w:val="both"/>
        <w:rPr>
          <w:rFonts w:ascii="Arial" w:eastAsia="Arial" w:hAnsi="Arial" w:cs="Arial"/>
        </w:rPr>
      </w:pPr>
      <w:r w:rsidRPr="002752CD">
        <w:rPr>
          <w:rFonts w:ascii="Arial" w:eastAsia="Arial" w:hAnsi="Arial" w:cs="Arial"/>
          <w:b/>
        </w:rPr>
        <w:t>3.12.</w:t>
      </w:r>
      <w:r w:rsidRPr="002752CD">
        <w:rPr>
          <w:rFonts w:ascii="Arial" w:eastAsia="Arial" w:hAnsi="Arial" w:cs="Arial"/>
        </w:rPr>
        <w:t xml:space="preserve"> Имајући</w:t>
      </w:r>
      <w:r w:rsidR="00221860" w:rsidRPr="002752CD">
        <w:rPr>
          <w:rFonts w:ascii="Arial" w:eastAsia="Arial" w:hAnsi="Arial" w:cs="Arial"/>
        </w:rPr>
        <w:t xml:space="preserve"> у виду све наведено, Повереник</w:t>
      </w:r>
      <w:r w:rsidRPr="002752CD">
        <w:rPr>
          <w:rFonts w:ascii="Arial" w:eastAsia="Arial" w:hAnsi="Arial" w:cs="Arial"/>
        </w:rPr>
        <w:t xml:space="preserve"> за заштиту равноправности је мишљења  да је </w:t>
      </w:r>
      <w:r w:rsidR="00C25A63">
        <w:rPr>
          <w:rFonts w:ascii="Arial" w:eastAsia="Arial" w:hAnsi="Arial" w:cs="Arial"/>
          <w:lang w:val="sr-Cyrl-RS"/>
        </w:rPr>
        <w:t>осигуравајуће друштво</w:t>
      </w:r>
      <w:r w:rsidR="00221860" w:rsidRPr="002752CD">
        <w:rPr>
          <w:rFonts w:ascii="Arial" w:eastAsia="Arial" w:hAnsi="Arial" w:cs="Arial"/>
        </w:rPr>
        <w:t xml:space="preserve">, </w:t>
      </w:r>
      <w:r w:rsidR="006B440B" w:rsidRPr="002752CD">
        <w:rPr>
          <w:rFonts w:ascii="Arial" w:eastAsia="Arial" w:hAnsi="Arial" w:cs="Arial"/>
        </w:rPr>
        <w:t>одбијањем да С</w:t>
      </w:r>
      <w:r w:rsidR="000064BF">
        <w:rPr>
          <w:rFonts w:ascii="Arial" w:eastAsia="Arial" w:hAnsi="Arial" w:cs="Arial"/>
        </w:rPr>
        <w:t>.</w:t>
      </w:r>
      <w:r w:rsidR="006B440B" w:rsidRPr="002752CD">
        <w:rPr>
          <w:rFonts w:ascii="Arial" w:eastAsia="Arial" w:hAnsi="Arial" w:cs="Arial"/>
        </w:rPr>
        <w:t xml:space="preserve"> Х</w:t>
      </w:r>
      <w:r w:rsidR="000064BF">
        <w:rPr>
          <w:rFonts w:ascii="Arial" w:eastAsia="Arial" w:hAnsi="Arial" w:cs="Arial"/>
        </w:rPr>
        <w:t>.</w:t>
      </w:r>
      <w:r w:rsidR="006B440B" w:rsidRPr="002752CD">
        <w:rPr>
          <w:rFonts w:ascii="Arial" w:eastAsia="Arial" w:hAnsi="Arial" w:cs="Arial"/>
        </w:rPr>
        <w:t xml:space="preserve"> пружи услугу осигурања за време путовања и боравка у иностранству</w:t>
      </w:r>
      <w:r w:rsidR="001C1138">
        <w:rPr>
          <w:rFonts w:ascii="Arial" w:eastAsia="Arial" w:hAnsi="Arial" w:cs="Arial"/>
        </w:rPr>
        <w:t xml:space="preserve"> повредило одредбе Закона о забрани дискриминације. </w:t>
      </w:r>
      <w:r w:rsidRPr="002752CD">
        <w:rPr>
          <w:rFonts w:ascii="Arial" w:eastAsia="Arial" w:hAnsi="Arial" w:cs="Arial"/>
        </w:rPr>
        <w:t xml:space="preserve"> </w:t>
      </w:r>
    </w:p>
    <w:p w:rsidR="001D6DBA" w:rsidRDefault="001D6DBA" w:rsidP="001D6DBA">
      <w:pPr>
        <w:spacing w:after="0" w:line="240" w:lineRule="auto"/>
        <w:jc w:val="both"/>
        <w:rPr>
          <w:rFonts w:ascii="Arial" w:eastAsia="Arial" w:hAnsi="Arial" w:cs="Arial"/>
        </w:rPr>
      </w:pPr>
    </w:p>
    <w:p w:rsidR="002752CD" w:rsidRDefault="006B440B" w:rsidP="001D6DBA">
      <w:pPr>
        <w:spacing w:after="0" w:line="240" w:lineRule="auto"/>
        <w:jc w:val="both"/>
        <w:rPr>
          <w:rFonts w:ascii="Arial" w:eastAsia="Arial" w:hAnsi="Arial" w:cs="Arial"/>
          <w:b/>
        </w:rPr>
      </w:pPr>
      <w:r w:rsidRPr="002752CD">
        <w:rPr>
          <w:rFonts w:ascii="Arial" w:eastAsia="Arial" w:hAnsi="Arial" w:cs="Arial"/>
          <w:b/>
        </w:rPr>
        <w:t>4. МИШЉЕЊЕ</w:t>
      </w:r>
    </w:p>
    <w:p w:rsidR="00DF164D" w:rsidRPr="00DF164D" w:rsidRDefault="00DF164D" w:rsidP="003D69DC">
      <w:pPr>
        <w:spacing w:after="0" w:line="240" w:lineRule="auto"/>
        <w:ind w:left="-567"/>
        <w:jc w:val="both"/>
        <w:rPr>
          <w:rFonts w:ascii="Arial" w:eastAsia="Arial" w:hAnsi="Arial" w:cs="Arial"/>
          <w:b/>
        </w:rPr>
      </w:pPr>
    </w:p>
    <w:p w:rsidR="00D11D7E" w:rsidRDefault="006B440B" w:rsidP="001D6DBA">
      <w:pPr>
        <w:tabs>
          <w:tab w:val="left" w:pos="450"/>
        </w:tabs>
        <w:spacing w:after="0" w:line="240" w:lineRule="auto"/>
        <w:ind w:left="-567"/>
        <w:jc w:val="both"/>
        <w:rPr>
          <w:rFonts w:ascii="Arial" w:eastAsia="Arial" w:hAnsi="Arial" w:cs="Arial"/>
        </w:rPr>
      </w:pPr>
      <w:r w:rsidRPr="002752CD">
        <w:rPr>
          <w:rFonts w:ascii="Arial" w:eastAsia="Arial" w:hAnsi="Arial" w:cs="Arial"/>
        </w:rPr>
        <w:t>Одбијањем да С</w:t>
      </w:r>
      <w:r w:rsidR="000064BF">
        <w:rPr>
          <w:rFonts w:ascii="Arial" w:eastAsia="Arial" w:hAnsi="Arial" w:cs="Arial"/>
        </w:rPr>
        <w:t>.</w:t>
      </w:r>
      <w:r w:rsidRPr="002752CD">
        <w:rPr>
          <w:rFonts w:ascii="Arial" w:eastAsia="Arial" w:hAnsi="Arial" w:cs="Arial"/>
        </w:rPr>
        <w:t xml:space="preserve"> Х</w:t>
      </w:r>
      <w:r w:rsidR="000064BF">
        <w:rPr>
          <w:rFonts w:ascii="Arial" w:eastAsia="Arial" w:hAnsi="Arial" w:cs="Arial"/>
        </w:rPr>
        <w:t>.</w:t>
      </w:r>
      <w:r w:rsidRPr="002752CD">
        <w:rPr>
          <w:rFonts w:ascii="Arial" w:eastAsia="Arial" w:hAnsi="Arial" w:cs="Arial"/>
        </w:rPr>
        <w:t xml:space="preserve"> пружи услугу осигурања за време путовања и боравка у иностранству </w:t>
      </w:r>
      <w:r w:rsidR="00C25A63">
        <w:rPr>
          <w:rFonts w:ascii="Arial" w:eastAsia="Arial" w:hAnsi="Arial" w:cs="Arial"/>
          <w:lang w:val="sr-Cyrl-RS"/>
        </w:rPr>
        <w:t>осигуравајуће друштво</w:t>
      </w:r>
      <w:r w:rsidRPr="002752CD">
        <w:rPr>
          <w:rFonts w:ascii="Arial" w:eastAsia="Arial" w:hAnsi="Arial" w:cs="Arial"/>
        </w:rPr>
        <w:t xml:space="preserve"> прекршило је одредбе чл</w:t>
      </w:r>
      <w:r w:rsidR="00966FE5">
        <w:rPr>
          <w:rFonts w:ascii="Arial" w:eastAsia="Arial" w:hAnsi="Arial" w:cs="Arial"/>
        </w:rPr>
        <w:t>. 6,</w:t>
      </w:r>
      <w:r w:rsidRPr="002752CD">
        <w:rPr>
          <w:rFonts w:ascii="Arial" w:eastAsia="Arial" w:hAnsi="Arial" w:cs="Arial"/>
        </w:rPr>
        <w:t xml:space="preserve"> 17. став 1. и чл</w:t>
      </w:r>
      <w:r w:rsidR="00966FE5">
        <w:rPr>
          <w:rFonts w:ascii="Arial" w:eastAsia="Arial" w:hAnsi="Arial" w:cs="Arial"/>
        </w:rPr>
        <w:t>.</w:t>
      </w:r>
      <w:r w:rsidRPr="002752CD">
        <w:rPr>
          <w:rFonts w:ascii="Arial" w:eastAsia="Arial" w:hAnsi="Arial" w:cs="Arial"/>
        </w:rPr>
        <w:t xml:space="preserve"> 23. Закона о забрани дискриминације.</w:t>
      </w:r>
    </w:p>
    <w:p w:rsidR="006B440B" w:rsidRPr="002752CD" w:rsidRDefault="006B440B" w:rsidP="003D69DC">
      <w:pPr>
        <w:tabs>
          <w:tab w:val="left" w:pos="450"/>
        </w:tabs>
        <w:spacing w:after="0" w:line="240" w:lineRule="auto"/>
        <w:ind w:left="-567"/>
        <w:jc w:val="both"/>
        <w:rPr>
          <w:rFonts w:ascii="Arial" w:eastAsia="Arial" w:hAnsi="Arial" w:cs="Arial"/>
          <w:i/>
        </w:rPr>
      </w:pPr>
    </w:p>
    <w:p w:rsidR="006B440B" w:rsidRDefault="006B440B" w:rsidP="003D69DC">
      <w:pPr>
        <w:tabs>
          <w:tab w:val="left" w:pos="709"/>
        </w:tabs>
        <w:spacing w:after="0" w:line="240" w:lineRule="auto"/>
        <w:ind w:left="-567"/>
        <w:jc w:val="both"/>
        <w:rPr>
          <w:rFonts w:ascii="Arial" w:eastAsia="Arial" w:hAnsi="Arial" w:cs="Arial"/>
          <w:b/>
        </w:rPr>
      </w:pPr>
      <w:r w:rsidRPr="002752CD">
        <w:rPr>
          <w:rFonts w:ascii="Arial" w:eastAsia="Arial" w:hAnsi="Arial" w:cs="Arial"/>
          <w:b/>
        </w:rPr>
        <w:t>5. ПРЕПОРУКА</w:t>
      </w:r>
    </w:p>
    <w:p w:rsidR="007F171D" w:rsidRPr="002752CD" w:rsidRDefault="007F171D" w:rsidP="003D69DC">
      <w:pPr>
        <w:tabs>
          <w:tab w:val="left" w:pos="709"/>
        </w:tabs>
        <w:spacing w:after="0" w:line="240" w:lineRule="auto"/>
        <w:ind w:left="-567"/>
        <w:jc w:val="both"/>
        <w:rPr>
          <w:rFonts w:ascii="Arial" w:eastAsia="Arial" w:hAnsi="Arial" w:cs="Arial"/>
          <w:b/>
        </w:rPr>
      </w:pPr>
    </w:p>
    <w:p w:rsidR="006B440B" w:rsidRDefault="006B440B" w:rsidP="003D69DC">
      <w:pPr>
        <w:tabs>
          <w:tab w:val="left" w:pos="709"/>
        </w:tabs>
        <w:spacing w:after="0" w:line="240" w:lineRule="auto"/>
        <w:ind w:left="-567"/>
        <w:jc w:val="both"/>
        <w:rPr>
          <w:rFonts w:ascii="Arial" w:eastAsia="Arial" w:hAnsi="Arial" w:cs="Arial"/>
        </w:rPr>
      </w:pPr>
      <w:r w:rsidRPr="002752CD">
        <w:rPr>
          <w:rFonts w:ascii="Arial" w:eastAsia="Arial" w:hAnsi="Arial" w:cs="Arial"/>
        </w:rPr>
        <w:t xml:space="preserve">Повереник за заштиту равноправности препоручује </w:t>
      </w:r>
      <w:r w:rsidR="00C25A63">
        <w:rPr>
          <w:rFonts w:ascii="Arial" w:eastAsia="Arial" w:hAnsi="Arial" w:cs="Arial"/>
          <w:lang w:val="sr-Cyrl-RS"/>
        </w:rPr>
        <w:t>осигуравајућем друштву</w:t>
      </w:r>
      <w:r w:rsidR="00966FE5">
        <w:rPr>
          <w:rFonts w:ascii="Arial" w:eastAsia="Arial" w:hAnsi="Arial" w:cs="Arial"/>
        </w:rPr>
        <w:t xml:space="preserve"> да у</w:t>
      </w:r>
      <w:r w:rsidRPr="002752CD">
        <w:rPr>
          <w:rFonts w:ascii="Arial" w:eastAsia="Arial" w:hAnsi="Arial" w:cs="Arial"/>
        </w:rPr>
        <w:t>склади Опште услове за осигурање лица за време путовања и боравка у иностранству са антидискриминационим прописима, тако што ће прописати могућност осигуравања и лица преко навршених 80 година живота.</w:t>
      </w:r>
    </w:p>
    <w:p w:rsidR="007F171D" w:rsidRPr="002752CD" w:rsidRDefault="007F171D" w:rsidP="003D69DC">
      <w:pPr>
        <w:tabs>
          <w:tab w:val="left" w:pos="709"/>
        </w:tabs>
        <w:spacing w:after="0" w:line="240" w:lineRule="auto"/>
        <w:ind w:left="-567"/>
        <w:jc w:val="both"/>
        <w:rPr>
          <w:rFonts w:ascii="Arial" w:eastAsia="Arial" w:hAnsi="Arial" w:cs="Arial"/>
        </w:rPr>
      </w:pPr>
    </w:p>
    <w:p w:rsidR="006B440B" w:rsidRDefault="006B440B" w:rsidP="003D69DC">
      <w:pPr>
        <w:tabs>
          <w:tab w:val="left" w:pos="709"/>
        </w:tabs>
        <w:spacing w:after="0" w:line="240" w:lineRule="auto"/>
        <w:ind w:left="-567"/>
        <w:jc w:val="both"/>
        <w:rPr>
          <w:rFonts w:ascii="Arial" w:eastAsia="Arial" w:hAnsi="Arial" w:cs="Arial"/>
        </w:rPr>
      </w:pPr>
      <w:r w:rsidRPr="002752CD">
        <w:rPr>
          <w:rFonts w:ascii="Arial" w:eastAsia="Arial" w:hAnsi="Arial" w:cs="Arial"/>
        </w:rPr>
        <w:t xml:space="preserve">Потребно је да </w:t>
      </w:r>
      <w:r w:rsidR="00C25A63">
        <w:rPr>
          <w:rFonts w:ascii="Arial" w:eastAsia="Arial" w:hAnsi="Arial" w:cs="Arial"/>
          <w:lang w:val="sr-Cyrl-RS"/>
        </w:rPr>
        <w:t>осигуравајуће друштво</w:t>
      </w:r>
      <w:r w:rsidRPr="002752CD">
        <w:rPr>
          <w:rFonts w:ascii="Arial" w:eastAsia="Arial" w:hAnsi="Arial" w:cs="Arial"/>
        </w:rPr>
        <w:t xml:space="preserve"> обавести Повереника за заштиту равноправности о спровођењу ове препоруке, у року од 30 дана од дана пријема мишљења са препоруком.</w:t>
      </w:r>
    </w:p>
    <w:p w:rsidR="007F171D" w:rsidRPr="002752CD" w:rsidRDefault="007F171D" w:rsidP="003D69DC">
      <w:pPr>
        <w:tabs>
          <w:tab w:val="left" w:pos="709"/>
        </w:tabs>
        <w:spacing w:after="0" w:line="240" w:lineRule="auto"/>
        <w:ind w:left="-567"/>
        <w:jc w:val="both"/>
        <w:rPr>
          <w:rFonts w:ascii="Arial" w:eastAsia="Arial" w:hAnsi="Arial" w:cs="Arial"/>
        </w:rPr>
      </w:pPr>
    </w:p>
    <w:p w:rsidR="006B440B" w:rsidRDefault="006B440B" w:rsidP="003D69DC">
      <w:pPr>
        <w:tabs>
          <w:tab w:val="left" w:pos="450"/>
        </w:tabs>
        <w:spacing w:after="0" w:line="240" w:lineRule="auto"/>
        <w:ind w:left="-567"/>
        <w:jc w:val="both"/>
        <w:rPr>
          <w:rFonts w:ascii="Arial" w:eastAsia="Arial" w:hAnsi="Arial" w:cs="Arial"/>
        </w:rPr>
      </w:pPr>
      <w:r w:rsidRPr="002752CD">
        <w:rPr>
          <w:rFonts w:ascii="Arial" w:eastAsia="Arial" w:hAnsi="Arial" w:cs="Arial"/>
        </w:rPr>
        <w:t xml:space="preserve">Сагласно члану 40. Закона о забрани дискриминације, уколико </w:t>
      </w:r>
      <w:r w:rsidR="00C25A63">
        <w:rPr>
          <w:rFonts w:ascii="Arial" w:eastAsia="Arial" w:hAnsi="Arial" w:cs="Arial"/>
          <w:lang w:val="sr-Cyrl-RS"/>
        </w:rPr>
        <w:t>осигуравајуће друштво</w:t>
      </w:r>
      <w:r w:rsidRPr="002752CD">
        <w:rPr>
          <w:rFonts w:ascii="Arial" w:eastAsia="Arial" w:hAnsi="Arial" w:cs="Arial"/>
        </w:rPr>
        <w:t xml:space="preserve"> не поступи по препоруци у року од 30 дана, биће донето решење о изрицању мере опомене, против којег није допуштена жалба, а за случај да ово решење не спроведе, Повереник за заштиту равноправности може о томе обавестити јавност преко средстава јавног информисања и на други погодан начин.</w:t>
      </w:r>
    </w:p>
    <w:p w:rsidR="007F171D" w:rsidRPr="002752CD" w:rsidRDefault="007F171D" w:rsidP="003D69DC">
      <w:pPr>
        <w:tabs>
          <w:tab w:val="left" w:pos="450"/>
        </w:tabs>
        <w:spacing w:after="0" w:line="240" w:lineRule="auto"/>
        <w:ind w:left="-567"/>
        <w:jc w:val="both"/>
        <w:rPr>
          <w:rFonts w:ascii="Arial" w:eastAsia="Arial" w:hAnsi="Arial" w:cs="Arial"/>
        </w:rPr>
      </w:pPr>
    </w:p>
    <w:p w:rsidR="0029206D" w:rsidRDefault="006B440B" w:rsidP="003D69DC">
      <w:pPr>
        <w:tabs>
          <w:tab w:val="left" w:pos="450"/>
        </w:tabs>
        <w:spacing w:after="0" w:line="240" w:lineRule="auto"/>
        <w:ind w:left="-567"/>
        <w:jc w:val="both"/>
        <w:rPr>
          <w:rFonts w:ascii="Arial" w:eastAsia="Arial" w:hAnsi="Arial" w:cs="Arial"/>
          <w:lang w:val="sr-Cyrl-RS"/>
        </w:rPr>
      </w:pPr>
      <w:r w:rsidRPr="002752CD">
        <w:rPr>
          <w:rFonts w:ascii="Arial" w:eastAsia="Arial" w:hAnsi="Arial" w:cs="Arial"/>
        </w:rPr>
        <w:t xml:space="preserve">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 </w:t>
      </w:r>
    </w:p>
    <w:p w:rsidR="00C25A63" w:rsidRPr="00C25A63" w:rsidRDefault="00C25A63" w:rsidP="003D69DC">
      <w:pPr>
        <w:tabs>
          <w:tab w:val="left" w:pos="450"/>
        </w:tabs>
        <w:spacing w:after="0" w:line="240" w:lineRule="auto"/>
        <w:ind w:left="-567"/>
        <w:jc w:val="both"/>
        <w:rPr>
          <w:rFonts w:ascii="Arial" w:eastAsia="Arial" w:hAnsi="Arial" w:cs="Arial"/>
          <w:lang w:val="sr-Cyrl-RS"/>
        </w:rPr>
      </w:pPr>
    </w:p>
    <w:p w:rsidR="00DF164D" w:rsidRDefault="0029206D" w:rsidP="003D69DC">
      <w:pPr>
        <w:tabs>
          <w:tab w:val="left" w:pos="450"/>
        </w:tabs>
        <w:spacing w:after="0" w:line="240" w:lineRule="auto"/>
        <w:ind w:left="-567"/>
        <w:jc w:val="both"/>
        <w:rPr>
          <w:rFonts w:ascii="Arial" w:eastAsia="Arial" w:hAnsi="Arial" w:cs="Arial"/>
          <w:b/>
          <w:sz w:val="24"/>
          <w:szCs w:val="24"/>
        </w:rPr>
      </w:pPr>
      <w:r>
        <w:rPr>
          <w:rFonts w:ascii="Arial" w:eastAsia="Arial" w:hAnsi="Arial" w:cs="Arial"/>
          <w:b/>
          <w:sz w:val="24"/>
          <w:szCs w:val="24"/>
        </w:rPr>
        <w:t xml:space="preserve">                                                                                    </w:t>
      </w:r>
    </w:p>
    <w:p w:rsidR="0029206D" w:rsidRPr="0029206D" w:rsidRDefault="00DF164D" w:rsidP="003D69DC">
      <w:pPr>
        <w:tabs>
          <w:tab w:val="left" w:pos="450"/>
        </w:tabs>
        <w:spacing w:after="0" w:line="240" w:lineRule="auto"/>
        <w:ind w:left="-567"/>
        <w:jc w:val="both"/>
        <w:rPr>
          <w:rFonts w:ascii="Arial" w:eastAsia="Arial" w:hAnsi="Arial" w:cs="Arial"/>
          <w:b/>
          <w:sz w:val="24"/>
          <w:szCs w:val="24"/>
        </w:rPr>
      </w:pPr>
      <w:r>
        <w:rPr>
          <w:rFonts w:ascii="Arial" w:eastAsia="Arial" w:hAnsi="Arial" w:cs="Arial"/>
          <w:b/>
          <w:sz w:val="24"/>
          <w:szCs w:val="24"/>
        </w:rPr>
        <w:t xml:space="preserve">                                                                                   </w:t>
      </w:r>
      <w:r w:rsidR="0029206D" w:rsidRPr="0029206D">
        <w:rPr>
          <w:rFonts w:ascii="Arial" w:eastAsia="Arial" w:hAnsi="Arial" w:cs="Arial"/>
          <w:b/>
          <w:sz w:val="24"/>
          <w:szCs w:val="24"/>
        </w:rPr>
        <w:t xml:space="preserve">ПОВЕРЕНИЦА ЗА ЗАШТИТУ </w:t>
      </w:r>
    </w:p>
    <w:p w:rsidR="0029206D" w:rsidRDefault="0029206D" w:rsidP="003D69DC">
      <w:pPr>
        <w:tabs>
          <w:tab w:val="left" w:pos="450"/>
        </w:tabs>
        <w:spacing w:after="0" w:line="240" w:lineRule="auto"/>
        <w:ind w:left="-567"/>
        <w:jc w:val="both"/>
        <w:rPr>
          <w:rFonts w:ascii="Arial" w:eastAsia="Arial" w:hAnsi="Arial" w:cs="Arial"/>
          <w:b/>
          <w:sz w:val="24"/>
          <w:szCs w:val="24"/>
        </w:rPr>
      </w:pPr>
      <w:r>
        <w:rPr>
          <w:rFonts w:ascii="Arial" w:eastAsia="Arial" w:hAnsi="Arial" w:cs="Arial"/>
          <w:b/>
          <w:sz w:val="24"/>
          <w:szCs w:val="24"/>
        </w:rPr>
        <w:t xml:space="preserve">                                                                                          </w:t>
      </w:r>
      <w:r w:rsidRPr="0029206D">
        <w:rPr>
          <w:rFonts w:ascii="Arial" w:eastAsia="Arial" w:hAnsi="Arial" w:cs="Arial"/>
          <w:b/>
          <w:sz w:val="24"/>
          <w:szCs w:val="24"/>
        </w:rPr>
        <w:t>РАВНОПРАВНОСТИ</w:t>
      </w:r>
      <w:r>
        <w:rPr>
          <w:rFonts w:ascii="Arial" w:eastAsia="Arial" w:hAnsi="Arial" w:cs="Arial"/>
          <w:b/>
          <w:sz w:val="24"/>
          <w:szCs w:val="24"/>
        </w:rPr>
        <w:t xml:space="preserve">                                                                                           </w:t>
      </w:r>
    </w:p>
    <w:p w:rsidR="002752CD" w:rsidRDefault="0029206D" w:rsidP="003D69DC">
      <w:pPr>
        <w:tabs>
          <w:tab w:val="left" w:pos="450"/>
        </w:tabs>
        <w:spacing w:after="0" w:line="240" w:lineRule="auto"/>
        <w:ind w:left="-567"/>
        <w:jc w:val="both"/>
        <w:rPr>
          <w:rFonts w:ascii="Arial" w:eastAsia="Arial" w:hAnsi="Arial" w:cs="Arial"/>
          <w:b/>
          <w:sz w:val="24"/>
          <w:szCs w:val="24"/>
        </w:rPr>
      </w:pPr>
      <w:r>
        <w:rPr>
          <w:rFonts w:ascii="Arial" w:eastAsia="Arial" w:hAnsi="Arial" w:cs="Arial"/>
          <w:b/>
          <w:sz w:val="24"/>
          <w:szCs w:val="24"/>
        </w:rPr>
        <w:t xml:space="preserve">                                                                                          </w:t>
      </w:r>
      <w:r w:rsidR="006C42F3">
        <w:rPr>
          <w:rFonts w:ascii="Arial" w:eastAsia="Arial" w:hAnsi="Arial" w:cs="Arial"/>
          <w:b/>
          <w:sz w:val="24"/>
          <w:szCs w:val="24"/>
        </w:rPr>
        <w:t xml:space="preserve"> </w:t>
      </w:r>
    </w:p>
    <w:p w:rsidR="00425EC1" w:rsidRPr="002752CD" w:rsidRDefault="002752CD" w:rsidP="003D69DC">
      <w:pPr>
        <w:tabs>
          <w:tab w:val="left" w:pos="450"/>
        </w:tabs>
        <w:spacing w:after="0" w:line="240" w:lineRule="auto"/>
        <w:ind w:left="-567"/>
        <w:jc w:val="both"/>
        <w:rPr>
          <w:rFonts w:ascii="Arial" w:eastAsia="Arial" w:hAnsi="Arial" w:cs="Arial"/>
          <w:b/>
          <w:sz w:val="24"/>
          <w:szCs w:val="24"/>
        </w:rPr>
      </w:pPr>
      <w:r>
        <w:rPr>
          <w:rFonts w:ascii="Arial" w:eastAsia="Arial" w:hAnsi="Arial" w:cs="Arial"/>
          <w:b/>
          <w:sz w:val="24"/>
          <w:szCs w:val="24"/>
        </w:rPr>
        <w:t xml:space="preserve">                                                                                         </w:t>
      </w:r>
      <w:r w:rsidR="006C42F3">
        <w:rPr>
          <w:rFonts w:ascii="Arial" w:eastAsia="Arial" w:hAnsi="Arial" w:cs="Arial"/>
          <w:b/>
          <w:sz w:val="24"/>
          <w:szCs w:val="24"/>
        </w:rPr>
        <w:t xml:space="preserve"> </w:t>
      </w:r>
      <w:r>
        <w:rPr>
          <w:rFonts w:ascii="Arial" w:eastAsia="Arial" w:hAnsi="Arial" w:cs="Arial"/>
          <w:b/>
          <w:sz w:val="24"/>
          <w:szCs w:val="24"/>
        </w:rPr>
        <w:t>Бранкица Јанковић</w:t>
      </w:r>
    </w:p>
    <w:p w:rsidR="007F171D" w:rsidRDefault="007F171D" w:rsidP="003D69DC">
      <w:pPr>
        <w:spacing w:before="120" w:line="280" w:lineRule="auto"/>
        <w:ind w:left="-567"/>
        <w:jc w:val="center"/>
        <w:rPr>
          <w:rFonts w:ascii="Arial" w:eastAsia="Arial" w:hAnsi="Arial" w:cs="Arial"/>
          <w:b/>
          <w:sz w:val="28"/>
        </w:rPr>
      </w:pPr>
    </w:p>
    <w:p w:rsidR="00425EC1" w:rsidRDefault="007F171D" w:rsidP="003D69DC">
      <w:pPr>
        <w:spacing w:after="0" w:line="240" w:lineRule="auto"/>
        <w:ind w:left="-567"/>
        <w:rPr>
          <w:rFonts w:ascii="Arial" w:eastAsia="Arial" w:hAnsi="Arial" w:cs="Arial"/>
          <w:i/>
          <w:sz w:val="20"/>
          <w:szCs w:val="20"/>
          <w:u w:val="single"/>
        </w:rPr>
      </w:pPr>
      <w:r w:rsidRPr="00140C8A">
        <w:rPr>
          <w:rFonts w:ascii="Arial" w:eastAsia="Arial" w:hAnsi="Arial" w:cs="Arial"/>
          <w:i/>
          <w:sz w:val="20"/>
          <w:szCs w:val="20"/>
          <w:u w:val="single"/>
        </w:rPr>
        <w:t>Доставити:</w:t>
      </w:r>
    </w:p>
    <w:p w:rsidR="00140C8A" w:rsidRPr="00140C8A" w:rsidRDefault="00140C8A" w:rsidP="003D69DC">
      <w:pPr>
        <w:spacing w:after="0" w:line="240" w:lineRule="auto"/>
        <w:ind w:left="-567"/>
        <w:rPr>
          <w:rFonts w:ascii="Arial" w:eastAsia="Arial" w:hAnsi="Arial" w:cs="Arial"/>
          <w:i/>
          <w:sz w:val="20"/>
          <w:szCs w:val="20"/>
          <w:u w:val="single"/>
        </w:rPr>
      </w:pPr>
    </w:p>
    <w:p w:rsidR="007F171D" w:rsidRPr="00140C8A" w:rsidRDefault="007F171D" w:rsidP="003D69DC">
      <w:pPr>
        <w:spacing w:after="0" w:line="240" w:lineRule="auto"/>
        <w:ind w:left="-567"/>
        <w:rPr>
          <w:rFonts w:ascii="Arial" w:eastAsia="Arial" w:hAnsi="Arial" w:cs="Arial"/>
          <w:sz w:val="20"/>
          <w:szCs w:val="20"/>
        </w:rPr>
      </w:pPr>
      <w:r w:rsidRPr="00140C8A">
        <w:rPr>
          <w:rFonts w:ascii="Arial" w:eastAsia="Arial" w:hAnsi="Arial" w:cs="Arial"/>
          <w:sz w:val="20"/>
          <w:szCs w:val="20"/>
        </w:rPr>
        <w:t>- С</w:t>
      </w:r>
      <w:r w:rsidR="000064BF">
        <w:rPr>
          <w:rFonts w:ascii="Arial" w:eastAsia="Arial" w:hAnsi="Arial" w:cs="Arial"/>
          <w:sz w:val="20"/>
          <w:szCs w:val="20"/>
        </w:rPr>
        <w:t>.</w:t>
      </w:r>
      <w:r w:rsidRPr="00140C8A">
        <w:rPr>
          <w:rFonts w:ascii="Arial" w:eastAsia="Arial" w:hAnsi="Arial" w:cs="Arial"/>
          <w:sz w:val="20"/>
          <w:szCs w:val="20"/>
        </w:rPr>
        <w:t xml:space="preserve"> Х</w:t>
      </w:r>
      <w:r w:rsidR="000064BF">
        <w:rPr>
          <w:rFonts w:ascii="Arial" w:eastAsia="Arial" w:hAnsi="Arial" w:cs="Arial"/>
          <w:sz w:val="20"/>
          <w:szCs w:val="20"/>
        </w:rPr>
        <w:t>.</w:t>
      </w:r>
    </w:p>
    <w:p w:rsidR="007F171D" w:rsidRPr="00C25A63" w:rsidRDefault="007F171D" w:rsidP="003D69DC">
      <w:pPr>
        <w:spacing w:after="0" w:line="240" w:lineRule="auto"/>
        <w:ind w:left="-567"/>
        <w:rPr>
          <w:rFonts w:ascii="Arial" w:eastAsia="Arial" w:hAnsi="Arial" w:cs="Arial"/>
          <w:sz w:val="20"/>
          <w:szCs w:val="20"/>
          <w:lang w:val="sr-Cyrl-RS"/>
        </w:rPr>
      </w:pPr>
      <w:r w:rsidRPr="00140C8A">
        <w:rPr>
          <w:rFonts w:ascii="Arial" w:eastAsia="Arial" w:hAnsi="Arial" w:cs="Arial"/>
          <w:sz w:val="20"/>
          <w:szCs w:val="20"/>
        </w:rPr>
        <w:t xml:space="preserve">- </w:t>
      </w:r>
      <w:r w:rsidR="00C25A63">
        <w:rPr>
          <w:rFonts w:ascii="Arial" w:eastAsia="Arial" w:hAnsi="Arial" w:cs="Arial"/>
          <w:sz w:val="20"/>
          <w:szCs w:val="20"/>
          <w:lang w:val="sr-Cyrl-RS"/>
        </w:rPr>
        <w:t>Осигуравајућем друштву</w:t>
      </w:r>
      <w:bookmarkStart w:id="0" w:name="_GoBack"/>
      <w:bookmarkEnd w:id="0"/>
    </w:p>
    <w:sectPr w:rsidR="007F171D" w:rsidRPr="00C25A63" w:rsidSect="001D6DBA">
      <w:footerReference w:type="default" r:id="rId13"/>
      <w:pgSz w:w="11906" w:h="16838"/>
      <w:pgMar w:top="450" w:right="1134" w:bottom="90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F2F" w:rsidRDefault="009B4F2F" w:rsidP="00221860">
      <w:pPr>
        <w:spacing w:after="0" w:line="240" w:lineRule="auto"/>
      </w:pPr>
      <w:r>
        <w:separator/>
      </w:r>
    </w:p>
  </w:endnote>
  <w:endnote w:type="continuationSeparator" w:id="0">
    <w:p w:rsidR="009B4F2F" w:rsidRDefault="009B4F2F" w:rsidP="00221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Bold">
    <w:panose1 w:val="020B0704020202020204"/>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F4D" w:rsidRDefault="00E41F4D">
    <w:pPr>
      <w:pStyle w:val="Footer"/>
    </w:pPr>
    <w:r>
      <w:rPr>
        <w:noProof/>
      </w:rPr>
      <w:drawing>
        <wp:anchor distT="0" distB="0" distL="114300" distR="114300" simplePos="0" relativeHeight="251657216" behindDoc="0" locked="0" layoutInCell="1" allowOverlap="1">
          <wp:simplePos x="0" y="0"/>
          <wp:positionH relativeFrom="page">
            <wp:posOffset>421898</wp:posOffset>
          </wp:positionH>
          <wp:positionV relativeFrom="page">
            <wp:posOffset>9719496</wp:posOffset>
          </wp:positionV>
          <wp:extent cx="6650315" cy="524341"/>
          <wp:effectExtent l="19050" t="0" r="0" b="0"/>
          <wp:wrapNone/>
          <wp:docPr id="9"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srcRect/>
                  <a:stretch>
                    <a:fillRect/>
                  </a:stretch>
                </pic:blipFill>
                <pic:spPr bwMode="auto">
                  <a:xfrm>
                    <a:off x="0" y="0"/>
                    <a:ext cx="6650315" cy="524341"/>
                  </a:xfrm>
                  <a:prstGeom prst="rect">
                    <a:avLst/>
                  </a:prstGeom>
                  <a:noFill/>
                  <a:ln w="12700">
                    <a:noFill/>
                    <a:miter lim="800000"/>
                    <a:headEnd/>
                    <a:tailEnd/>
                  </a:ln>
                </pic:spPr>
              </pic:pic>
            </a:graphicData>
          </a:graphic>
        </wp:anchor>
      </w:drawing>
    </w:r>
    <w:r w:rsidR="00C25A63">
      <w:rPr>
        <w:noProof/>
      </w:rPr>
      <mc:AlternateContent>
        <mc:Choice Requires="wps">
          <w:drawing>
            <wp:anchor distT="152400" distB="152400" distL="152400" distR="152400" simplePos="0" relativeHeight="251659264" behindDoc="0" locked="0" layoutInCell="1" allowOverlap="1">
              <wp:simplePos x="0" y="0"/>
              <wp:positionH relativeFrom="page">
                <wp:posOffset>711835</wp:posOffset>
              </wp:positionH>
              <wp:positionV relativeFrom="page">
                <wp:posOffset>10128885</wp:posOffset>
              </wp:positionV>
              <wp:extent cx="6165850" cy="462915"/>
              <wp:effectExtent l="0" t="0" r="6350" b="1333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E41F4D" w:rsidRDefault="00E41F4D" w:rsidP="00E41F4D">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E41F4D" w:rsidRPr="00721C4C" w:rsidRDefault="00E41F4D" w:rsidP="00E41F4D">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Булевар краља Александра 84, 11000 Београд, Република Србија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6.05pt;margin-top:797.55pt;width:485.5pt;height:36.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mTnAIAAIoFAAAOAAAAZHJzL2Uyb0RvYy54bWysVNuO0zAQfUfiHyy/Z3MhTZNo09XSNAhp&#10;gRULH+AmTmPh2MF2my6If2fstN129wUBeYjG9vjMnJnjub7Z9xztqNJMigKHVwFGVNSyYWJT4K9f&#10;Ki/FSBsiGsKloAV+pBrfLF6/uh6HnEayk7yhCgGI0Pk4FLgzZsh9X9cd7Ym+kgMVcNhK1RMDS7Xx&#10;G0VGQO+5HwVB4o9SNYOSNdUadsvpEC8cftvS2nxqW00N4gWG3Iz7K/df27+/uCb5RpGhY/UhDfIX&#10;WfSECQh6giqJIWir2AuontVKatmaq1r2vmxbVlPHAdiEwTM2Dx0ZqOMCxdHDqUz6/8HWH3f3CrEG&#10;eoeRID206DMUjYgNpyiy5RkHnYPXw3CvLEE93Mn6m4YD/+LELjT4oPX4QTYAQ7ZGupLsW9Xbm0AW&#10;7V3lH0+Vp3uDathMwmSWzqBBNZzFSZSFMxvbJ/nx9qC0eUdlj6xRYAVJOnSyu9Nmcj262GBCVoxz&#10;2Cc5FxcbgDntQGy4as9sFq5ZP7MgW6WrNPbiKFl5cVCW3m21jL2kCuez8k25XJbhLxs3jPOONQ0V&#10;NsxROGH8Z405SHhq+Uk6WnLWWDibklab9ZIrtCMg3Mp9h4KcufmXabh6AZdnlMIoDt5GmVcl6dyL&#10;q3jmZfMg9YIwe5slQZzFZXVJ6Y4J+u+U0AiaiuZB4Np0lvUzcoH7XpIjec8MzAbO+gKnJyeSd5Q0&#10;K9G43hrC+GSf1cLm/1QL6Pex006xVqSTqs1+vQcUq9y1bB5Bu0qCtECFMNDA6KT6gdEIw6HA+vuW&#10;KIoRfy/g9dlJcjTU0VgfDSJquFpgg9FkLs00cbaDYpsOkENXEyFv4Y20zMn3KYvDy4IH70gchpOd&#10;KOdr5/U0Qhe/AQAA//8DAFBLAwQUAAYACAAAACEArWJTGd8AAAAOAQAADwAAAGRycy9kb3ducmV2&#10;LnhtbEyPwU7DMBBE70j8g7VI3Kid0oY0xKkQCC49FEo/wI1dx2q8jmKnDX/P9gS3N9rR7Ey1nnzH&#10;zmaILqCEbCaAGWyCdmgl7L/fHwpgMSnUqgtoJPyYCOv69qZSpQ4X/DLnXbKMQjCWSkKbUl9yHpvW&#10;eBVnoTdIt2MYvEokB8v1oC4U7js+FyLnXjmkD63qzWtrmtNu9BLcpz2Ni7B5Uy06u1kttu7jiUt5&#10;fze9PANLZkp/ZrjWp+pQU6dDGFFH1pHO5hlZCZarJdHVIopHogNRnhcCeF3x/zPqXwAAAP//AwBQ&#10;SwECLQAUAAYACAAAACEAtoM4kv4AAADhAQAAEwAAAAAAAAAAAAAAAAAAAAAAW0NvbnRlbnRfVHlw&#10;ZXNdLnhtbFBLAQItABQABgAIAAAAIQA4/SH/1gAAAJQBAAALAAAAAAAAAAAAAAAAAC8BAABfcmVs&#10;cy8ucmVsc1BLAQItABQABgAIAAAAIQBFRgmTnAIAAIoFAAAOAAAAAAAAAAAAAAAAAC4CAABkcnMv&#10;ZTJvRG9jLnhtbFBLAQItABQABgAIAAAAIQCtYlMZ3wAAAA4BAAAPAAAAAAAAAAAAAAAAAPYEAABk&#10;cnMvZG93bnJldi54bWxQSwUGAAAAAAQABADzAAAAAgYAAAAA&#10;" filled="f" stroked="f" strokeweight="1pt">
              <v:path arrowok="t"/>
              <v:textbox inset="0,0,0,0">
                <w:txbxContent>
                  <w:p w:rsidR="00E41F4D" w:rsidRDefault="00E41F4D" w:rsidP="00E41F4D">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E41F4D" w:rsidRPr="00721C4C" w:rsidRDefault="00E41F4D" w:rsidP="00E41F4D">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Булевар краља Александра 84, 11000 Београд, Република Србија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F2F" w:rsidRDefault="009B4F2F" w:rsidP="00221860">
      <w:pPr>
        <w:spacing w:after="0" w:line="240" w:lineRule="auto"/>
      </w:pPr>
      <w:r>
        <w:separator/>
      </w:r>
    </w:p>
  </w:footnote>
  <w:footnote w:type="continuationSeparator" w:id="0">
    <w:p w:rsidR="009B4F2F" w:rsidRDefault="009B4F2F" w:rsidP="00221860">
      <w:pPr>
        <w:spacing w:after="0" w:line="240" w:lineRule="auto"/>
      </w:pPr>
      <w:r>
        <w:continuationSeparator/>
      </w:r>
    </w:p>
  </w:footnote>
  <w:footnote w:id="1">
    <w:p w:rsidR="00824ED8" w:rsidRPr="00824ED8" w:rsidRDefault="00824ED8">
      <w:pPr>
        <w:pStyle w:val="FootnoteText"/>
        <w:rPr>
          <w:rFonts w:ascii="Arial" w:hAnsi="Arial" w:cs="Arial"/>
          <w:sz w:val="16"/>
          <w:szCs w:val="16"/>
        </w:rPr>
      </w:pPr>
      <w:r w:rsidRPr="00824ED8">
        <w:rPr>
          <w:rStyle w:val="FootnoteReference"/>
          <w:rFonts w:ascii="Arial" w:hAnsi="Arial" w:cs="Arial"/>
          <w:sz w:val="16"/>
          <w:szCs w:val="16"/>
        </w:rPr>
        <w:footnoteRef/>
      </w:r>
      <w:r w:rsidRPr="00824ED8">
        <w:rPr>
          <w:rFonts w:ascii="Arial" w:hAnsi="Arial" w:cs="Arial"/>
          <w:sz w:val="16"/>
          <w:szCs w:val="16"/>
        </w:rPr>
        <w:t xml:space="preserve"> „Службени гласник РСˮ, бр. 22/2009</w:t>
      </w:r>
    </w:p>
  </w:footnote>
  <w:footnote w:id="2">
    <w:p w:rsidR="00D373FD" w:rsidRPr="00D373FD" w:rsidRDefault="00D373FD" w:rsidP="00D11D7E">
      <w:pPr>
        <w:pStyle w:val="FootnoteText"/>
        <w:ind w:left="-567"/>
      </w:pPr>
      <w:r>
        <w:rPr>
          <w:rStyle w:val="FootnoteReference"/>
        </w:rPr>
        <w:footnoteRef/>
      </w:r>
      <w:r>
        <w:t xml:space="preserve"> </w:t>
      </w:r>
      <w:r w:rsidRPr="00824ED8">
        <w:rPr>
          <w:rFonts w:ascii="Arial" w:hAnsi="Arial" w:cs="Arial"/>
          <w:sz w:val="16"/>
          <w:szCs w:val="16"/>
        </w:rPr>
        <w:t>„Службени гласник РСˮ, бр</w:t>
      </w:r>
      <w:r>
        <w:rPr>
          <w:rFonts w:ascii="Arial" w:hAnsi="Arial" w:cs="Arial"/>
          <w:sz w:val="16"/>
          <w:szCs w:val="16"/>
        </w:rPr>
        <w:t>ој 22/09</w:t>
      </w:r>
    </w:p>
  </w:footnote>
  <w:footnote w:id="3">
    <w:p w:rsidR="00824ED8" w:rsidRPr="00824ED8" w:rsidRDefault="00824ED8" w:rsidP="00D11D7E">
      <w:pPr>
        <w:pStyle w:val="FootnoteText"/>
        <w:ind w:left="-567"/>
        <w:rPr>
          <w:rFonts w:ascii="Arial" w:hAnsi="Arial" w:cs="Arial"/>
          <w:sz w:val="16"/>
          <w:szCs w:val="16"/>
        </w:rPr>
      </w:pPr>
      <w:r w:rsidRPr="00824ED8">
        <w:rPr>
          <w:rStyle w:val="FootnoteReference"/>
          <w:rFonts w:ascii="Arial" w:hAnsi="Arial" w:cs="Arial"/>
          <w:sz w:val="16"/>
          <w:szCs w:val="16"/>
        </w:rPr>
        <w:footnoteRef/>
      </w:r>
      <w:r w:rsidRPr="00824ED8">
        <w:rPr>
          <w:rFonts w:ascii="Arial" w:hAnsi="Arial" w:cs="Arial"/>
          <w:sz w:val="16"/>
          <w:szCs w:val="16"/>
        </w:rPr>
        <w:t xml:space="preserve"> </w:t>
      </w:r>
      <w:r w:rsidR="00D373FD">
        <w:rPr>
          <w:rFonts w:ascii="Arial" w:hAnsi="Arial" w:cs="Arial"/>
          <w:sz w:val="16"/>
          <w:szCs w:val="16"/>
        </w:rPr>
        <w:t>„Службени гласник РСˮ, број 98/</w:t>
      </w:r>
      <w:r w:rsidRPr="00824ED8">
        <w:rPr>
          <w:rFonts w:ascii="Arial" w:hAnsi="Arial" w:cs="Arial"/>
          <w:sz w:val="16"/>
          <w:szCs w:val="16"/>
        </w:rPr>
        <w:t>06</w:t>
      </w:r>
    </w:p>
  </w:footnote>
  <w:footnote w:id="4">
    <w:p w:rsidR="00824ED8" w:rsidRPr="00824ED8" w:rsidRDefault="00824ED8" w:rsidP="00D11D7E">
      <w:pPr>
        <w:pStyle w:val="FootnoteText"/>
        <w:ind w:left="-567"/>
        <w:rPr>
          <w:rFonts w:ascii="Arial" w:hAnsi="Arial" w:cs="Arial"/>
          <w:sz w:val="16"/>
          <w:szCs w:val="16"/>
        </w:rPr>
      </w:pPr>
      <w:r w:rsidRPr="00824ED8">
        <w:rPr>
          <w:rStyle w:val="FootnoteReference"/>
          <w:rFonts w:ascii="Arial" w:hAnsi="Arial" w:cs="Arial"/>
          <w:sz w:val="16"/>
          <w:szCs w:val="16"/>
        </w:rPr>
        <w:footnoteRef/>
      </w:r>
      <w:r w:rsidRPr="00824ED8">
        <w:rPr>
          <w:rFonts w:ascii="Arial" w:hAnsi="Arial" w:cs="Arial"/>
          <w:sz w:val="16"/>
          <w:szCs w:val="16"/>
        </w:rPr>
        <w:t xml:space="preserve"> Устав РС (</w:t>
      </w:r>
      <w:r w:rsidR="00C068F4">
        <w:rPr>
          <w:rFonts w:ascii="Arial" w:hAnsi="Arial" w:cs="Arial"/>
          <w:sz w:val="16"/>
          <w:szCs w:val="16"/>
        </w:rPr>
        <w:t>„Службени гласник РСˮ, бр. 98/</w:t>
      </w:r>
      <w:r w:rsidRPr="00824ED8">
        <w:rPr>
          <w:rFonts w:ascii="Arial" w:hAnsi="Arial" w:cs="Arial"/>
          <w:sz w:val="16"/>
          <w:szCs w:val="16"/>
        </w:rPr>
        <w:t>06), члан 21. став 3.</w:t>
      </w:r>
    </w:p>
  </w:footnote>
  <w:footnote w:id="5">
    <w:p w:rsidR="00824ED8" w:rsidRPr="00824ED8" w:rsidRDefault="00824ED8" w:rsidP="00D11D7E">
      <w:pPr>
        <w:pStyle w:val="FootnoteText"/>
        <w:ind w:left="-567"/>
      </w:pPr>
      <w:r w:rsidRPr="00824ED8">
        <w:rPr>
          <w:rStyle w:val="FootnoteReference"/>
          <w:rFonts w:ascii="Arial" w:hAnsi="Arial" w:cs="Arial"/>
          <w:sz w:val="16"/>
          <w:szCs w:val="16"/>
        </w:rPr>
        <w:footnoteRef/>
      </w:r>
      <w:r w:rsidRPr="00824ED8">
        <w:rPr>
          <w:rFonts w:ascii="Arial" w:hAnsi="Arial" w:cs="Arial"/>
          <w:sz w:val="16"/>
          <w:szCs w:val="16"/>
        </w:rPr>
        <w:t xml:space="preserve"> Закон о забрани дискриминације (</w:t>
      </w:r>
      <w:r w:rsidR="00C068F4">
        <w:rPr>
          <w:rFonts w:ascii="Arial" w:hAnsi="Arial" w:cs="Arial"/>
          <w:sz w:val="16"/>
          <w:szCs w:val="16"/>
        </w:rPr>
        <w:t>„Службени гласник РСˮ, бр</w:t>
      </w:r>
      <w:r w:rsidR="007F171D">
        <w:rPr>
          <w:rFonts w:ascii="Arial" w:hAnsi="Arial" w:cs="Arial"/>
          <w:sz w:val="16"/>
          <w:szCs w:val="16"/>
        </w:rPr>
        <w:t xml:space="preserve">oj </w:t>
      </w:r>
      <w:r w:rsidR="00C068F4">
        <w:rPr>
          <w:rFonts w:ascii="Arial" w:hAnsi="Arial" w:cs="Arial"/>
          <w:sz w:val="16"/>
          <w:szCs w:val="16"/>
        </w:rPr>
        <w:t xml:space="preserve"> 22/</w:t>
      </w:r>
      <w:r w:rsidRPr="00824ED8">
        <w:rPr>
          <w:rFonts w:ascii="Arial" w:hAnsi="Arial" w:cs="Arial"/>
          <w:sz w:val="16"/>
          <w:szCs w:val="16"/>
        </w:rPr>
        <w:t>09), члан 2. став 1. тачка 1.</w:t>
      </w:r>
    </w:p>
  </w:footnote>
  <w:footnote w:id="6">
    <w:p w:rsidR="005131A5" w:rsidRPr="005131A5" w:rsidRDefault="005131A5" w:rsidP="00D11D7E">
      <w:pPr>
        <w:pStyle w:val="FootnoteText"/>
        <w:ind w:left="-567"/>
        <w:rPr>
          <w:rFonts w:ascii="Arial" w:hAnsi="Arial" w:cs="Arial"/>
          <w:sz w:val="16"/>
          <w:szCs w:val="16"/>
        </w:rPr>
      </w:pPr>
      <w:r w:rsidRPr="005131A5">
        <w:rPr>
          <w:rStyle w:val="FootnoteReference"/>
          <w:rFonts w:ascii="Arial" w:hAnsi="Arial" w:cs="Arial"/>
          <w:sz w:val="16"/>
          <w:szCs w:val="16"/>
        </w:rPr>
        <w:footnoteRef/>
      </w:r>
      <w:r w:rsidRPr="005131A5">
        <w:rPr>
          <w:rFonts w:ascii="Arial" w:hAnsi="Arial" w:cs="Arial"/>
          <w:sz w:val="16"/>
          <w:szCs w:val="16"/>
        </w:rPr>
        <w:t xml:space="preserve"> </w:t>
      </w:r>
      <w:r w:rsidRPr="005131A5">
        <w:rPr>
          <w:rFonts w:ascii="Arial" w:eastAsia="Times New Roman" w:hAnsi="Arial" w:cs="Arial"/>
          <w:sz w:val="16"/>
          <w:szCs w:val="16"/>
          <w:lang w:val="sr-Cyrl-CS"/>
        </w:rPr>
        <w:t>Препорука С</w:t>
      </w:r>
      <w:r w:rsidRPr="005131A5">
        <w:rPr>
          <w:rFonts w:ascii="Arial" w:eastAsia="Times New Roman" w:hAnsi="Arial" w:cs="Arial"/>
          <w:sz w:val="16"/>
          <w:szCs w:val="16"/>
          <w:lang w:val="en-GB"/>
        </w:rPr>
        <w:t xml:space="preserve">M/Rec(2014)2 </w:t>
      </w:r>
      <w:r w:rsidRPr="005131A5">
        <w:rPr>
          <w:rFonts w:ascii="Arial" w:eastAsia="Times New Roman" w:hAnsi="Arial" w:cs="Arial"/>
          <w:sz w:val="16"/>
          <w:szCs w:val="16"/>
          <w:lang w:val="sr-Cyrl-CS"/>
        </w:rPr>
        <w:t xml:space="preserve"> </w:t>
      </w:r>
      <w:r w:rsidRPr="005131A5">
        <w:rPr>
          <w:rFonts w:ascii="Arial" w:eastAsia="Times New Roman" w:hAnsi="Arial" w:cs="Arial"/>
          <w:iCs/>
          <w:sz w:val="16"/>
          <w:szCs w:val="16"/>
        </w:rPr>
        <w:t>усвојена на 1192. састанку Комитета министара Савета Европе 19. фебруара 2014. године</w:t>
      </w:r>
    </w:p>
  </w:footnote>
  <w:footnote w:id="7">
    <w:p w:rsidR="00221860" w:rsidRPr="00221860" w:rsidRDefault="00221860" w:rsidP="00D11D7E">
      <w:pPr>
        <w:pStyle w:val="FootnoteText"/>
        <w:ind w:left="-567"/>
        <w:rPr>
          <w:rFonts w:ascii="Arial" w:hAnsi="Arial" w:cs="Arial"/>
          <w:sz w:val="16"/>
          <w:szCs w:val="16"/>
        </w:rPr>
      </w:pPr>
      <w:r w:rsidRPr="00221860">
        <w:rPr>
          <w:rStyle w:val="FootnoteReference"/>
          <w:rFonts w:ascii="Arial" w:hAnsi="Arial" w:cs="Arial"/>
          <w:sz w:val="16"/>
          <w:szCs w:val="16"/>
        </w:rPr>
        <w:footnoteRef/>
      </w:r>
      <w:r w:rsidRPr="00221860">
        <w:rPr>
          <w:rFonts w:ascii="Arial" w:hAnsi="Arial" w:cs="Arial"/>
          <w:sz w:val="16"/>
          <w:szCs w:val="16"/>
        </w:rPr>
        <w:t xml:space="preserve"> </w:t>
      </w:r>
      <w:r w:rsidR="007F171D">
        <w:rPr>
          <w:rFonts w:ascii="Arial" w:hAnsi="Arial" w:cs="Arial"/>
          <w:sz w:val="16"/>
          <w:szCs w:val="16"/>
        </w:rPr>
        <w:t>„Службени гласник РСˮ, бр. 24/18 и 31/</w:t>
      </w:r>
      <w:r w:rsidRPr="00221860">
        <w:rPr>
          <w:rFonts w:ascii="Arial" w:hAnsi="Arial" w:cs="Arial"/>
          <w:sz w:val="16"/>
          <w:szCs w:val="16"/>
        </w:rPr>
        <w:t>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7EE9"/>
    <w:multiLevelType w:val="multilevel"/>
    <w:tmpl w:val="242AAD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3465FB"/>
    <w:multiLevelType w:val="multilevel"/>
    <w:tmpl w:val="5900E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7BC33E8"/>
    <w:multiLevelType w:val="multilevel"/>
    <w:tmpl w:val="EF04F9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C1"/>
    <w:rsid w:val="000064BF"/>
    <w:rsid w:val="00063BAB"/>
    <w:rsid w:val="00080550"/>
    <w:rsid w:val="00095A83"/>
    <w:rsid w:val="000F05EA"/>
    <w:rsid w:val="00100294"/>
    <w:rsid w:val="00140C8A"/>
    <w:rsid w:val="001873F7"/>
    <w:rsid w:val="0019626F"/>
    <w:rsid w:val="001C1138"/>
    <w:rsid w:val="001D6DBA"/>
    <w:rsid w:val="00221860"/>
    <w:rsid w:val="00227CFE"/>
    <w:rsid w:val="002752CD"/>
    <w:rsid w:val="0029206D"/>
    <w:rsid w:val="002C48E6"/>
    <w:rsid w:val="002C565D"/>
    <w:rsid w:val="00300066"/>
    <w:rsid w:val="00306248"/>
    <w:rsid w:val="00316EF9"/>
    <w:rsid w:val="00345135"/>
    <w:rsid w:val="003C12F8"/>
    <w:rsid w:val="003D69DC"/>
    <w:rsid w:val="00425EC1"/>
    <w:rsid w:val="004C7F6A"/>
    <w:rsid w:val="004E6F6E"/>
    <w:rsid w:val="005131A5"/>
    <w:rsid w:val="005160C2"/>
    <w:rsid w:val="0053635F"/>
    <w:rsid w:val="005529BE"/>
    <w:rsid w:val="005F114E"/>
    <w:rsid w:val="0061390E"/>
    <w:rsid w:val="006258D4"/>
    <w:rsid w:val="00634C8A"/>
    <w:rsid w:val="00676A07"/>
    <w:rsid w:val="006B440B"/>
    <w:rsid w:val="006B580C"/>
    <w:rsid w:val="006C42F3"/>
    <w:rsid w:val="006D003F"/>
    <w:rsid w:val="007665CE"/>
    <w:rsid w:val="007758B1"/>
    <w:rsid w:val="007F171D"/>
    <w:rsid w:val="00824ED8"/>
    <w:rsid w:val="00876F94"/>
    <w:rsid w:val="008831E0"/>
    <w:rsid w:val="008D1FC8"/>
    <w:rsid w:val="0096279E"/>
    <w:rsid w:val="00966FE5"/>
    <w:rsid w:val="009A2237"/>
    <w:rsid w:val="009B4198"/>
    <w:rsid w:val="009B4F2F"/>
    <w:rsid w:val="009C290C"/>
    <w:rsid w:val="009C448B"/>
    <w:rsid w:val="009E368F"/>
    <w:rsid w:val="00B9598E"/>
    <w:rsid w:val="00C068F4"/>
    <w:rsid w:val="00C25A63"/>
    <w:rsid w:val="00CD4E09"/>
    <w:rsid w:val="00CE1D09"/>
    <w:rsid w:val="00D02B97"/>
    <w:rsid w:val="00D11D7E"/>
    <w:rsid w:val="00D373FD"/>
    <w:rsid w:val="00DA67B0"/>
    <w:rsid w:val="00DB13CD"/>
    <w:rsid w:val="00DF164D"/>
    <w:rsid w:val="00E41F4D"/>
    <w:rsid w:val="00E52960"/>
    <w:rsid w:val="00E72289"/>
    <w:rsid w:val="00EA7A71"/>
    <w:rsid w:val="00EE6B35"/>
    <w:rsid w:val="00F04F0F"/>
    <w:rsid w:val="00F57049"/>
    <w:rsid w:val="00FA4BE5"/>
    <w:rsid w:val="00FC009D"/>
    <w:rsid w:val="00FD41AD"/>
    <w:rsid w:val="00FF347E"/>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21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1860"/>
    <w:rPr>
      <w:sz w:val="20"/>
      <w:szCs w:val="20"/>
    </w:rPr>
  </w:style>
  <w:style w:type="character" w:styleId="FootnoteReference">
    <w:name w:val="footnote reference"/>
    <w:basedOn w:val="DefaultParagraphFont"/>
    <w:uiPriority w:val="99"/>
    <w:semiHidden/>
    <w:unhideWhenUsed/>
    <w:rsid w:val="00221860"/>
    <w:rPr>
      <w:vertAlign w:val="superscript"/>
    </w:rPr>
  </w:style>
  <w:style w:type="paragraph" w:styleId="Header">
    <w:name w:val="header"/>
    <w:basedOn w:val="Normal"/>
    <w:link w:val="HeaderChar"/>
    <w:uiPriority w:val="99"/>
    <w:semiHidden/>
    <w:unhideWhenUsed/>
    <w:rsid w:val="00E41F4D"/>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E41F4D"/>
  </w:style>
  <w:style w:type="paragraph" w:styleId="Footer">
    <w:name w:val="footer"/>
    <w:basedOn w:val="Normal"/>
    <w:link w:val="FooterChar"/>
    <w:uiPriority w:val="99"/>
    <w:semiHidden/>
    <w:unhideWhenUsed/>
    <w:rsid w:val="00E41F4D"/>
    <w:pPr>
      <w:tabs>
        <w:tab w:val="center" w:pos="4535"/>
        <w:tab w:val="right" w:pos="9071"/>
      </w:tabs>
      <w:spacing w:after="0" w:line="240" w:lineRule="auto"/>
    </w:pPr>
  </w:style>
  <w:style w:type="character" w:customStyle="1" w:styleId="FooterChar">
    <w:name w:val="Footer Char"/>
    <w:basedOn w:val="DefaultParagraphFont"/>
    <w:link w:val="Footer"/>
    <w:uiPriority w:val="99"/>
    <w:semiHidden/>
    <w:rsid w:val="00E41F4D"/>
  </w:style>
  <w:style w:type="paragraph" w:customStyle="1" w:styleId="FreeFormAA">
    <w:name w:val="Free Form A A"/>
    <w:rsid w:val="00E41F4D"/>
    <w:pPr>
      <w:spacing w:after="0" w:line="240" w:lineRule="auto"/>
    </w:pPr>
    <w:rPr>
      <w:rFonts w:ascii="Helvetica" w:eastAsia="ヒラギノ角ゴ Pro W3" w:hAnsi="Helvetica" w:cs="Times New Roman"/>
      <w:color w:val="000000"/>
      <w:sz w:val="24"/>
      <w:szCs w:val="20"/>
      <w:lang w:val="en-US" w:eastAsia="sr-Cyrl-CS"/>
    </w:rPr>
  </w:style>
  <w:style w:type="character" w:styleId="Emphasis">
    <w:name w:val="Emphasis"/>
    <w:basedOn w:val="DefaultParagraphFont"/>
    <w:uiPriority w:val="20"/>
    <w:qFormat/>
    <w:rsid w:val="00F04F0F"/>
    <w:rPr>
      <w:i/>
      <w:iCs/>
    </w:rPr>
  </w:style>
  <w:style w:type="paragraph" w:styleId="BalloonText">
    <w:name w:val="Balloon Text"/>
    <w:basedOn w:val="Normal"/>
    <w:link w:val="BalloonTextChar"/>
    <w:uiPriority w:val="99"/>
    <w:semiHidden/>
    <w:unhideWhenUsed/>
    <w:rsid w:val="00C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21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1860"/>
    <w:rPr>
      <w:sz w:val="20"/>
      <w:szCs w:val="20"/>
    </w:rPr>
  </w:style>
  <w:style w:type="character" w:styleId="FootnoteReference">
    <w:name w:val="footnote reference"/>
    <w:basedOn w:val="DefaultParagraphFont"/>
    <w:uiPriority w:val="99"/>
    <w:semiHidden/>
    <w:unhideWhenUsed/>
    <w:rsid w:val="00221860"/>
    <w:rPr>
      <w:vertAlign w:val="superscript"/>
    </w:rPr>
  </w:style>
  <w:style w:type="paragraph" w:styleId="Header">
    <w:name w:val="header"/>
    <w:basedOn w:val="Normal"/>
    <w:link w:val="HeaderChar"/>
    <w:uiPriority w:val="99"/>
    <w:semiHidden/>
    <w:unhideWhenUsed/>
    <w:rsid w:val="00E41F4D"/>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E41F4D"/>
  </w:style>
  <w:style w:type="paragraph" w:styleId="Footer">
    <w:name w:val="footer"/>
    <w:basedOn w:val="Normal"/>
    <w:link w:val="FooterChar"/>
    <w:uiPriority w:val="99"/>
    <w:semiHidden/>
    <w:unhideWhenUsed/>
    <w:rsid w:val="00E41F4D"/>
    <w:pPr>
      <w:tabs>
        <w:tab w:val="center" w:pos="4535"/>
        <w:tab w:val="right" w:pos="9071"/>
      </w:tabs>
      <w:spacing w:after="0" w:line="240" w:lineRule="auto"/>
    </w:pPr>
  </w:style>
  <w:style w:type="character" w:customStyle="1" w:styleId="FooterChar">
    <w:name w:val="Footer Char"/>
    <w:basedOn w:val="DefaultParagraphFont"/>
    <w:link w:val="Footer"/>
    <w:uiPriority w:val="99"/>
    <w:semiHidden/>
    <w:rsid w:val="00E41F4D"/>
  </w:style>
  <w:style w:type="paragraph" w:customStyle="1" w:styleId="FreeFormAA">
    <w:name w:val="Free Form A A"/>
    <w:rsid w:val="00E41F4D"/>
    <w:pPr>
      <w:spacing w:after="0" w:line="240" w:lineRule="auto"/>
    </w:pPr>
    <w:rPr>
      <w:rFonts w:ascii="Helvetica" w:eastAsia="ヒラギノ角ゴ Pro W3" w:hAnsi="Helvetica" w:cs="Times New Roman"/>
      <w:color w:val="000000"/>
      <w:sz w:val="24"/>
      <w:szCs w:val="20"/>
      <w:lang w:val="en-US" w:eastAsia="sr-Cyrl-CS"/>
    </w:rPr>
  </w:style>
  <w:style w:type="character" w:styleId="Emphasis">
    <w:name w:val="Emphasis"/>
    <w:basedOn w:val="DefaultParagraphFont"/>
    <w:uiPriority w:val="20"/>
    <w:qFormat/>
    <w:rsid w:val="00F04F0F"/>
    <w:rPr>
      <w:i/>
      <w:iCs/>
    </w:rPr>
  </w:style>
  <w:style w:type="paragraph" w:styleId="BalloonText">
    <w:name w:val="Balloon Text"/>
    <w:basedOn w:val="Normal"/>
    <w:link w:val="BalloonTextChar"/>
    <w:uiPriority w:val="99"/>
    <w:semiHidden/>
    <w:unhideWhenUsed/>
    <w:rsid w:val="00C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CD3E1-E97E-4EFF-866D-328A0EC7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3102</Words>
  <Characters>17686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kancelarija</dc:creator>
  <cp:lastModifiedBy>kancelarija</cp:lastModifiedBy>
  <cp:revision>2</cp:revision>
  <cp:lastPrinted>2019-09-12T17:20:00Z</cp:lastPrinted>
  <dcterms:created xsi:type="dcterms:W3CDTF">2019-10-25T09:42:00Z</dcterms:created>
  <dcterms:modified xsi:type="dcterms:W3CDTF">2019-10-25T09:42:00Z</dcterms:modified>
</cp:coreProperties>
</file>