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5"/>
        <w:tblW w:w="100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012"/>
        <w:gridCol w:w="939"/>
        <w:gridCol w:w="3960"/>
        <w:gridCol w:w="3781"/>
      </w:tblGrid>
      <w:tr w:rsidR="006E0B43" w:rsidRPr="00024737" w:rsidTr="00F76771">
        <w:tc>
          <w:tcPr>
            <w:tcW w:w="2324" w:type="dxa"/>
            <w:gridSpan w:val="3"/>
          </w:tcPr>
          <w:p w:rsidR="006E0B43" w:rsidRPr="00024737" w:rsidRDefault="007F021C" w:rsidP="00335FFB">
            <w:pPr>
              <w:spacing w:after="0" w:line="240" w:lineRule="auto"/>
              <w:rPr>
                <w:lang w:val="sr-Cyrl-RS"/>
              </w:rPr>
            </w:pPr>
            <w:r w:rsidRPr="00024737">
              <w:rPr>
                <w:noProof/>
                <w:lang w:val="sr-Latn-CS" w:eastAsia="sr-Latn-CS"/>
              </w:rPr>
              <w:drawing>
                <wp:anchor distT="152400" distB="152400" distL="152400" distR="152400" simplePos="0" relativeHeight="251657216" behindDoc="0" locked="0" layoutInCell="1" allowOverlap="1">
                  <wp:simplePos x="0" y="0"/>
                  <wp:positionH relativeFrom="page">
                    <wp:posOffset>-53340</wp:posOffset>
                  </wp:positionH>
                  <wp:positionV relativeFrom="page">
                    <wp:posOffset>8255</wp:posOffset>
                  </wp:positionV>
                  <wp:extent cx="1101090" cy="1362075"/>
                  <wp:effectExtent l="0" t="0" r="3810" b="9525"/>
                  <wp:wrapThrough wrapText="bothSides">
                    <wp:wrapPolygon edited="0">
                      <wp:start x="0" y="0"/>
                      <wp:lineTo x="0" y="21449"/>
                      <wp:lineTo x="21301" y="21449"/>
                      <wp:lineTo x="21301" y="0"/>
                      <wp:lineTo x="0" y="0"/>
                    </wp:wrapPolygon>
                  </wp:wrapThrough>
                  <wp:docPr id="6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2" w:type="dxa"/>
          </w:tcPr>
          <w:p w:rsidR="006E0B43" w:rsidRPr="00024737" w:rsidRDefault="006E0B43" w:rsidP="00335FF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784" w:type="dxa"/>
          </w:tcPr>
          <w:p w:rsidR="006E0B43" w:rsidRPr="00024737" w:rsidRDefault="007F021C" w:rsidP="00335FFB">
            <w:pPr>
              <w:spacing w:after="0" w:line="240" w:lineRule="auto"/>
              <w:jc w:val="center"/>
              <w:rPr>
                <w:lang w:val="sr-Cyrl-RS"/>
              </w:rPr>
            </w:pPr>
            <w:r w:rsidRPr="00024737">
              <w:rPr>
                <w:noProof/>
                <w:lang w:val="sr-Latn-CS" w:eastAsia="sr-Latn-CS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page">
                    <wp:posOffset>673100</wp:posOffset>
                  </wp:positionH>
                  <wp:positionV relativeFrom="page">
                    <wp:posOffset>357505</wp:posOffset>
                  </wp:positionV>
                  <wp:extent cx="1689100" cy="561975"/>
                  <wp:effectExtent l="0" t="0" r="6350" b="9525"/>
                  <wp:wrapThrough wrapText="bothSides">
                    <wp:wrapPolygon edited="0">
                      <wp:start x="0" y="0"/>
                      <wp:lineTo x="0" y="21234"/>
                      <wp:lineTo x="21438" y="21234"/>
                      <wp:lineTo x="21438" y="0"/>
                      <wp:lineTo x="0" y="0"/>
                    </wp:wrapPolygon>
                  </wp:wrapThrough>
                  <wp:docPr id="7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B43" w:rsidRPr="00024737" w:rsidTr="00F76771">
        <w:tc>
          <w:tcPr>
            <w:tcW w:w="388" w:type="dxa"/>
            <w:tcBorders>
              <w:bottom w:val="single" w:sz="4" w:space="0" w:color="auto"/>
            </w:tcBorders>
          </w:tcPr>
          <w:p w:rsidR="006E0B43" w:rsidRPr="00024737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E0B43" w:rsidRPr="00024737" w:rsidRDefault="006E0B43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24737">
              <w:rPr>
                <w:rFonts w:ascii="Arial" w:hAnsi="Arial" w:cs="Arial"/>
                <w:sz w:val="20"/>
                <w:szCs w:val="20"/>
                <w:lang w:val="sr-Cyrl-RS"/>
              </w:rPr>
              <w:t>ГС</w:t>
            </w:r>
          </w:p>
          <w:p w:rsidR="006E0B43" w:rsidRPr="00024737" w:rsidRDefault="00517961" w:rsidP="00AF6E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24737"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  <w:r w:rsidR="00D207F3" w:rsidRPr="00024737">
              <w:rPr>
                <w:rFonts w:ascii="Arial" w:hAnsi="Arial" w:cs="Arial"/>
                <w:sz w:val="20"/>
                <w:szCs w:val="20"/>
                <w:lang w:val="sr-Cyrl-RS"/>
              </w:rPr>
              <w:t>/2016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E0B43" w:rsidRPr="00024737" w:rsidRDefault="006E0B43" w:rsidP="00335F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E0B43" w:rsidRPr="00024737" w:rsidRDefault="006E0B43" w:rsidP="00335FF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6E0B43" w:rsidRPr="00024737" w:rsidRDefault="006E0B43" w:rsidP="00335FFB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:rsidR="006E0B43" w:rsidRPr="00024737" w:rsidRDefault="006E0B43" w:rsidP="00A43EA4">
      <w:pPr>
        <w:pStyle w:val="FreeFormAA"/>
        <w:spacing w:line="288" w:lineRule="auto"/>
        <w:rPr>
          <w:rFonts w:ascii="Arial" w:hAnsi="Arial" w:cs="Arial"/>
          <w:spacing w:val="-1"/>
          <w:sz w:val="20"/>
          <w:lang w:val="sr-Cyrl-RS"/>
        </w:rPr>
      </w:pPr>
      <w:r w:rsidRPr="00024737">
        <w:rPr>
          <w:rFonts w:ascii="Arial" w:hAnsi="Arial" w:cs="Arial"/>
          <w:spacing w:val="-1"/>
          <w:sz w:val="20"/>
          <w:lang w:val="sr-Cyrl-RS"/>
        </w:rPr>
        <w:t>бр.</w:t>
      </w:r>
      <w:r w:rsidR="00D207F3" w:rsidRPr="00024737">
        <w:rPr>
          <w:rFonts w:ascii="Arial" w:hAnsi="Arial" w:cs="Arial"/>
          <w:spacing w:val="-1"/>
          <w:sz w:val="20"/>
          <w:lang w:val="sr-Cyrl-RS"/>
        </w:rPr>
        <w:t xml:space="preserve"> 110-00-1/2016-04</w:t>
      </w:r>
      <w:r w:rsidRPr="00024737">
        <w:rPr>
          <w:rFonts w:ascii="Arial" w:hAnsi="Arial" w:cs="Arial"/>
          <w:spacing w:val="-1"/>
          <w:sz w:val="20"/>
          <w:lang w:val="sr-Cyrl-RS"/>
        </w:rPr>
        <w:t xml:space="preserve">   </w:t>
      </w:r>
      <w:r w:rsidR="00D207F3" w:rsidRPr="00024737">
        <w:rPr>
          <w:rFonts w:ascii="Arial" w:hAnsi="Arial" w:cs="Arial"/>
          <w:spacing w:val="-1"/>
          <w:sz w:val="20"/>
          <w:lang w:val="sr-Cyrl-RS"/>
        </w:rPr>
        <w:t xml:space="preserve"> датум: 1</w:t>
      </w:r>
      <w:r w:rsidR="00517961" w:rsidRPr="00024737">
        <w:rPr>
          <w:rFonts w:ascii="Arial" w:hAnsi="Arial" w:cs="Arial"/>
          <w:spacing w:val="-1"/>
          <w:sz w:val="20"/>
          <w:lang w:val="sr-Cyrl-RS"/>
        </w:rPr>
        <w:t>8</w:t>
      </w:r>
      <w:r w:rsidRPr="00024737">
        <w:rPr>
          <w:rFonts w:ascii="Arial" w:hAnsi="Arial" w:cs="Arial"/>
          <w:spacing w:val="-1"/>
          <w:sz w:val="20"/>
          <w:lang w:val="sr-Cyrl-RS"/>
        </w:rPr>
        <w:t>.</w:t>
      </w:r>
      <w:r w:rsidR="00517961" w:rsidRPr="00024737">
        <w:rPr>
          <w:rFonts w:ascii="Arial" w:hAnsi="Arial" w:cs="Arial"/>
          <w:spacing w:val="-1"/>
          <w:sz w:val="20"/>
          <w:lang w:val="sr-Cyrl-RS"/>
        </w:rPr>
        <w:t>01.</w:t>
      </w:r>
      <w:r w:rsidRPr="00024737">
        <w:rPr>
          <w:rFonts w:ascii="Arial" w:hAnsi="Arial" w:cs="Arial"/>
          <w:spacing w:val="-1"/>
          <w:sz w:val="20"/>
          <w:lang w:val="sr-Cyrl-RS"/>
        </w:rPr>
        <w:t>201</w:t>
      </w:r>
      <w:r w:rsidR="00D207F3" w:rsidRPr="00024737">
        <w:rPr>
          <w:rFonts w:ascii="Arial" w:hAnsi="Arial" w:cs="Arial"/>
          <w:spacing w:val="-1"/>
          <w:sz w:val="20"/>
          <w:lang w:val="sr-Cyrl-RS"/>
        </w:rPr>
        <w:t>6</w:t>
      </w:r>
      <w:r w:rsidRPr="00024737">
        <w:rPr>
          <w:rFonts w:ascii="Arial" w:hAnsi="Arial" w:cs="Arial"/>
          <w:spacing w:val="-1"/>
          <w:sz w:val="20"/>
          <w:lang w:val="sr-Cyrl-RS"/>
        </w:rPr>
        <w:t>.</w:t>
      </w:r>
      <w:r w:rsidR="00C2186C" w:rsidRPr="00024737">
        <w:rPr>
          <w:rFonts w:ascii="Arial" w:hAnsi="Arial" w:cs="Arial"/>
          <w:spacing w:val="-1"/>
          <w:sz w:val="20"/>
          <w:lang w:val="sr-Cyrl-RS"/>
        </w:rPr>
        <w:t xml:space="preserve"> </w:t>
      </w:r>
    </w:p>
    <w:p w:rsidR="006E0B43" w:rsidRPr="00024737" w:rsidRDefault="006E0B43" w:rsidP="00A43EA4">
      <w:pPr>
        <w:pStyle w:val="FreeFormAA"/>
        <w:spacing w:line="288" w:lineRule="auto"/>
        <w:rPr>
          <w:rFonts w:ascii="Arial" w:hAnsi="Arial"/>
          <w:spacing w:val="-1"/>
          <w:sz w:val="20"/>
          <w:lang w:val="sr-Cyrl-RS"/>
        </w:rPr>
      </w:pPr>
    </w:p>
    <w:p w:rsidR="000506C4" w:rsidRPr="00024737" w:rsidRDefault="006E0B43" w:rsidP="003268CA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>Поступајући у оквиру законом прописане надлежности</w:t>
      </w:r>
      <w:r w:rsidR="00395C5E" w:rsidRPr="00024737">
        <w:rPr>
          <w:rStyle w:val="FootnoteReference"/>
          <w:rFonts w:ascii="Arial" w:eastAsia="ヒラギノ角ゴ Pro W3" w:hAnsi="Arial" w:cs="Arial"/>
          <w:color w:val="000000"/>
          <w:lang w:val="sr-Cyrl-RS" w:eastAsia="sr-Cyrl-CS"/>
        </w:rPr>
        <w:footnoteReference w:id="1"/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>,</w:t>
      </w:r>
      <w:r w:rsidR="00675ACC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>Повереница за заштиту равноправности даје</w:t>
      </w:r>
    </w:p>
    <w:p w:rsidR="00395C5E" w:rsidRPr="00024737" w:rsidRDefault="00395C5E" w:rsidP="003268CA">
      <w:pPr>
        <w:spacing w:after="240" w:line="280" w:lineRule="exact"/>
        <w:mirrorIndents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0506C4" w:rsidRPr="00024737" w:rsidRDefault="000506C4" w:rsidP="000506C4">
      <w:pPr>
        <w:spacing w:after="180" w:line="240" w:lineRule="auto"/>
        <w:jc w:val="center"/>
        <w:rPr>
          <w:rFonts w:ascii="Arial" w:hAnsi="Arial" w:cs="Arial"/>
          <w:color w:val="000000"/>
          <w:sz w:val="19"/>
          <w:szCs w:val="19"/>
          <w:lang w:val="sr-Cyrl-RS"/>
        </w:rPr>
      </w:pPr>
      <w:r w:rsidRPr="00024737">
        <w:rPr>
          <w:rFonts w:ascii="Arial" w:hAnsi="Arial" w:cs="Arial"/>
          <w:b/>
          <w:bCs/>
          <w:color w:val="000000"/>
          <w:sz w:val="28"/>
          <w:szCs w:val="28"/>
          <w:lang w:val="sr-Cyrl-RS"/>
        </w:rPr>
        <w:t>МИШЉЕЊЕ</w:t>
      </w:r>
    </w:p>
    <w:p w:rsidR="0093147C" w:rsidRPr="00024737" w:rsidRDefault="00395C5E" w:rsidP="003268CA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o</w:t>
      </w:r>
      <w:r w:rsidR="000506C4"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 </w:t>
      </w:r>
      <w:r w:rsidR="007E3D5C"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Предлог</w:t>
      </w:r>
      <w:r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у</w:t>
      </w:r>
      <w:r w:rsidR="007E3D5C"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 уредбе о </w:t>
      </w:r>
      <w:proofErr w:type="spellStart"/>
      <w:r w:rsidR="007E3D5C"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Шифарнику</w:t>
      </w:r>
      <w:proofErr w:type="spellEnd"/>
      <w:r w:rsidR="007E3D5C" w:rsidRPr="00024737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 xml:space="preserve"> радних места</w:t>
      </w:r>
    </w:p>
    <w:p w:rsidR="00E94370" w:rsidRPr="00024737" w:rsidRDefault="00E94370" w:rsidP="003268CA">
      <w:pPr>
        <w:spacing w:after="18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RS"/>
        </w:rPr>
      </w:pPr>
    </w:p>
    <w:p w:rsidR="007D4E6A" w:rsidRPr="00024737" w:rsidRDefault="00C47C23" w:rsidP="00395C5E">
      <w:pPr>
        <w:tabs>
          <w:tab w:val="left" w:pos="9072"/>
        </w:tabs>
        <w:spacing w:after="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>Дописом</w:t>
      </w:r>
      <w:r w:rsidR="00297C66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број: 110-00-00204/2015-17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од 11</w:t>
      </w:r>
      <w:r w:rsidR="007D4E6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. 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>јануара 2016</w:t>
      </w:r>
      <w:r w:rsidR="00430E49" w:rsidRPr="00024737">
        <w:rPr>
          <w:rFonts w:ascii="Arial" w:eastAsia="ヒラギノ角ゴ Pro W3" w:hAnsi="Arial" w:cs="Arial"/>
          <w:color w:val="000000"/>
          <w:lang w:val="sr-Cyrl-RS" w:eastAsia="sr-Cyrl-CS"/>
        </w:rPr>
        <w:t>. године, Министарство  државне управе и локалне самоуправе</w:t>
      </w:r>
      <w:r w:rsidR="007D4E6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6C5F49" w:rsidRPr="00024737">
        <w:rPr>
          <w:rFonts w:ascii="Arial" w:eastAsia="ヒラギノ角ゴ Pro W3" w:hAnsi="Arial" w:cs="Arial"/>
          <w:color w:val="000000"/>
          <w:lang w:val="sr-Cyrl-RS" w:eastAsia="sr-Cyrl-CS"/>
        </w:rPr>
        <w:t>(у даљем тексту: М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>ДУЛС</w:t>
      </w:r>
      <w:r w:rsidR="006C5F4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) </w:t>
      </w:r>
      <w:r w:rsidR="007D4E6A" w:rsidRPr="00024737">
        <w:rPr>
          <w:rFonts w:ascii="Arial" w:eastAsia="ヒラギノ角ゴ Pro W3" w:hAnsi="Arial" w:cs="Arial"/>
          <w:color w:val="000000"/>
          <w:lang w:val="sr-Cyrl-RS" w:eastAsia="sr-Cyrl-CS"/>
        </w:rPr>
        <w:t>затражило је мишљење Повереника за заштиту равноправности о</w:t>
      </w:r>
      <w:r w:rsidR="00A877A0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Предлогу уредбе о </w:t>
      </w:r>
      <w:proofErr w:type="spellStart"/>
      <w:r w:rsidR="00A877A0" w:rsidRPr="00024737">
        <w:rPr>
          <w:rFonts w:ascii="Arial" w:eastAsia="ヒラギノ角ゴ Pro W3" w:hAnsi="Arial" w:cs="Arial"/>
          <w:color w:val="000000"/>
          <w:lang w:val="sr-Cyrl-RS" w:eastAsia="sr-Cyrl-CS"/>
        </w:rPr>
        <w:t>Шифарнику</w:t>
      </w:r>
      <w:proofErr w:type="spellEnd"/>
      <w:r w:rsidR="00A877A0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радних места</w:t>
      </w:r>
      <w:r w:rsidR="00675ACC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(у даљем тексту: Предлог уредбе)</w:t>
      </w:r>
      <w:r w:rsidR="007D4E6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. Поступајући по захтеву министарства, дајемо мишљење на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поједине одредбе </w:t>
      </w:r>
      <w:r w:rsidR="00716C29" w:rsidRPr="00024737">
        <w:rPr>
          <w:rFonts w:ascii="Arial" w:eastAsia="ヒラギノ角ゴ Pro W3" w:hAnsi="Arial" w:cs="Arial"/>
          <w:color w:val="000000"/>
          <w:lang w:val="sr-Cyrl-RS" w:eastAsia="sr-Cyrl-CS"/>
        </w:rPr>
        <w:t>Предлог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>а</w:t>
      </w:r>
      <w:r w:rsidR="00716C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уредбе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>, које</w:t>
      </w:r>
      <w:r w:rsidR="007D4E6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су релевантна са аспекта делокруга рада Повереника за заштиту равноправности. </w:t>
      </w:r>
    </w:p>
    <w:p w:rsidR="00E94370" w:rsidRPr="00024737" w:rsidRDefault="00E94370" w:rsidP="00395C5E">
      <w:pPr>
        <w:tabs>
          <w:tab w:val="left" w:pos="9072"/>
        </w:tabs>
        <w:spacing w:after="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6C5F49" w:rsidRPr="00024737" w:rsidRDefault="002C3A30" w:rsidP="00395C5E">
      <w:pPr>
        <w:tabs>
          <w:tab w:val="left" w:pos="9072"/>
        </w:tabs>
        <w:spacing w:after="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  <w:r w:rsidRPr="00024737">
        <w:rPr>
          <w:rFonts w:ascii="Arial" w:hAnsi="Arial" w:cs="Arial"/>
          <w:lang w:val="sr-Cyrl-RS"/>
        </w:rPr>
        <w:t>У допису М</w:t>
      </w:r>
      <w:r w:rsidR="00395C5E" w:rsidRPr="00024737">
        <w:rPr>
          <w:rFonts w:ascii="Arial" w:hAnsi="Arial" w:cs="Arial"/>
          <w:lang w:val="sr-Cyrl-RS"/>
        </w:rPr>
        <w:t>ДУЛС</w:t>
      </w:r>
      <w:r w:rsidR="00517961" w:rsidRPr="00024737">
        <w:rPr>
          <w:rFonts w:ascii="Arial" w:hAnsi="Arial" w:cs="Arial"/>
          <w:lang w:val="sr-Cyrl-RS"/>
        </w:rPr>
        <w:t xml:space="preserve"> наведено је да је </w:t>
      </w:r>
      <w:proofErr w:type="spellStart"/>
      <w:r w:rsidR="00517961" w:rsidRPr="00024737">
        <w:rPr>
          <w:rFonts w:ascii="Arial" w:hAnsi="Arial" w:cs="Arial"/>
          <w:lang w:val="sr-Cyrl-RS"/>
        </w:rPr>
        <w:t>Ш</w:t>
      </w:r>
      <w:r w:rsidRPr="00024737">
        <w:rPr>
          <w:rFonts w:ascii="Arial" w:hAnsi="Arial" w:cs="Arial"/>
          <w:lang w:val="sr-Cyrl-RS"/>
        </w:rPr>
        <w:t>ифарник</w:t>
      </w:r>
      <w:proofErr w:type="spellEnd"/>
      <w:r w:rsidRPr="00024737">
        <w:rPr>
          <w:rFonts w:ascii="Arial" w:hAnsi="Arial" w:cs="Arial"/>
          <w:lang w:val="sr-Cyrl-RS"/>
        </w:rPr>
        <w:t xml:space="preserve"> радних места у јавном сектору технички документ који је израђен на основу Нацрта каталога радних места </w:t>
      </w:r>
      <w:r w:rsidR="00395C5E" w:rsidRPr="00024737">
        <w:rPr>
          <w:rFonts w:ascii="Arial" w:hAnsi="Arial" w:cs="Arial"/>
          <w:lang w:val="sr-Cyrl-RS"/>
        </w:rPr>
        <w:t>и звања у јавном сектору, који ј</w:t>
      </w:r>
      <w:r w:rsidRPr="00024737">
        <w:rPr>
          <w:rFonts w:ascii="Arial" w:hAnsi="Arial" w:cs="Arial"/>
          <w:lang w:val="sr-Cyrl-RS"/>
        </w:rPr>
        <w:t xml:space="preserve">е још увек у </w:t>
      </w:r>
      <w:r w:rsidR="00395C5E" w:rsidRPr="00024737">
        <w:rPr>
          <w:rFonts w:ascii="Arial" w:hAnsi="Arial" w:cs="Arial"/>
          <w:lang w:val="sr-Cyrl-RS"/>
        </w:rPr>
        <w:t>изради</w:t>
      </w:r>
      <w:r w:rsidRPr="00024737">
        <w:rPr>
          <w:rFonts w:ascii="Arial" w:hAnsi="Arial" w:cs="Arial"/>
          <w:lang w:val="sr-Cyrl-RS"/>
        </w:rPr>
        <w:t xml:space="preserve">. Такође је наведено да је </w:t>
      </w:r>
      <w:proofErr w:type="spellStart"/>
      <w:r w:rsidRPr="00024737">
        <w:rPr>
          <w:rFonts w:ascii="Arial" w:hAnsi="Arial" w:cs="Arial"/>
          <w:lang w:val="sr-Cyrl-RS"/>
        </w:rPr>
        <w:t>Шифарник</w:t>
      </w:r>
      <w:proofErr w:type="spellEnd"/>
      <w:r w:rsidRPr="00024737">
        <w:rPr>
          <w:rFonts w:ascii="Arial" w:hAnsi="Arial" w:cs="Arial"/>
          <w:lang w:val="sr-Cyrl-RS"/>
        </w:rPr>
        <w:t xml:space="preserve"> радних места у јавном сектору подложан променама у складу са изменама релевантне законске регулативе. Имајући у виду наведено, сматрамо да Предлог уредбе, као </w:t>
      </w:r>
      <w:r w:rsidR="00395C5E" w:rsidRPr="00024737">
        <w:rPr>
          <w:rFonts w:ascii="Arial" w:hAnsi="Arial" w:cs="Arial"/>
          <w:lang w:val="sr-Cyrl-RS"/>
        </w:rPr>
        <w:t>н</w:t>
      </w:r>
      <w:r w:rsidRPr="00024737">
        <w:rPr>
          <w:rFonts w:ascii="Arial" w:hAnsi="Arial" w:cs="Arial"/>
          <w:lang w:val="sr-Cyrl-RS"/>
        </w:rPr>
        <w:t xml:space="preserve">и </w:t>
      </w:r>
      <w:proofErr w:type="spellStart"/>
      <w:r w:rsidRPr="00024737">
        <w:rPr>
          <w:rFonts w:ascii="Arial" w:hAnsi="Arial" w:cs="Arial"/>
          <w:lang w:val="sr-Cyrl-RS"/>
        </w:rPr>
        <w:t>Шифарник</w:t>
      </w:r>
      <w:proofErr w:type="spellEnd"/>
      <w:r w:rsidRPr="00024737">
        <w:rPr>
          <w:rFonts w:ascii="Arial" w:hAnsi="Arial" w:cs="Arial"/>
          <w:lang w:val="sr-Cyrl-RS"/>
        </w:rPr>
        <w:t xml:space="preserve"> који </w:t>
      </w:r>
      <w:r w:rsidR="00395C5E" w:rsidRPr="00024737">
        <w:rPr>
          <w:rFonts w:ascii="Arial" w:hAnsi="Arial" w:cs="Arial"/>
          <w:lang w:val="sr-Cyrl-RS"/>
        </w:rPr>
        <w:t>је саставни део ове уредбе</w:t>
      </w:r>
      <w:r w:rsidR="004A7F5A" w:rsidRPr="00024737">
        <w:rPr>
          <w:rFonts w:ascii="Arial" w:hAnsi="Arial" w:cs="Arial"/>
          <w:lang w:val="sr-Cyrl-RS"/>
        </w:rPr>
        <w:t>,</w:t>
      </w:r>
      <w:r w:rsidRPr="00024737">
        <w:rPr>
          <w:rFonts w:ascii="Arial" w:hAnsi="Arial" w:cs="Arial"/>
          <w:lang w:val="sr-Cyrl-RS"/>
        </w:rPr>
        <w:t xml:space="preserve"> нису</w:t>
      </w:r>
      <w:r w:rsidR="004A7F5A" w:rsidRPr="00024737">
        <w:rPr>
          <w:rFonts w:ascii="Arial" w:hAnsi="Arial" w:cs="Arial"/>
          <w:lang w:val="sr-Cyrl-RS"/>
        </w:rPr>
        <w:t xml:space="preserve"> још увек подобни за разматрање</w:t>
      </w:r>
      <w:r w:rsidR="00395C5E" w:rsidRPr="00024737">
        <w:rPr>
          <w:rFonts w:ascii="Arial" w:hAnsi="Arial" w:cs="Arial"/>
          <w:lang w:val="sr-Cyrl-RS"/>
        </w:rPr>
        <w:t xml:space="preserve"> јер </w:t>
      </w:r>
      <w:r w:rsidR="004A7F5A" w:rsidRPr="00024737">
        <w:rPr>
          <w:rFonts w:ascii="Arial" w:hAnsi="Arial" w:cs="Arial"/>
          <w:lang w:val="sr-Cyrl-RS"/>
        </w:rPr>
        <w:t>акти</w:t>
      </w:r>
      <w:r w:rsidRPr="00024737">
        <w:rPr>
          <w:rFonts w:ascii="Arial" w:hAnsi="Arial" w:cs="Arial"/>
          <w:lang w:val="sr-Cyrl-RS"/>
        </w:rPr>
        <w:t xml:space="preserve"> који треба да претходе </w:t>
      </w:r>
      <w:r w:rsidR="00395C5E" w:rsidRPr="00024737">
        <w:rPr>
          <w:rFonts w:ascii="Arial" w:hAnsi="Arial" w:cs="Arial"/>
          <w:lang w:val="sr-Cyrl-RS"/>
        </w:rPr>
        <w:t>у</w:t>
      </w:r>
      <w:r w:rsidRPr="00024737">
        <w:rPr>
          <w:rFonts w:ascii="Arial" w:hAnsi="Arial" w:cs="Arial"/>
          <w:lang w:val="sr-Cyrl-RS"/>
        </w:rPr>
        <w:t>редби нису коначни</w:t>
      </w:r>
      <w:r w:rsidR="00517961" w:rsidRPr="00024737">
        <w:rPr>
          <w:rFonts w:ascii="Arial" w:hAnsi="Arial" w:cs="Arial"/>
          <w:lang w:val="sr-Cyrl-RS"/>
        </w:rPr>
        <w:t>, односно</w:t>
      </w:r>
      <w:r w:rsidR="00395C5E" w:rsidRPr="00024737">
        <w:rPr>
          <w:rFonts w:ascii="Arial" w:hAnsi="Arial" w:cs="Arial"/>
          <w:lang w:val="sr-Cyrl-RS"/>
        </w:rPr>
        <w:t>,</w:t>
      </w:r>
      <w:r w:rsidRPr="00024737">
        <w:rPr>
          <w:rFonts w:ascii="Arial" w:hAnsi="Arial" w:cs="Arial"/>
          <w:lang w:val="sr-Cyrl-RS"/>
        </w:rPr>
        <w:t xml:space="preserve"> подложни су променама</w:t>
      </w:r>
      <w:r w:rsidR="00395C5E" w:rsidRPr="00024737">
        <w:rPr>
          <w:rFonts w:ascii="Arial" w:hAnsi="Arial" w:cs="Arial"/>
          <w:lang w:val="sr-Cyrl-RS"/>
        </w:rPr>
        <w:t xml:space="preserve">, што потврђује и чињеница да је </w:t>
      </w:r>
      <w:r w:rsidR="006C5F49" w:rsidRPr="00024737">
        <w:rPr>
          <w:rFonts w:ascii="Arial" w:hAnsi="Arial" w:cs="Arial"/>
          <w:lang w:val="sr-Cyrl-RS"/>
        </w:rPr>
        <w:t xml:space="preserve">на </w:t>
      </w:r>
      <w:r w:rsidR="006C5F49" w:rsidRPr="00024737">
        <w:rPr>
          <w:rFonts w:ascii="Arial" w:eastAsia="ヒラギノ角ゴ Pro W3" w:hAnsi="Arial" w:cs="Arial"/>
          <w:color w:val="000000"/>
          <w:lang w:val="sr-Cyrl-RS" w:eastAsia="sr-Cyrl-CS"/>
        </w:rPr>
        <w:t>интернет страници М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>ДУЛС</w:t>
      </w:r>
      <w:r w:rsidR="006C5F4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отворен позив за јавне консултације, достављање коментара, предлога и сугестија до 25. јануара 2016.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6C5F4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године. </w:t>
      </w:r>
    </w:p>
    <w:p w:rsidR="008803D1" w:rsidRPr="00024737" w:rsidRDefault="008803D1" w:rsidP="00395C5E">
      <w:pPr>
        <w:tabs>
          <w:tab w:val="left" w:pos="9072"/>
        </w:tabs>
        <w:spacing w:after="0" w:line="280" w:lineRule="exact"/>
        <w:jc w:val="both"/>
        <w:rPr>
          <w:rFonts w:ascii="Arial" w:eastAsia="ヒラギノ角ゴ Pro W3" w:hAnsi="Arial" w:cs="Arial"/>
          <w:color w:val="000000"/>
          <w:lang w:val="sr-Cyrl-RS" w:eastAsia="sr-Cyrl-CS"/>
        </w:rPr>
      </w:pPr>
    </w:p>
    <w:p w:rsidR="00CC7310" w:rsidRPr="00024737" w:rsidRDefault="00395C5E" w:rsidP="00395C5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lang w:val="sr-Cyrl-RS"/>
        </w:rPr>
      </w:pPr>
      <w:r w:rsidRPr="00024737">
        <w:rPr>
          <w:rFonts w:ascii="Arial" w:hAnsi="Arial" w:cs="Arial"/>
          <w:lang w:val="sr-Cyrl-RS"/>
        </w:rPr>
        <w:t xml:space="preserve">Међутим, </w:t>
      </w:r>
      <w:r w:rsidR="00CC7310" w:rsidRPr="00024737">
        <w:rPr>
          <w:rFonts w:ascii="Arial" w:hAnsi="Arial" w:cs="Arial"/>
          <w:lang w:val="sr-Cyrl-RS"/>
        </w:rPr>
        <w:t>у циљу доприноса ефикасном наставку рада на унапређењу овог акта, истичемо и неке појединачне примедбе:</w:t>
      </w:r>
    </w:p>
    <w:p w:rsidR="009D6214" w:rsidRPr="00024737" w:rsidRDefault="009D6214" w:rsidP="00395C5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lang w:val="sr-Cyrl-RS"/>
        </w:rPr>
      </w:pPr>
    </w:p>
    <w:p w:rsidR="002D17F7" w:rsidRPr="00024737" w:rsidRDefault="00CC7310" w:rsidP="00395C5E">
      <w:pPr>
        <w:tabs>
          <w:tab w:val="left" w:pos="9072"/>
        </w:tabs>
        <w:spacing w:after="0" w:line="280" w:lineRule="exact"/>
        <w:jc w:val="both"/>
        <w:rPr>
          <w:rFonts w:ascii="Arial" w:hAnsi="Arial" w:cs="Arial"/>
          <w:lang w:val="sr-Cyrl-RS"/>
        </w:rPr>
      </w:pPr>
      <w:r w:rsidRPr="00024737">
        <w:rPr>
          <w:rFonts w:ascii="Arial" w:eastAsia="ヒラギノ角ゴ Pro W3" w:hAnsi="Arial" w:cs="Arial"/>
          <w:b/>
          <w:color w:val="000000"/>
          <w:lang w:val="sr-Cyrl-RS" w:eastAsia="sr-Cyrl-CS"/>
        </w:rPr>
        <w:t>1.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Повереник за заштиту равноправности 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поново указује да приликом израде </w:t>
      </w:r>
      <w:proofErr w:type="spellStart"/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>Шифарника</w:t>
      </w:r>
      <w:proofErr w:type="spellEnd"/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звања и радних места у јавном сектору,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као ни у Нацрту закона о систему плата запослених у јавном сектору, 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нису у потпуности препознати независни органи и нису уважене њихове специфичности </w:t>
      </w:r>
      <w:r w:rsidRPr="00024737">
        <w:rPr>
          <w:rFonts w:ascii="Arial" w:eastAsia="ヒラギノ角ゴ Pro W3" w:hAnsi="Arial" w:cs="Arial"/>
          <w:color w:val="000000"/>
          <w:lang w:val="sr-Cyrl-RS" w:eastAsia="sr-Cyrl-CS"/>
        </w:rPr>
        <w:lastRenderedPageBreak/>
        <w:t xml:space="preserve">у правном систему, као ни специфичност послова који се обављају у овим органима. Примера ради, 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>п</w:t>
      </w:r>
      <w:r w:rsidR="00624D35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оступак 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који се води 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пред Повереником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у складу са Законом о забрани дискриминације, 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>веома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је 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>специфичан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и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624D35" w:rsidRPr="00024737">
        <w:rPr>
          <w:rFonts w:ascii="Arial" w:eastAsia="ヒラギノ角ゴ Pro W3" w:hAnsi="Arial" w:cs="Arial"/>
          <w:color w:val="000000"/>
          <w:lang w:val="sr-Cyrl-RS" w:eastAsia="sr-Cyrl-CS"/>
        </w:rPr>
        <w:t>сложен</w:t>
      </w:r>
      <w:r w:rsidR="004A7F5A" w:rsidRPr="00024737">
        <w:rPr>
          <w:rFonts w:ascii="Arial" w:eastAsia="ヒラギノ角ゴ Pro W3" w:hAnsi="Arial" w:cs="Arial"/>
          <w:color w:val="000000"/>
          <w:lang w:val="sr-Cyrl-RS" w:eastAsia="sr-Cyrl-CS"/>
        </w:rPr>
        <w:t>,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624D35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с обзиром на висок ниво заштите Уставом прописаног права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>на</w:t>
      </w:r>
      <w:r w:rsidR="00624D35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</w:t>
      </w:r>
      <w:r w:rsidR="00395C5E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слободу од </w:t>
      </w:r>
      <w:r w:rsidR="00624D35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дискриминације. </w:t>
      </w:r>
      <w:r w:rsidR="00624D35" w:rsidRPr="00024737">
        <w:rPr>
          <w:rFonts w:ascii="Arial" w:hAnsi="Arial" w:cs="Arial"/>
          <w:lang w:val="sr-Cyrl-RS"/>
        </w:rPr>
        <w:t>Повереник</w:t>
      </w:r>
      <w:r w:rsidR="0082371A" w:rsidRPr="00024737">
        <w:rPr>
          <w:rFonts w:ascii="Arial" w:hAnsi="Arial" w:cs="Arial"/>
          <w:lang w:val="sr-Cyrl-RS"/>
        </w:rPr>
        <w:t xml:space="preserve"> за заштиту равноправности има активну процесну легитимацију у парницама за заштиту од дискриминације</w:t>
      </w:r>
      <w:r w:rsidR="00624D35" w:rsidRPr="00024737">
        <w:rPr>
          <w:rFonts w:ascii="Arial" w:hAnsi="Arial" w:cs="Arial"/>
          <w:lang w:val="sr-Cyrl-RS"/>
        </w:rPr>
        <w:t>,</w:t>
      </w:r>
      <w:r w:rsidR="0082371A" w:rsidRPr="00024737">
        <w:rPr>
          <w:rFonts w:ascii="Arial" w:hAnsi="Arial" w:cs="Arial"/>
          <w:lang w:val="sr-Cyrl-RS"/>
        </w:rPr>
        <w:t xml:space="preserve"> у којима је странка у функционалном смислу. </w:t>
      </w:r>
      <w:r w:rsidR="00624D35" w:rsidRPr="00024737">
        <w:rPr>
          <w:rFonts w:ascii="Arial" w:hAnsi="Arial" w:cs="Arial"/>
          <w:lang w:val="sr-Cyrl-RS"/>
        </w:rPr>
        <w:t xml:space="preserve">Сама чињеница да </w:t>
      </w:r>
      <w:r w:rsidR="0082371A" w:rsidRPr="00024737">
        <w:rPr>
          <w:rFonts w:ascii="Arial" w:hAnsi="Arial" w:cs="Arial"/>
          <w:lang w:val="sr-Cyrl-RS"/>
        </w:rPr>
        <w:t xml:space="preserve">је у првом степену надлежан </w:t>
      </w:r>
      <w:r w:rsidR="00624D35" w:rsidRPr="00024737">
        <w:rPr>
          <w:rFonts w:ascii="Arial" w:hAnsi="Arial" w:cs="Arial"/>
          <w:lang w:val="sr-Cyrl-RS"/>
        </w:rPr>
        <w:t xml:space="preserve">Виши суд и да је ревизија увек дозвољена говори о </w:t>
      </w:r>
      <w:r w:rsidR="00861A29" w:rsidRPr="00024737">
        <w:rPr>
          <w:rFonts w:ascii="Arial" w:hAnsi="Arial" w:cs="Arial"/>
          <w:lang w:val="sr-Cyrl-RS"/>
        </w:rPr>
        <w:t xml:space="preserve">значају права које се штити, али и </w:t>
      </w:r>
      <w:r w:rsidR="004A7F5A" w:rsidRPr="00024737">
        <w:rPr>
          <w:rFonts w:ascii="Arial" w:hAnsi="Arial" w:cs="Arial"/>
          <w:lang w:val="sr-Cyrl-RS"/>
        </w:rPr>
        <w:t>потребном високом нивоу</w:t>
      </w:r>
      <w:r w:rsidR="00861A29" w:rsidRPr="00024737">
        <w:rPr>
          <w:rFonts w:ascii="Arial" w:eastAsia="ヒラギノ角ゴ Pro W3" w:hAnsi="Arial" w:cs="Arial"/>
          <w:color w:val="000000"/>
          <w:lang w:val="sr-Cyrl-RS" w:eastAsia="sr-Cyrl-CS"/>
        </w:rPr>
        <w:t xml:space="preserve"> специфичних стручн</w:t>
      </w:r>
      <w:r w:rsidR="002D17F7" w:rsidRPr="00024737">
        <w:rPr>
          <w:rFonts w:ascii="Arial" w:eastAsia="ヒラギノ角ゴ Pro W3" w:hAnsi="Arial" w:cs="Arial"/>
          <w:color w:val="000000"/>
          <w:lang w:val="sr-Cyrl-RS" w:eastAsia="sr-Cyrl-CS"/>
        </w:rPr>
        <w:t>их знања</w:t>
      </w:r>
      <w:r w:rsidR="00861A29" w:rsidRPr="00024737">
        <w:rPr>
          <w:rFonts w:ascii="Arial" w:hAnsi="Arial" w:cs="Arial"/>
          <w:lang w:val="sr-Cyrl-RS"/>
        </w:rPr>
        <w:t xml:space="preserve">, </w:t>
      </w:r>
      <w:r w:rsidR="002D17F7" w:rsidRPr="00024737">
        <w:rPr>
          <w:rFonts w:ascii="Arial" w:hAnsi="Arial" w:cs="Arial"/>
          <w:lang w:val="sr-Cyrl-RS"/>
        </w:rPr>
        <w:t xml:space="preserve">која подразумевају познавање домаћих и међународних прописа из области заштите људских права и слобода. Поред </w:t>
      </w:r>
      <w:r w:rsidR="0082371A" w:rsidRPr="00024737">
        <w:rPr>
          <w:rFonts w:ascii="Arial" w:hAnsi="Arial" w:cs="Arial"/>
          <w:lang w:val="sr-Cyrl-RS"/>
        </w:rPr>
        <w:t xml:space="preserve">тога, </w:t>
      </w:r>
      <w:r w:rsidR="002D17F7" w:rsidRPr="00024737">
        <w:rPr>
          <w:rFonts w:ascii="Arial" w:hAnsi="Arial" w:cs="Arial"/>
          <w:lang w:val="sr-Cyrl-RS"/>
        </w:rPr>
        <w:t xml:space="preserve">у Стручној служби се обављају и други послови из надлежности Повереника који су различити од послова који се </w:t>
      </w:r>
      <w:r w:rsidR="0082371A" w:rsidRPr="00024737">
        <w:rPr>
          <w:rFonts w:ascii="Arial" w:hAnsi="Arial" w:cs="Arial"/>
          <w:lang w:val="sr-Cyrl-RS"/>
        </w:rPr>
        <w:t>обављају у</w:t>
      </w:r>
      <w:r w:rsidR="002D17F7" w:rsidRPr="00024737">
        <w:rPr>
          <w:rFonts w:ascii="Arial" w:hAnsi="Arial" w:cs="Arial"/>
          <w:lang w:val="sr-Cyrl-RS"/>
        </w:rPr>
        <w:t xml:space="preserve"> другим државним органима (нпр. </w:t>
      </w:r>
      <w:r w:rsidR="004A7F5A" w:rsidRPr="00024737">
        <w:rPr>
          <w:rFonts w:ascii="Arial" w:hAnsi="Arial" w:cs="Arial"/>
          <w:lang w:val="sr-Cyrl-RS"/>
        </w:rPr>
        <w:t>запослени у Стручној служби</w:t>
      </w:r>
      <w:r w:rsidR="0082371A" w:rsidRPr="00024737">
        <w:rPr>
          <w:rFonts w:ascii="Arial" w:hAnsi="Arial" w:cs="Arial"/>
          <w:lang w:val="sr-Cyrl-RS"/>
        </w:rPr>
        <w:t xml:space="preserve"> Повереника држе семинаре на којима едукују </w:t>
      </w:r>
      <w:r w:rsidR="00537D54" w:rsidRPr="00024737">
        <w:rPr>
          <w:rFonts w:ascii="Arial" w:hAnsi="Arial" w:cs="Arial"/>
          <w:lang w:val="sr-Cyrl-RS"/>
        </w:rPr>
        <w:t>релевантн</w:t>
      </w:r>
      <w:r w:rsidR="0082371A" w:rsidRPr="00024737">
        <w:rPr>
          <w:rFonts w:ascii="Arial" w:hAnsi="Arial" w:cs="Arial"/>
          <w:lang w:val="sr-Cyrl-RS"/>
        </w:rPr>
        <w:t>е</w:t>
      </w:r>
      <w:r w:rsidR="00537D54" w:rsidRPr="00024737">
        <w:rPr>
          <w:rFonts w:ascii="Arial" w:hAnsi="Arial" w:cs="Arial"/>
          <w:lang w:val="sr-Cyrl-RS"/>
        </w:rPr>
        <w:t xml:space="preserve"> друштвен</w:t>
      </w:r>
      <w:r w:rsidR="0082371A" w:rsidRPr="00024737">
        <w:rPr>
          <w:rFonts w:ascii="Arial" w:hAnsi="Arial" w:cs="Arial"/>
          <w:lang w:val="sr-Cyrl-RS"/>
        </w:rPr>
        <w:t>е</w:t>
      </w:r>
      <w:r w:rsidR="00537D54" w:rsidRPr="00024737">
        <w:rPr>
          <w:rFonts w:ascii="Arial" w:hAnsi="Arial" w:cs="Arial"/>
          <w:lang w:val="sr-Cyrl-RS"/>
        </w:rPr>
        <w:t xml:space="preserve"> актера </w:t>
      </w:r>
      <w:r w:rsidR="002D17F7" w:rsidRPr="00024737">
        <w:rPr>
          <w:rFonts w:ascii="Arial" w:hAnsi="Arial" w:cs="Arial"/>
          <w:lang w:val="sr-Cyrl-RS"/>
        </w:rPr>
        <w:t>из области сузбијања дискриминације и заштите равноправности</w:t>
      </w:r>
      <w:r w:rsidR="00537D54" w:rsidRPr="00024737">
        <w:rPr>
          <w:rFonts w:ascii="Arial" w:hAnsi="Arial" w:cs="Arial"/>
          <w:lang w:val="sr-Cyrl-RS"/>
        </w:rPr>
        <w:t>, раде на имп</w:t>
      </w:r>
      <w:r w:rsidR="0082371A" w:rsidRPr="00024737">
        <w:rPr>
          <w:rFonts w:ascii="Arial" w:hAnsi="Arial" w:cs="Arial"/>
          <w:lang w:val="sr-Cyrl-RS"/>
        </w:rPr>
        <w:t>л</w:t>
      </w:r>
      <w:r w:rsidR="00537D54" w:rsidRPr="00024737">
        <w:rPr>
          <w:rFonts w:ascii="Arial" w:hAnsi="Arial" w:cs="Arial"/>
          <w:lang w:val="sr-Cyrl-RS"/>
        </w:rPr>
        <w:t xml:space="preserve">ементацији </w:t>
      </w:r>
      <w:r w:rsidR="0082371A" w:rsidRPr="00024737">
        <w:rPr>
          <w:rFonts w:ascii="Arial" w:hAnsi="Arial" w:cs="Arial"/>
          <w:lang w:val="sr-Cyrl-RS"/>
        </w:rPr>
        <w:t xml:space="preserve">међународних и националних </w:t>
      </w:r>
      <w:r w:rsidR="00537D54" w:rsidRPr="00024737">
        <w:rPr>
          <w:rFonts w:ascii="Arial" w:hAnsi="Arial" w:cs="Arial"/>
          <w:lang w:val="sr-Cyrl-RS"/>
        </w:rPr>
        <w:t>стандарда</w:t>
      </w:r>
      <w:r w:rsidR="0082371A" w:rsidRPr="00024737">
        <w:rPr>
          <w:rFonts w:ascii="Arial" w:hAnsi="Arial" w:cs="Arial"/>
          <w:lang w:val="sr-Cyrl-RS"/>
        </w:rPr>
        <w:t xml:space="preserve"> у области заштите од дискриминације, као</w:t>
      </w:r>
      <w:r w:rsidR="00537D54" w:rsidRPr="00024737">
        <w:rPr>
          <w:rFonts w:ascii="Arial" w:hAnsi="Arial" w:cs="Arial"/>
          <w:lang w:val="sr-Cyrl-RS"/>
        </w:rPr>
        <w:t xml:space="preserve"> и </w:t>
      </w:r>
      <w:r w:rsidR="0082371A" w:rsidRPr="00024737">
        <w:rPr>
          <w:rFonts w:ascii="Arial" w:hAnsi="Arial" w:cs="Arial"/>
          <w:lang w:val="sr-Cyrl-RS"/>
        </w:rPr>
        <w:t xml:space="preserve">на </w:t>
      </w:r>
      <w:r w:rsidR="00537D54" w:rsidRPr="00024737">
        <w:rPr>
          <w:rFonts w:ascii="Arial" w:hAnsi="Arial" w:cs="Arial"/>
          <w:lang w:val="sr-Cyrl-RS"/>
        </w:rPr>
        <w:t>сузбијању предрасуда, стереотипа</w:t>
      </w:r>
      <w:r w:rsidR="002D17F7" w:rsidRPr="00024737">
        <w:rPr>
          <w:rFonts w:ascii="Arial" w:hAnsi="Arial" w:cs="Arial"/>
          <w:lang w:val="sr-Cyrl-RS"/>
        </w:rPr>
        <w:t xml:space="preserve"> и </w:t>
      </w:r>
      <w:proofErr w:type="spellStart"/>
      <w:r w:rsidR="00537D54" w:rsidRPr="00024737">
        <w:rPr>
          <w:rFonts w:ascii="Arial" w:hAnsi="Arial" w:cs="Arial"/>
          <w:lang w:val="sr-Cyrl-RS"/>
        </w:rPr>
        <w:t>дискриминаторних</w:t>
      </w:r>
      <w:proofErr w:type="spellEnd"/>
      <w:r w:rsidR="00537D54" w:rsidRPr="00024737">
        <w:rPr>
          <w:rFonts w:ascii="Arial" w:hAnsi="Arial" w:cs="Arial"/>
          <w:lang w:val="sr-Cyrl-RS"/>
        </w:rPr>
        <w:t xml:space="preserve"> ставова у друштву и </w:t>
      </w:r>
      <w:proofErr w:type="spellStart"/>
      <w:r w:rsidR="002D17F7" w:rsidRPr="00024737">
        <w:rPr>
          <w:rFonts w:ascii="Arial" w:hAnsi="Arial" w:cs="Arial"/>
          <w:lang w:val="sr-Cyrl-RS"/>
        </w:rPr>
        <w:t>сл</w:t>
      </w:r>
      <w:proofErr w:type="spellEnd"/>
      <w:r w:rsidR="002D17F7" w:rsidRPr="00024737">
        <w:rPr>
          <w:rFonts w:ascii="Arial" w:hAnsi="Arial" w:cs="Arial"/>
          <w:lang w:val="sr-Cyrl-RS"/>
        </w:rPr>
        <w:t>).</w:t>
      </w:r>
    </w:p>
    <w:p w:rsidR="00E94370" w:rsidRPr="00024737" w:rsidRDefault="00E94370" w:rsidP="00395C5E">
      <w:pPr>
        <w:tabs>
          <w:tab w:val="left" w:pos="9072"/>
        </w:tabs>
        <w:spacing w:after="0" w:line="280" w:lineRule="exact"/>
        <w:jc w:val="both"/>
        <w:rPr>
          <w:rFonts w:ascii="Arial" w:hAnsi="Arial" w:cs="Arial"/>
          <w:lang w:val="sr-Cyrl-RS"/>
        </w:rPr>
      </w:pPr>
    </w:p>
    <w:p w:rsidR="00537D54" w:rsidRPr="00024737" w:rsidRDefault="00CC7310" w:rsidP="00395C5E">
      <w:pPr>
        <w:pStyle w:val="Normal1"/>
        <w:spacing w:before="0" w:beforeAutospacing="0" w:after="0" w:afterAutospacing="0" w:line="280" w:lineRule="exact"/>
        <w:jc w:val="both"/>
        <w:rPr>
          <w:lang w:val="sr-Cyrl-RS"/>
        </w:rPr>
      </w:pPr>
      <w:r w:rsidRPr="00024737">
        <w:rPr>
          <w:rFonts w:eastAsia="ヒラギノ角ゴ Pro W3"/>
          <w:b/>
          <w:color w:val="000000"/>
          <w:lang w:val="sr-Cyrl-RS" w:eastAsia="sr-Cyrl-CS"/>
        </w:rPr>
        <w:t>2.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</w:t>
      </w:r>
      <w:r w:rsidR="0082371A" w:rsidRPr="00024737">
        <w:rPr>
          <w:rFonts w:eastAsia="ヒラギノ角ゴ Pro W3"/>
          <w:color w:val="000000"/>
          <w:lang w:val="sr-Cyrl-RS" w:eastAsia="sr-Cyrl-CS"/>
        </w:rPr>
        <w:t xml:space="preserve">Надаље, треба указати </w:t>
      </w:r>
      <w:r w:rsidR="00B913A0" w:rsidRPr="00024737">
        <w:rPr>
          <w:rFonts w:eastAsia="ヒラギノ角ゴ Pro W3"/>
          <w:color w:val="000000"/>
          <w:lang w:val="sr-Cyrl-RS" w:eastAsia="sr-Cyrl-CS"/>
        </w:rPr>
        <w:t>да је Законом о регистру запослених, изабраних, именованих, постављених и ангажованих лица код корисника јавних средстава</w:t>
      </w:r>
      <w:r w:rsidR="00B913A0" w:rsidRPr="00024737">
        <w:rPr>
          <w:rStyle w:val="FootnoteReference"/>
          <w:rFonts w:eastAsia="ヒラギノ角ゴ Pro W3"/>
          <w:color w:val="000000"/>
          <w:lang w:val="sr-Cyrl-RS" w:eastAsia="sr-Cyrl-CS"/>
        </w:rPr>
        <w:footnoteReference w:id="2"/>
      </w:r>
      <w:r w:rsidR="00B913A0" w:rsidRPr="00024737">
        <w:rPr>
          <w:rFonts w:eastAsia="ヒラギノ角ゴ Pro W3"/>
          <w:color w:val="000000"/>
          <w:lang w:val="sr-Cyrl-RS" w:eastAsia="sr-Cyrl-CS"/>
        </w:rPr>
        <w:t xml:space="preserve"> прописано да се </w:t>
      </w:r>
      <w:proofErr w:type="spellStart"/>
      <w:r w:rsidR="00B913A0" w:rsidRPr="00024737">
        <w:rPr>
          <w:lang w:val="sr-Cyrl-RS"/>
        </w:rPr>
        <w:t>Шифарник</w:t>
      </w:r>
      <w:proofErr w:type="spellEnd"/>
      <w:r w:rsidR="005F5F97" w:rsidRPr="00024737">
        <w:rPr>
          <w:lang w:val="sr-Cyrl-RS"/>
        </w:rPr>
        <w:t>, на основу којег</w:t>
      </w:r>
      <w:r w:rsidR="00B913A0" w:rsidRPr="00024737">
        <w:rPr>
          <w:lang w:val="sr-Cyrl-RS"/>
        </w:rPr>
        <w:t xml:space="preserve"> се уносе подаци у Регистар радних места запослених, изабраних, именованих, постављених и ангажованих лица код корисника јавних </w:t>
      </w:r>
      <w:r w:rsidR="0082371A" w:rsidRPr="00024737">
        <w:rPr>
          <w:lang w:val="sr-Cyrl-RS"/>
        </w:rPr>
        <w:t>средстава, утврђује актом Владе</w:t>
      </w:r>
      <w:r w:rsidR="00B913A0" w:rsidRPr="00024737">
        <w:rPr>
          <w:lang w:val="sr-Cyrl-RS"/>
        </w:rPr>
        <w:t xml:space="preserve"> на предлог министарства надлежног за послове државне управе. Имајући </w:t>
      </w:r>
      <w:r w:rsidR="0082371A" w:rsidRPr="00024737">
        <w:rPr>
          <w:lang w:val="sr-Cyrl-RS"/>
        </w:rPr>
        <w:t xml:space="preserve">ово у виду, </w:t>
      </w:r>
      <w:r w:rsidR="00B913A0" w:rsidRPr="00024737">
        <w:rPr>
          <w:lang w:val="sr-Cyrl-RS"/>
        </w:rPr>
        <w:t xml:space="preserve">нејасно је зашто </w:t>
      </w:r>
      <w:proofErr w:type="spellStart"/>
      <w:r w:rsidR="00B913A0" w:rsidRPr="00024737">
        <w:rPr>
          <w:lang w:val="sr-Cyrl-RS"/>
        </w:rPr>
        <w:t>Шифарник</w:t>
      </w:r>
      <w:proofErr w:type="spellEnd"/>
      <w:r w:rsidR="00B913A0" w:rsidRPr="00024737">
        <w:rPr>
          <w:lang w:val="sr-Cyrl-RS"/>
        </w:rPr>
        <w:t xml:space="preserve"> не обухвата сва радна места у складу са </w:t>
      </w:r>
      <w:r w:rsidR="0082371A" w:rsidRPr="00024737">
        <w:rPr>
          <w:lang w:val="sr-Cyrl-RS"/>
        </w:rPr>
        <w:t xml:space="preserve">одредбама члана 3. овог закона </w:t>
      </w:r>
      <w:r w:rsidR="006D5C72" w:rsidRPr="00024737">
        <w:rPr>
          <w:lang w:val="sr-Cyrl-RS"/>
        </w:rPr>
        <w:t>и у складу са својим називом</w:t>
      </w:r>
      <w:r w:rsidR="00B913A0" w:rsidRPr="00024737">
        <w:rPr>
          <w:lang w:val="sr-Cyrl-RS"/>
        </w:rPr>
        <w:t>, као и зашто обухвата звања мимо одредаба овог закона, односно мимо законског овлашћења</w:t>
      </w:r>
      <w:r w:rsidR="00024737">
        <w:rPr>
          <w:lang w:val="sr-Cyrl-RS"/>
        </w:rPr>
        <w:t>. У називу у</w:t>
      </w:r>
      <w:r w:rsidR="006D5C72" w:rsidRPr="00024737">
        <w:rPr>
          <w:lang w:val="sr-Cyrl-RS"/>
        </w:rPr>
        <w:t xml:space="preserve">редбе коришћен је термин </w:t>
      </w:r>
      <w:proofErr w:type="spellStart"/>
      <w:r w:rsidR="006D5C72" w:rsidRPr="00024737">
        <w:rPr>
          <w:lang w:val="sr-Cyrl-RS"/>
        </w:rPr>
        <w:t>Шифарни</w:t>
      </w:r>
      <w:r w:rsidR="00024737" w:rsidRPr="00024737">
        <w:rPr>
          <w:lang w:val="sr-Cyrl-RS"/>
        </w:rPr>
        <w:t>к</w:t>
      </w:r>
      <w:proofErr w:type="spellEnd"/>
      <w:r w:rsidR="006D5C72" w:rsidRPr="00024737">
        <w:rPr>
          <w:lang w:val="sr-Cyrl-RS"/>
        </w:rPr>
        <w:t xml:space="preserve"> радних места, док је у прилогу Предлога уредбе достављен </w:t>
      </w:r>
      <w:proofErr w:type="spellStart"/>
      <w:r w:rsidR="006D5C72" w:rsidRPr="00024737">
        <w:rPr>
          <w:lang w:val="sr-Cyrl-RS"/>
        </w:rPr>
        <w:t>Шифарник</w:t>
      </w:r>
      <w:proofErr w:type="spellEnd"/>
      <w:r w:rsidR="006D5C72" w:rsidRPr="00024737">
        <w:rPr>
          <w:lang w:val="sr-Cyrl-RS"/>
        </w:rPr>
        <w:t xml:space="preserve"> звања и радних места у јавном сектору</w:t>
      </w:r>
      <w:r w:rsidR="00B913A0" w:rsidRPr="00024737">
        <w:rPr>
          <w:lang w:val="sr-Cyrl-RS"/>
        </w:rPr>
        <w:t xml:space="preserve">. </w:t>
      </w:r>
      <w:r w:rsidR="006D5C72" w:rsidRPr="00024737">
        <w:rPr>
          <w:lang w:val="sr-Cyrl-RS"/>
        </w:rPr>
        <w:t xml:space="preserve">Како није реч о терминолошкој неусклађености, потребно је још једном размотрити предмет Предлога уредбе односно </w:t>
      </w:r>
      <w:proofErr w:type="spellStart"/>
      <w:r w:rsidR="006D5C72" w:rsidRPr="00024737">
        <w:rPr>
          <w:lang w:val="sr-Cyrl-RS"/>
        </w:rPr>
        <w:t>Шифарника</w:t>
      </w:r>
      <w:proofErr w:type="spellEnd"/>
      <w:r w:rsidR="006D5C72" w:rsidRPr="00024737">
        <w:rPr>
          <w:lang w:val="sr-Cyrl-RS"/>
        </w:rPr>
        <w:t xml:space="preserve">, који чини њен саставни део. </w:t>
      </w:r>
    </w:p>
    <w:p w:rsidR="00E94370" w:rsidRPr="00024737" w:rsidRDefault="00E94370" w:rsidP="00395C5E">
      <w:pPr>
        <w:pStyle w:val="Normal1"/>
        <w:spacing w:before="0" w:beforeAutospacing="0" w:after="0" w:afterAutospacing="0" w:line="280" w:lineRule="exact"/>
        <w:jc w:val="both"/>
        <w:rPr>
          <w:lang w:val="sr-Cyrl-RS"/>
        </w:rPr>
      </w:pPr>
    </w:p>
    <w:p w:rsidR="00E94370" w:rsidRDefault="00537D54" w:rsidP="00395C5E">
      <w:pPr>
        <w:pStyle w:val="Normal1"/>
        <w:spacing w:before="0" w:beforeAutospacing="0" w:after="0" w:afterAutospacing="0" w:line="280" w:lineRule="exact"/>
        <w:jc w:val="both"/>
        <w:rPr>
          <w:rFonts w:eastAsia="ヒラギノ角ゴ Pro W3"/>
          <w:color w:val="000000"/>
          <w:lang w:val="sr-Cyrl-RS" w:eastAsia="sr-Cyrl-CS"/>
        </w:rPr>
      </w:pPr>
      <w:r w:rsidRPr="00024737">
        <w:rPr>
          <w:b/>
          <w:lang w:val="sr-Cyrl-RS"/>
        </w:rPr>
        <w:t>3.</w:t>
      </w:r>
      <w:r w:rsidRPr="00024737">
        <w:rPr>
          <w:lang w:val="sr-Cyrl-RS"/>
        </w:rPr>
        <w:t xml:space="preserve"> 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У делу </w:t>
      </w:r>
      <w:proofErr w:type="spellStart"/>
      <w:r w:rsidRPr="00024737">
        <w:rPr>
          <w:rFonts w:eastAsia="ヒラギノ角ゴ Pro W3"/>
          <w:color w:val="000000"/>
          <w:lang w:val="sr-Cyrl-RS" w:eastAsia="sr-Cyrl-CS"/>
        </w:rPr>
        <w:t>Шифарника</w:t>
      </w:r>
      <w:proofErr w:type="spellEnd"/>
      <w:r w:rsidRPr="00024737">
        <w:rPr>
          <w:rFonts w:eastAsia="ヒラギノ角ゴ Pro W3"/>
          <w:color w:val="000000"/>
          <w:lang w:val="sr-Cyrl-RS" w:eastAsia="sr-Cyrl-CS"/>
        </w:rPr>
        <w:t xml:space="preserve"> којим су утврђене шифре положаја у другим државним органима, уместо положаја наведена су конкретна радна места која су везана за постојећу организацију. </w:t>
      </w:r>
      <w:r w:rsidR="00024737">
        <w:rPr>
          <w:rFonts w:eastAsia="ヒラギノ角ゴ Pro W3"/>
          <w:color w:val="000000"/>
          <w:lang w:val="sr-Cyrl-RS" w:eastAsia="sr-Cyrl-CS"/>
        </w:rPr>
        <w:t xml:space="preserve">Указујемо да је ово 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посебно спорно са аспекта </w:t>
      </w:r>
      <w:r w:rsidR="00024737">
        <w:rPr>
          <w:rFonts w:eastAsia="ヒラギノ角ゴ Pro W3"/>
          <w:color w:val="000000"/>
          <w:lang w:val="sr-Cyrl-RS" w:eastAsia="sr-Cyrl-CS"/>
        </w:rPr>
        <w:t xml:space="preserve">Повереника за заштиту равноправности, као и других </w:t>
      </w:r>
      <w:r w:rsidRPr="00024737">
        <w:rPr>
          <w:rFonts w:eastAsia="ヒラギノ角ゴ Pro W3"/>
          <w:color w:val="000000"/>
          <w:lang w:val="sr-Cyrl-RS" w:eastAsia="sr-Cyrl-CS"/>
        </w:rPr>
        <w:t>независних државних органа на чију систематизацију сагласност даје Народна скупштина а не Влада</w:t>
      </w:r>
      <w:r w:rsidR="00024737">
        <w:rPr>
          <w:rFonts w:eastAsia="ヒラギノ角ゴ Pro W3"/>
          <w:color w:val="000000"/>
          <w:lang w:val="sr-Cyrl-RS" w:eastAsia="sr-Cyrl-CS"/>
        </w:rPr>
        <w:t xml:space="preserve"> Републике Србије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. </w:t>
      </w:r>
      <w:r w:rsidR="00024737">
        <w:rPr>
          <w:rFonts w:eastAsia="ヒラギノ角ゴ Pro W3"/>
          <w:color w:val="000000"/>
          <w:lang w:val="sr-Cyrl-RS" w:eastAsia="sr-Cyrl-CS"/>
        </w:rPr>
        <w:t xml:space="preserve">Ако </w:t>
      </w:r>
      <w:r w:rsidR="00187675">
        <w:rPr>
          <w:rFonts w:eastAsia="ヒラギノ角ゴ Pro W3"/>
          <w:color w:val="000000"/>
          <w:lang w:val="sr-Cyrl-RS" w:eastAsia="sr-Cyrl-CS"/>
        </w:rPr>
        <w:t xml:space="preserve">би </w:t>
      </w:r>
      <w:r w:rsidRPr="00024737">
        <w:rPr>
          <w:rFonts w:eastAsia="ヒラギノ角ゴ Pro W3"/>
          <w:color w:val="000000"/>
          <w:lang w:val="sr-Cyrl-RS" w:eastAsia="sr-Cyrl-CS"/>
        </w:rPr>
        <w:t>радно место службеника на положају</w:t>
      </w:r>
      <w:r w:rsidR="00024737">
        <w:rPr>
          <w:rFonts w:eastAsia="ヒラギノ角ゴ Pro W3"/>
          <w:color w:val="000000"/>
          <w:lang w:val="sr-Cyrl-RS" w:eastAsia="sr-Cyrl-CS"/>
        </w:rPr>
        <w:t xml:space="preserve"> било на овај начин утврђено </w:t>
      </w:r>
      <w:r w:rsidRPr="00024737">
        <w:rPr>
          <w:rFonts w:eastAsia="ヒラギノ角ゴ Pro W3"/>
          <w:color w:val="000000"/>
          <w:lang w:val="sr-Cyrl-RS" w:eastAsia="sr-Cyrl-CS"/>
        </w:rPr>
        <w:t>уредбом</w:t>
      </w:r>
      <w:r w:rsidR="00024737">
        <w:rPr>
          <w:rFonts w:eastAsia="ヒラギノ角ゴ Pro W3"/>
          <w:color w:val="000000"/>
          <w:lang w:val="sr-Cyrl-RS" w:eastAsia="sr-Cyrl-CS"/>
        </w:rPr>
        <w:t xml:space="preserve">, 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то би </w:t>
      </w:r>
      <w:r w:rsidR="00BF63DF">
        <w:rPr>
          <w:rFonts w:eastAsia="ヒラギノ角ゴ Pro W3"/>
          <w:color w:val="000000"/>
          <w:lang w:val="sr-Cyrl-CS" w:eastAsia="sr-Cyrl-CS"/>
        </w:rPr>
        <w:t xml:space="preserve">значило да Влада мора да мења уредбу након сваке измене правилника о организацији и систематизацији радних места независних државних органа на који Народна скупштина даје сагласност. </w:t>
      </w:r>
      <w:r w:rsidRPr="00024737">
        <w:rPr>
          <w:rFonts w:eastAsia="ヒラギノ角ゴ Pro W3"/>
          <w:color w:val="000000"/>
          <w:lang w:val="sr-Cyrl-RS" w:eastAsia="sr-Cyrl-CS"/>
        </w:rPr>
        <w:t>У том смислу</w:t>
      </w:r>
      <w:r w:rsidR="00024737">
        <w:rPr>
          <w:rFonts w:eastAsia="ヒラギノ角ゴ Pro W3"/>
          <w:color w:val="000000"/>
          <w:lang w:val="sr-Cyrl-RS" w:eastAsia="sr-Cyrl-CS"/>
        </w:rPr>
        <w:t>,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</w:t>
      </w:r>
      <w:r w:rsidR="00024737">
        <w:rPr>
          <w:rFonts w:eastAsia="ヒラギノ角ゴ Pro W3"/>
          <w:color w:val="000000"/>
          <w:lang w:val="sr-Cyrl-RS" w:eastAsia="sr-Cyrl-CS"/>
        </w:rPr>
        <w:t xml:space="preserve">неопходно је да се </w:t>
      </w:r>
      <w:r w:rsidRPr="00024737">
        <w:rPr>
          <w:rFonts w:eastAsia="ヒラギノ角ゴ Pro W3"/>
          <w:color w:val="000000"/>
          <w:lang w:val="sr-Cyrl-RS" w:eastAsia="sr-Cyrl-CS"/>
        </w:rPr>
        <w:t>код Повереника за заштиту равноправности утврд</w:t>
      </w:r>
      <w:r w:rsidR="00024737">
        <w:rPr>
          <w:rFonts w:eastAsia="ヒラギノ角ゴ Pro W3"/>
          <w:color w:val="000000"/>
          <w:lang w:val="sr-Cyrl-RS" w:eastAsia="sr-Cyrl-CS"/>
        </w:rPr>
        <w:t>е само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шифре за положаје </w:t>
      </w:r>
      <w:r w:rsidR="00024737">
        <w:rPr>
          <w:rFonts w:eastAsia="ヒラギノ角ゴ Pro W3"/>
          <w:color w:val="000000"/>
          <w:lang w:val="sr-Cyrl-RS" w:eastAsia="sr-Cyrl-CS"/>
        </w:rPr>
        <w:t>који су утврђени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Одлуком о образовању и раду Стручне службе Повереника за заштиту равноправности и то: Помоћник повереника за заштит</w:t>
      </w:r>
      <w:r w:rsidR="00024737">
        <w:rPr>
          <w:rFonts w:eastAsia="ヒラギノ角ゴ Pro W3"/>
          <w:color w:val="000000"/>
          <w:lang w:val="sr-Cyrl-RS" w:eastAsia="sr-Cyrl-CS"/>
        </w:rPr>
        <w:t xml:space="preserve">у равноправности и Шеф кабинета 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Повереника за заштиту равноправности. </w:t>
      </w:r>
      <w:r w:rsidR="00024737">
        <w:rPr>
          <w:rFonts w:eastAsia="ヒラギノ角ゴ Pro W3"/>
          <w:color w:val="000000"/>
          <w:lang w:val="sr-Cyrl-RS" w:eastAsia="sr-Cyrl-CS"/>
        </w:rPr>
        <w:t xml:space="preserve">Треба указати и да је одредбом </w:t>
      </w:r>
      <w:r w:rsidRPr="00024737">
        <w:rPr>
          <w:rFonts w:eastAsia="ヒラギノ角ゴ Pro W3"/>
          <w:color w:val="000000"/>
          <w:lang w:val="sr-Cyrl-RS" w:eastAsia="sr-Cyrl-CS"/>
        </w:rPr>
        <w:t>члан</w:t>
      </w:r>
      <w:r w:rsidR="00024737">
        <w:rPr>
          <w:rFonts w:eastAsia="ヒラギノ角ゴ Pro W3"/>
          <w:color w:val="000000"/>
          <w:lang w:val="sr-Cyrl-RS" w:eastAsia="sr-Cyrl-CS"/>
        </w:rPr>
        <w:t>а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32. ст. 3. и 4. Закона о забрани </w:t>
      </w:r>
      <w:bookmarkStart w:id="0" w:name="_GoBack"/>
      <w:bookmarkEnd w:id="0"/>
      <w:r w:rsidRPr="00024737">
        <w:rPr>
          <w:rFonts w:eastAsia="ヒラギノ角ゴ Pro W3"/>
          <w:color w:val="000000"/>
          <w:lang w:val="sr-Cyrl-RS" w:eastAsia="sr-Cyrl-CS"/>
        </w:rPr>
        <w:t xml:space="preserve">дискриминације прописано да Повереник за заштиту равноправности има три помоћника, који </w:t>
      </w:r>
      <w:r w:rsidRPr="00024737">
        <w:rPr>
          <w:rFonts w:eastAsia="ヒラギノ角ゴ Pro W3"/>
          <w:color w:val="000000"/>
          <w:lang w:val="sr-Cyrl-RS" w:eastAsia="sr-Cyrl-CS"/>
        </w:rPr>
        <w:lastRenderedPageBreak/>
        <w:t>руководе заокруженом облашћу рада у складу са актом о организаци</w:t>
      </w:r>
      <w:r w:rsidR="00024737">
        <w:rPr>
          <w:rFonts w:eastAsia="ヒラギノ角ゴ Pro W3"/>
          <w:color w:val="000000"/>
          <w:lang w:val="sr-Cyrl-RS" w:eastAsia="sr-Cyrl-CS"/>
        </w:rPr>
        <w:t xml:space="preserve">ји и систематизацији послова, односно, да законом нису успостављени сектори и да је на поверенику да одлучи </w:t>
      </w:r>
      <w:r w:rsidR="00187675">
        <w:rPr>
          <w:rFonts w:eastAsia="ヒラギノ角ゴ Pro W3"/>
          <w:color w:val="000000"/>
          <w:lang w:val="sr-Cyrl-RS" w:eastAsia="sr-Cyrl-CS"/>
        </w:rPr>
        <w:t xml:space="preserve">којим </w:t>
      </w:r>
      <w:r w:rsidR="00024737">
        <w:rPr>
          <w:rFonts w:eastAsia="ヒラギノ角ゴ Pro W3"/>
          <w:color w:val="000000"/>
          <w:lang w:val="sr-Cyrl-RS" w:eastAsia="sr-Cyrl-CS"/>
        </w:rPr>
        <w:t>заокруженим областима рада</w:t>
      </w:r>
      <w:r w:rsidR="00187675" w:rsidRPr="00187675">
        <w:rPr>
          <w:rFonts w:eastAsia="ヒラギノ角ゴ Pro W3"/>
          <w:color w:val="000000"/>
          <w:lang w:val="sr-Cyrl-RS" w:eastAsia="sr-Cyrl-CS"/>
        </w:rPr>
        <w:t xml:space="preserve"> </w:t>
      </w:r>
      <w:r w:rsidR="00187675">
        <w:rPr>
          <w:rFonts w:eastAsia="ヒラギノ角ゴ Pro W3"/>
          <w:color w:val="000000"/>
          <w:lang w:val="sr-Cyrl-RS" w:eastAsia="sr-Cyrl-CS"/>
        </w:rPr>
        <w:t>ће помоћници руководити</w:t>
      </w:r>
      <w:r w:rsidR="00024737">
        <w:rPr>
          <w:rFonts w:eastAsia="ヒラギノ角ゴ Pro W3"/>
          <w:color w:val="000000"/>
          <w:lang w:val="sr-Cyrl-RS" w:eastAsia="sr-Cyrl-CS"/>
        </w:rPr>
        <w:t>.</w:t>
      </w:r>
      <w:r w:rsidR="00BF63DF">
        <w:rPr>
          <w:rFonts w:eastAsia="ヒラギノ角ゴ Pro W3"/>
          <w:color w:val="000000"/>
          <w:lang w:val="sr-Cyrl-RS" w:eastAsia="sr-Cyrl-CS"/>
        </w:rPr>
        <w:t xml:space="preserve"> </w:t>
      </w:r>
    </w:p>
    <w:p w:rsidR="00BF63DF" w:rsidRPr="00024737" w:rsidRDefault="00BF63DF" w:rsidP="00395C5E">
      <w:pPr>
        <w:pStyle w:val="Normal1"/>
        <w:spacing w:before="0" w:beforeAutospacing="0" w:after="0" w:afterAutospacing="0" w:line="280" w:lineRule="exact"/>
        <w:jc w:val="both"/>
        <w:rPr>
          <w:rFonts w:eastAsia="ヒラギノ角ゴ Pro W3"/>
          <w:color w:val="000000"/>
          <w:lang w:val="sr-Cyrl-RS" w:eastAsia="sr-Cyrl-CS"/>
        </w:rPr>
      </w:pPr>
    </w:p>
    <w:p w:rsidR="00537D54" w:rsidRDefault="00537D54" w:rsidP="00395C5E">
      <w:pPr>
        <w:pStyle w:val="Normal1"/>
        <w:spacing w:before="0" w:beforeAutospacing="0" w:after="0" w:afterAutospacing="0" w:line="280" w:lineRule="exact"/>
        <w:jc w:val="both"/>
        <w:rPr>
          <w:rFonts w:eastAsia="ヒラギノ角ゴ Pro W3"/>
          <w:color w:val="000000"/>
          <w:lang w:val="sr-Cyrl-RS" w:eastAsia="sr-Cyrl-CS"/>
        </w:rPr>
      </w:pPr>
      <w:r w:rsidRPr="00024737">
        <w:rPr>
          <w:rFonts w:eastAsia="ヒラギノ角ゴ Pro W3"/>
          <w:b/>
          <w:color w:val="000000"/>
          <w:lang w:val="sr-Cyrl-RS" w:eastAsia="sr-Cyrl-CS"/>
        </w:rPr>
        <w:t>4.</w:t>
      </w:r>
      <w:r w:rsidRPr="00024737">
        <w:rPr>
          <w:rFonts w:eastAsia="ヒラギノ角ゴ Pro W3"/>
          <w:color w:val="000000"/>
          <w:lang w:val="sr-Cyrl-RS" w:eastAsia="sr-Cyrl-CS"/>
        </w:rPr>
        <w:t xml:space="preserve"> </w:t>
      </w:r>
      <w:r w:rsidR="00024737">
        <w:rPr>
          <w:rFonts w:eastAsia="ヒラギノ角ゴ Pro W3"/>
          <w:color w:val="000000"/>
          <w:lang w:val="sr-Cyrl-RS" w:eastAsia="sr-Cyrl-CS"/>
        </w:rPr>
        <w:t xml:space="preserve">На крају, указујемо и да је </w:t>
      </w:r>
      <w:r w:rsidR="009D6214" w:rsidRPr="00024737">
        <w:rPr>
          <w:rFonts w:eastAsia="ヒラギノ角ゴ Pro W3"/>
          <w:color w:val="000000"/>
          <w:lang w:val="sr-Cyrl-RS" w:eastAsia="sr-Cyrl-CS"/>
        </w:rPr>
        <w:t xml:space="preserve">потребно терминолошко усклађивање </w:t>
      </w:r>
      <w:r w:rsidR="00024737">
        <w:rPr>
          <w:rFonts w:eastAsia="ヒラギノ角ゴ Pro W3"/>
          <w:color w:val="000000"/>
          <w:lang w:val="sr-Cyrl-RS" w:eastAsia="sr-Cyrl-CS"/>
        </w:rPr>
        <w:t>Предлога уредбе са з</w:t>
      </w:r>
      <w:r w:rsidR="009D6214" w:rsidRPr="00024737">
        <w:rPr>
          <w:rFonts w:eastAsia="ヒラギノ角ゴ Pro W3"/>
          <w:color w:val="000000"/>
          <w:lang w:val="sr-Cyrl-RS" w:eastAsia="sr-Cyrl-CS"/>
        </w:rPr>
        <w:t>аконом на основу којег се уредб</w:t>
      </w:r>
      <w:r w:rsidR="00024737">
        <w:rPr>
          <w:rFonts w:eastAsia="ヒラギノ角ゴ Pro W3"/>
          <w:color w:val="000000"/>
          <w:lang w:val="sr-Cyrl-RS" w:eastAsia="sr-Cyrl-CS"/>
        </w:rPr>
        <w:t>а доноси</w:t>
      </w:r>
      <w:r w:rsidR="009D6214" w:rsidRPr="00024737">
        <w:rPr>
          <w:rFonts w:eastAsia="ヒラギノ角ゴ Pro W3"/>
          <w:color w:val="000000"/>
          <w:lang w:val="sr-Cyrl-RS" w:eastAsia="sr-Cyrl-CS"/>
        </w:rPr>
        <w:t>, како би се избегле нејасноће и обезбедила правна сигурност у правном систему Републике Србије.</w:t>
      </w:r>
    </w:p>
    <w:p w:rsidR="00024737" w:rsidRPr="00024737" w:rsidRDefault="00024737" w:rsidP="00395C5E">
      <w:pPr>
        <w:pStyle w:val="Normal1"/>
        <w:spacing w:before="0" w:beforeAutospacing="0" w:after="0" w:afterAutospacing="0" w:line="280" w:lineRule="exact"/>
        <w:jc w:val="both"/>
        <w:rPr>
          <w:rFonts w:eastAsia="ヒラギノ角ゴ Pro W3"/>
          <w:color w:val="000000"/>
          <w:lang w:val="sr-Cyrl-RS" w:eastAsia="sr-Cyrl-CS"/>
        </w:rPr>
      </w:pPr>
    </w:p>
    <w:p w:rsidR="00E94370" w:rsidRPr="00024737" w:rsidRDefault="00E94370" w:rsidP="00395C5E">
      <w:pPr>
        <w:pStyle w:val="Normal1"/>
        <w:spacing w:before="0" w:beforeAutospacing="0" w:after="0" w:afterAutospacing="0" w:line="280" w:lineRule="exact"/>
        <w:jc w:val="both"/>
        <w:rPr>
          <w:lang w:val="sr-Cyrl-RS"/>
        </w:rPr>
      </w:pPr>
    </w:p>
    <w:p w:rsidR="007D4E6A" w:rsidRPr="00024737" w:rsidRDefault="007D4E6A" w:rsidP="00395C5E">
      <w:pPr>
        <w:pStyle w:val="Body"/>
        <w:tabs>
          <w:tab w:val="left" w:pos="9072"/>
        </w:tabs>
        <w:spacing w:after="240" w:line="280" w:lineRule="exact"/>
        <w:jc w:val="both"/>
        <w:rPr>
          <w:rFonts w:ascii="Arial" w:eastAsia="ヒラギノ角ゴ Pro W3" w:hAnsi="Arial" w:cs="Arial"/>
          <w:sz w:val="22"/>
          <w:szCs w:val="22"/>
          <w:lang w:val="sr-Cyrl-RS"/>
        </w:rPr>
      </w:pPr>
      <w:r w:rsidRPr="00024737">
        <w:rPr>
          <w:rFonts w:ascii="Arial" w:hAnsi="Arial" w:cs="Arial"/>
          <w:sz w:val="22"/>
          <w:szCs w:val="22"/>
          <w:lang w:val="sr-Cyrl-RS"/>
        </w:rPr>
        <w:t>С поштовањем,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2490"/>
        <w:gridCol w:w="4097"/>
      </w:tblGrid>
      <w:tr w:rsidR="007D4E6A" w:rsidRPr="00024737" w:rsidTr="007D4E6A">
        <w:trPr>
          <w:trHeight w:val="310"/>
        </w:trPr>
        <w:tc>
          <w:tcPr>
            <w:tcW w:w="3339" w:type="dxa"/>
            <w:vMerge w:val="restart"/>
          </w:tcPr>
          <w:p w:rsidR="007D4E6A" w:rsidRPr="00024737" w:rsidRDefault="007D4E6A" w:rsidP="00250112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536" w:type="dxa"/>
            <w:vMerge w:val="restart"/>
          </w:tcPr>
          <w:p w:rsidR="007D4E6A" w:rsidRPr="00024737" w:rsidRDefault="007D4E6A" w:rsidP="00250112">
            <w:pPr>
              <w:pStyle w:val="Body"/>
              <w:tabs>
                <w:tab w:val="left" w:pos="1134"/>
              </w:tabs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</w:tcPr>
          <w:p w:rsidR="007D4E6A" w:rsidRPr="00024737" w:rsidRDefault="007D4E6A" w:rsidP="00250112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RS"/>
              </w:rPr>
            </w:pPr>
            <w:r w:rsidRPr="00024737">
              <w:rPr>
                <w:rFonts w:ascii="Arial" w:hAnsi="Arial" w:cs="Arial"/>
                <w:b/>
                <w:color w:val="auto"/>
                <w:szCs w:val="24"/>
                <w:lang w:val="sr-Cyrl-RS"/>
              </w:rPr>
              <w:t>ПОВЕРЕНИЦА ЗА ЗАШТИТУ РАВНОПРАВНОСТИ</w:t>
            </w:r>
          </w:p>
          <w:p w:rsidR="007D4E6A" w:rsidRPr="00024737" w:rsidRDefault="007D4E6A" w:rsidP="00250112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</w:tr>
      <w:tr w:rsidR="007D4E6A" w:rsidRPr="00024737" w:rsidTr="007D4E6A">
        <w:trPr>
          <w:trHeight w:val="309"/>
        </w:trPr>
        <w:tc>
          <w:tcPr>
            <w:tcW w:w="0" w:type="auto"/>
            <w:vMerge/>
            <w:vAlign w:val="center"/>
            <w:hideMark/>
          </w:tcPr>
          <w:p w:rsidR="007D4E6A" w:rsidRPr="00024737" w:rsidRDefault="007D4E6A" w:rsidP="00250112">
            <w:pPr>
              <w:spacing w:after="0" w:line="240" w:lineRule="auto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E6A" w:rsidRPr="00024737" w:rsidRDefault="007D4E6A" w:rsidP="00250112">
            <w:pPr>
              <w:spacing w:after="0" w:line="240" w:lineRule="auto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127" w:type="dxa"/>
            <w:vAlign w:val="center"/>
            <w:hideMark/>
          </w:tcPr>
          <w:p w:rsidR="007D4E6A" w:rsidRPr="00024737" w:rsidRDefault="007D4E6A" w:rsidP="00250112">
            <w:pPr>
              <w:pStyle w:val="Body"/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auto"/>
                <w:szCs w:val="24"/>
                <w:lang w:val="sr-Cyrl-RS"/>
              </w:rPr>
            </w:pPr>
            <w:r w:rsidRPr="00024737">
              <w:rPr>
                <w:rFonts w:ascii="Arial" w:hAnsi="Arial" w:cs="Arial"/>
                <w:b/>
                <w:color w:val="auto"/>
                <w:szCs w:val="24"/>
                <w:lang w:val="sr-Cyrl-RS"/>
              </w:rPr>
              <w:t>Бранкица Јанковић</w:t>
            </w:r>
          </w:p>
        </w:tc>
      </w:tr>
    </w:tbl>
    <w:p w:rsidR="007D4E6A" w:rsidRPr="00024737" w:rsidRDefault="007D4E6A" w:rsidP="007D4E6A">
      <w:pPr>
        <w:rPr>
          <w:rFonts w:eastAsia="Calibri"/>
          <w:sz w:val="2"/>
          <w:szCs w:val="2"/>
          <w:lang w:val="sr-Cyrl-RS"/>
        </w:rPr>
      </w:pPr>
    </w:p>
    <w:sectPr w:rsidR="007D4E6A" w:rsidRPr="00024737" w:rsidSect="00E94370">
      <w:footerReference w:type="default" r:id="rId10"/>
      <w:footerReference w:type="first" r:id="rId11"/>
      <w:pgSz w:w="11906" w:h="16838"/>
      <w:pgMar w:top="1304" w:right="1021" w:bottom="709" w:left="102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8F" w:rsidRDefault="004C478F" w:rsidP="009F1163">
      <w:pPr>
        <w:spacing w:after="0" w:line="240" w:lineRule="auto"/>
      </w:pPr>
      <w:r>
        <w:separator/>
      </w:r>
    </w:p>
  </w:endnote>
  <w:endnote w:type="continuationSeparator" w:id="0">
    <w:p w:rsidR="004C478F" w:rsidRDefault="004C478F" w:rsidP="009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43" w:rsidRDefault="007F021C">
    <w:pPr>
      <w:pStyle w:val="Footer"/>
    </w:pPr>
    <w:r>
      <w:rPr>
        <w:noProof/>
        <w:lang w:val="sr-Latn-CS" w:eastAsia="sr-Latn-CS"/>
      </w:rPr>
      <mc:AlternateContent>
        <mc:Choice Requires="wps">
          <w:drawing>
            <wp:anchor distT="152400" distB="152400" distL="152400" distR="152400" simplePos="0" relativeHeight="251656192" behindDoc="0" locked="0" layoutInCell="1" allowOverlap="1" wp14:anchorId="2F501FD0" wp14:editId="2FE12B68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9F1163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63DF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21C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01FD0" id="Rectangle 1" o:spid="_x0000_s1026" style="position:absolute;margin-left:56pt;margin-top:776.25pt;width:485.5pt;height:4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" filled="f" stroked="f" strokeweight="1pt">
              <v:path arrowok="t"/>
              <v:textbox inset="0,0,0,0">
                <w:txbxContent>
                  <w:p w:rsidR="006E0B43" w:rsidRDefault="006E0B43" w:rsidP="009F1163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9F1163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F63DF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721C4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sr-Latn-CS" w:eastAsia="sr-Latn-CS"/>
      </w:rPr>
      <w:drawing>
        <wp:anchor distT="0" distB="0" distL="114300" distR="114300" simplePos="0" relativeHeight="251657216" behindDoc="0" locked="0" layoutInCell="1" allowOverlap="1" wp14:anchorId="6C4B1224" wp14:editId="1703D55C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0" t="0" r="6350" b="9525"/>
          <wp:wrapNone/>
          <wp:docPr id="2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43" w:rsidRDefault="007F021C">
    <w:pPr>
      <w:pStyle w:val="Footer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091CDBA7" wp14:editId="3323561B">
          <wp:simplePos x="0" y="0"/>
          <wp:positionH relativeFrom="page">
            <wp:posOffset>457835</wp:posOffset>
          </wp:positionH>
          <wp:positionV relativeFrom="page">
            <wp:posOffset>9457690</wp:posOffset>
          </wp:positionV>
          <wp:extent cx="6642100" cy="52387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CS" w:eastAsia="sr-Latn-C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6DAB2BBD" wp14:editId="5AB9DB02">
              <wp:simplePos x="0" y="0"/>
              <wp:positionH relativeFrom="page">
                <wp:posOffset>711835</wp:posOffset>
              </wp:positionH>
              <wp:positionV relativeFrom="page">
                <wp:posOffset>9857740</wp:posOffset>
              </wp:positionV>
              <wp:extent cx="6165850" cy="571500"/>
              <wp:effectExtent l="0" t="0" r="0" b="63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B43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Повереник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заштиту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равноправности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Tел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Факс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+381 11 243 81 84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www.ravnopravnost.gov.rs</w:t>
                            </w:r>
                          </w:hyperlink>
                        </w:p>
                        <w:p w:rsidR="006E0B43" w:rsidRPr="00721C4C" w:rsidRDefault="006E0B43" w:rsidP="00721C4C">
                          <w:pPr>
                            <w:pStyle w:val="FreeFormAA"/>
                            <w:spacing w:line="288" w:lineRule="auto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proofErr w:type="spellStart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Београдска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70, 11000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Београд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Србија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          </w:t>
                          </w:r>
                          <w:hyperlink r:id="rId3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poverenik@ravnopravnost.gov.rs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B2BBD" id="Rectangle 4" o:spid="_x0000_s1027" style="position:absolute;margin-left:56.05pt;margin-top:776.2pt;width:485.5pt;height:4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" filled="f" stroked="f" strokeweight="1pt">
              <v:path arrowok="t"/>
              <v:textbox inset="0,0,0,0">
                <w:txbxContent>
                  <w:p w:rsidR="006E0B43" w:rsidRDefault="006E0B43" w:rsidP="00721C4C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Повереник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заштиту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равноправности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Tел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Факс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+381 11 243 81 84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ab/>
                      <w:t xml:space="preserve">    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www.ravnopravnost.gov.rs</w:t>
                      </w:r>
                    </w:hyperlink>
                  </w:p>
                  <w:p w:rsidR="006E0B43" w:rsidRPr="00721C4C" w:rsidRDefault="006E0B43" w:rsidP="00721C4C">
                    <w:pPr>
                      <w:pStyle w:val="FreeFormAA"/>
                      <w:spacing w:line="288" w:lineRule="auto"/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Адреса</w:t>
                    </w:r>
                    <w:proofErr w:type="spellEnd"/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Београдска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70, 11000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Београд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Република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6"/>
                      </w:rPr>
                      <w:t>Србија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          </w:t>
                    </w:r>
                    <w:hyperlink r:id="rId5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poverenik@ravnopravnost.gov.rs</w:t>
                      </w:r>
                    </w:hyperlink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8F" w:rsidRDefault="004C478F" w:rsidP="009F1163">
      <w:pPr>
        <w:spacing w:after="0" w:line="240" w:lineRule="auto"/>
      </w:pPr>
      <w:r>
        <w:separator/>
      </w:r>
    </w:p>
  </w:footnote>
  <w:footnote w:type="continuationSeparator" w:id="0">
    <w:p w:rsidR="004C478F" w:rsidRDefault="004C478F" w:rsidP="009F1163">
      <w:pPr>
        <w:spacing w:after="0" w:line="240" w:lineRule="auto"/>
      </w:pPr>
      <w:r>
        <w:continuationSeparator/>
      </w:r>
    </w:p>
  </w:footnote>
  <w:footnote w:id="1">
    <w:p w:rsidR="00395C5E" w:rsidRPr="00395C5E" w:rsidRDefault="00395C5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FA1A7F">
        <w:rPr>
          <w:rFonts w:ascii="Arial" w:hAnsi="Arial" w:cs="Arial"/>
          <w:sz w:val="16"/>
          <w:szCs w:val="16"/>
          <w:lang w:val="sr-Cyrl-RS"/>
        </w:rPr>
        <w:t>Закон о забрани дискриминације („Службени гласник РС”, број 22/09, члан 1. и члан 33. тачка 7)</w:t>
      </w:r>
    </w:p>
  </w:footnote>
  <w:footnote w:id="2">
    <w:p w:rsidR="00B913A0" w:rsidRPr="00FA1A7F" w:rsidRDefault="00B913A0">
      <w:pPr>
        <w:pStyle w:val="FootnoteText"/>
        <w:rPr>
          <w:rFonts w:ascii="Arial" w:hAnsi="Arial" w:cs="Arial"/>
          <w:sz w:val="16"/>
          <w:szCs w:val="16"/>
          <w:lang w:val="sr-Cyrl-RS"/>
        </w:rPr>
      </w:pPr>
      <w:r w:rsidRPr="00FA1A7F">
        <w:rPr>
          <w:rStyle w:val="FootnoteReference"/>
          <w:rFonts w:ascii="Arial" w:hAnsi="Arial" w:cs="Arial"/>
          <w:sz w:val="16"/>
          <w:szCs w:val="16"/>
        </w:rPr>
        <w:footnoteRef/>
      </w:r>
      <w:r w:rsidRPr="00FA1A7F">
        <w:rPr>
          <w:rFonts w:ascii="Arial" w:hAnsi="Arial" w:cs="Arial"/>
          <w:sz w:val="16"/>
          <w:szCs w:val="16"/>
        </w:rPr>
        <w:t xml:space="preserve"> </w:t>
      </w:r>
      <w:r w:rsidRPr="00FA1A7F">
        <w:rPr>
          <w:rFonts w:ascii="Arial" w:eastAsia="ヒラギノ角ゴ Pro W3" w:hAnsi="Arial" w:cs="Arial"/>
          <w:color w:val="000000"/>
          <w:sz w:val="16"/>
          <w:szCs w:val="16"/>
          <w:lang w:val="sr-Cyrl-RS" w:eastAsia="sr-Cyrl-CS"/>
        </w:rPr>
        <w:t>Закону о регистру запослених, изабраних, именованих, постављених и ангажованих лица код корисника јавних средстава („Службени гласник РС”, бр. 68/15 и 79/15, члан 6. став 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EE19CE"/>
    <w:lvl w:ilvl="0">
      <w:numFmt w:val="bullet"/>
      <w:lvlText w:val="*"/>
      <w:lvlJc w:val="left"/>
    </w:lvl>
  </w:abstractNum>
  <w:abstractNum w:abstractNumId="1" w15:restartNumberingAfterBreak="0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0C17"/>
    <w:multiLevelType w:val="multilevel"/>
    <w:tmpl w:val="E272D5E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 w15:restartNumberingAfterBreak="0">
    <w:nsid w:val="205A5C02"/>
    <w:multiLevelType w:val="multilevel"/>
    <w:tmpl w:val="DF52DE7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 w15:restartNumberingAfterBreak="0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94B48"/>
    <w:multiLevelType w:val="multilevel"/>
    <w:tmpl w:val="937EC3B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88F69B5"/>
    <w:multiLevelType w:val="hybridMultilevel"/>
    <w:tmpl w:val="AE1E5452"/>
    <w:lvl w:ilvl="0" w:tplc="9684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4F3D"/>
    <w:multiLevelType w:val="hybridMultilevel"/>
    <w:tmpl w:val="3E3AAB64"/>
    <w:lvl w:ilvl="0" w:tplc="B670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63"/>
    <w:rsid w:val="00000738"/>
    <w:rsid w:val="00001B61"/>
    <w:rsid w:val="000110AD"/>
    <w:rsid w:val="00011DB1"/>
    <w:rsid w:val="00017086"/>
    <w:rsid w:val="00024737"/>
    <w:rsid w:val="000319C0"/>
    <w:rsid w:val="00032E0C"/>
    <w:rsid w:val="000371CE"/>
    <w:rsid w:val="00037C67"/>
    <w:rsid w:val="00037E98"/>
    <w:rsid w:val="000425B9"/>
    <w:rsid w:val="000477C5"/>
    <w:rsid w:val="0005013B"/>
    <w:rsid w:val="000506C4"/>
    <w:rsid w:val="00054C59"/>
    <w:rsid w:val="000636E1"/>
    <w:rsid w:val="00063911"/>
    <w:rsid w:val="000777F7"/>
    <w:rsid w:val="00077B43"/>
    <w:rsid w:val="00081109"/>
    <w:rsid w:val="00083422"/>
    <w:rsid w:val="00083FC8"/>
    <w:rsid w:val="000867BE"/>
    <w:rsid w:val="000912CB"/>
    <w:rsid w:val="00093C47"/>
    <w:rsid w:val="00094244"/>
    <w:rsid w:val="000A5134"/>
    <w:rsid w:val="000A5986"/>
    <w:rsid w:val="000A5D43"/>
    <w:rsid w:val="000B063A"/>
    <w:rsid w:val="000B1ABA"/>
    <w:rsid w:val="000B5B20"/>
    <w:rsid w:val="000B71C9"/>
    <w:rsid w:val="000C2ABA"/>
    <w:rsid w:val="000C2D7A"/>
    <w:rsid w:val="000C6D0E"/>
    <w:rsid w:val="000D1C15"/>
    <w:rsid w:val="000D464B"/>
    <w:rsid w:val="000E6843"/>
    <w:rsid w:val="000F43CA"/>
    <w:rsid w:val="000F5D80"/>
    <w:rsid w:val="00111835"/>
    <w:rsid w:val="00111A72"/>
    <w:rsid w:val="00115D2F"/>
    <w:rsid w:val="00124868"/>
    <w:rsid w:val="00136DEE"/>
    <w:rsid w:val="00137C58"/>
    <w:rsid w:val="00142D1D"/>
    <w:rsid w:val="00145457"/>
    <w:rsid w:val="00146FE5"/>
    <w:rsid w:val="00182A71"/>
    <w:rsid w:val="00187675"/>
    <w:rsid w:val="001A2159"/>
    <w:rsid w:val="001A37FA"/>
    <w:rsid w:val="001B0D6D"/>
    <w:rsid w:val="001B1822"/>
    <w:rsid w:val="001B2EB1"/>
    <w:rsid w:val="001B7ADC"/>
    <w:rsid w:val="001C1F06"/>
    <w:rsid w:val="001D1DCF"/>
    <w:rsid w:val="001F38C1"/>
    <w:rsid w:val="00203206"/>
    <w:rsid w:val="002123CF"/>
    <w:rsid w:val="00213176"/>
    <w:rsid w:val="00221BD6"/>
    <w:rsid w:val="00232E5C"/>
    <w:rsid w:val="00237C8E"/>
    <w:rsid w:val="00241BB9"/>
    <w:rsid w:val="00243344"/>
    <w:rsid w:val="00246A07"/>
    <w:rsid w:val="002569C3"/>
    <w:rsid w:val="00263D28"/>
    <w:rsid w:val="002649AB"/>
    <w:rsid w:val="002662E2"/>
    <w:rsid w:val="00271CDE"/>
    <w:rsid w:val="002745EC"/>
    <w:rsid w:val="00281959"/>
    <w:rsid w:val="00284513"/>
    <w:rsid w:val="0028602B"/>
    <w:rsid w:val="002952F1"/>
    <w:rsid w:val="0029681A"/>
    <w:rsid w:val="00297C66"/>
    <w:rsid w:val="002A350C"/>
    <w:rsid w:val="002B186E"/>
    <w:rsid w:val="002C3A30"/>
    <w:rsid w:val="002D168A"/>
    <w:rsid w:val="002D17F7"/>
    <w:rsid w:val="002E4A4B"/>
    <w:rsid w:val="002F069A"/>
    <w:rsid w:val="002F7195"/>
    <w:rsid w:val="0030546F"/>
    <w:rsid w:val="00317920"/>
    <w:rsid w:val="003227C5"/>
    <w:rsid w:val="0032476C"/>
    <w:rsid w:val="003268CA"/>
    <w:rsid w:val="00326BAF"/>
    <w:rsid w:val="003338BB"/>
    <w:rsid w:val="0033419A"/>
    <w:rsid w:val="00335FFB"/>
    <w:rsid w:val="003423A6"/>
    <w:rsid w:val="0034303D"/>
    <w:rsid w:val="003565EB"/>
    <w:rsid w:val="00360E14"/>
    <w:rsid w:val="003667DA"/>
    <w:rsid w:val="00381E91"/>
    <w:rsid w:val="00391E3A"/>
    <w:rsid w:val="003939C1"/>
    <w:rsid w:val="00395C5E"/>
    <w:rsid w:val="003A7BEB"/>
    <w:rsid w:val="003B45A1"/>
    <w:rsid w:val="003B4D32"/>
    <w:rsid w:val="003B7F55"/>
    <w:rsid w:val="003C00E6"/>
    <w:rsid w:val="003C4AF4"/>
    <w:rsid w:val="003D5F5E"/>
    <w:rsid w:val="003D70DC"/>
    <w:rsid w:val="003E090D"/>
    <w:rsid w:val="003E12C9"/>
    <w:rsid w:val="003E2E1B"/>
    <w:rsid w:val="00402FDB"/>
    <w:rsid w:val="004070F3"/>
    <w:rsid w:val="00410F37"/>
    <w:rsid w:val="00413F0E"/>
    <w:rsid w:val="00413F1A"/>
    <w:rsid w:val="004234F6"/>
    <w:rsid w:val="00430E49"/>
    <w:rsid w:val="00432A88"/>
    <w:rsid w:val="004344D1"/>
    <w:rsid w:val="004431A6"/>
    <w:rsid w:val="00443ADC"/>
    <w:rsid w:val="00446735"/>
    <w:rsid w:val="0045188B"/>
    <w:rsid w:val="00452974"/>
    <w:rsid w:val="004617BE"/>
    <w:rsid w:val="00462E1A"/>
    <w:rsid w:val="004673B1"/>
    <w:rsid w:val="00473765"/>
    <w:rsid w:val="00476CE0"/>
    <w:rsid w:val="004814ED"/>
    <w:rsid w:val="0048746D"/>
    <w:rsid w:val="004A5742"/>
    <w:rsid w:val="004A692A"/>
    <w:rsid w:val="004A7A85"/>
    <w:rsid w:val="004A7F5A"/>
    <w:rsid w:val="004B2C2B"/>
    <w:rsid w:val="004B5F1B"/>
    <w:rsid w:val="004B77C5"/>
    <w:rsid w:val="004B7CA1"/>
    <w:rsid w:val="004C1BE9"/>
    <w:rsid w:val="004C478F"/>
    <w:rsid w:val="004C5021"/>
    <w:rsid w:val="004D7D8D"/>
    <w:rsid w:val="004F37FF"/>
    <w:rsid w:val="004F7A56"/>
    <w:rsid w:val="00517961"/>
    <w:rsid w:val="005214E5"/>
    <w:rsid w:val="00536CF2"/>
    <w:rsid w:val="00537D54"/>
    <w:rsid w:val="00541E0D"/>
    <w:rsid w:val="005505EE"/>
    <w:rsid w:val="00563AFC"/>
    <w:rsid w:val="00576120"/>
    <w:rsid w:val="00586024"/>
    <w:rsid w:val="0059153D"/>
    <w:rsid w:val="00595282"/>
    <w:rsid w:val="005A09AC"/>
    <w:rsid w:val="005A5332"/>
    <w:rsid w:val="005B1C61"/>
    <w:rsid w:val="005B3E2A"/>
    <w:rsid w:val="005B752B"/>
    <w:rsid w:val="005D6A11"/>
    <w:rsid w:val="005E4390"/>
    <w:rsid w:val="005F0A4F"/>
    <w:rsid w:val="005F5F97"/>
    <w:rsid w:val="006054F7"/>
    <w:rsid w:val="0061247A"/>
    <w:rsid w:val="006218B2"/>
    <w:rsid w:val="00622B8E"/>
    <w:rsid w:val="00624D35"/>
    <w:rsid w:val="00625DFD"/>
    <w:rsid w:val="00627331"/>
    <w:rsid w:val="00630207"/>
    <w:rsid w:val="00630EA8"/>
    <w:rsid w:val="00631DC7"/>
    <w:rsid w:val="00632426"/>
    <w:rsid w:val="006369D5"/>
    <w:rsid w:val="00641FD5"/>
    <w:rsid w:val="00650D65"/>
    <w:rsid w:val="006602E3"/>
    <w:rsid w:val="00666C54"/>
    <w:rsid w:val="00675ACC"/>
    <w:rsid w:val="00684588"/>
    <w:rsid w:val="00692C0E"/>
    <w:rsid w:val="00694C38"/>
    <w:rsid w:val="006961BC"/>
    <w:rsid w:val="006A7F13"/>
    <w:rsid w:val="006B23DF"/>
    <w:rsid w:val="006B350C"/>
    <w:rsid w:val="006B410F"/>
    <w:rsid w:val="006B427B"/>
    <w:rsid w:val="006B4B5C"/>
    <w:rsid w:val="006B7A5D"/>
    <w:rsid w:val="006C0F96"/>
    <w:rsid w:val="006C1D43"/>
    <w:rsid w:val="006C5B45"/>
    <w:rsid w:val="006C5F49"/>
    <w:rsid w:val="006C65A8"/>
    <w:rsid w:val="006C6C49"/>
    <w:rsid w:val="006D5C72"/>
    <w:rsid w:val="006D6F36"/>
    <w:rsid w:val="006E0710"/>
    <w:rsid w:val="006E0B43"/>
    <w:rsid w:val="006F422F"/>
    <w:rsid w:val="006F4F9F"/>
    <w:rsid w:val="007055D1"/>
    <w:rsid w:val="007078A1"/>
    <w:rsid w:val="00712539"/>
    <w:rsid w:val="007145DE"/>
    <w:rsid w:val="007159A5"/>
    <w:rsid w:val="00716C29"/>
    <w:rsid w:val="00720C74"/>
    <w:rsid w:val="00721C4C"/>
    <w:rsid w:val="00723487"/>
    <w:rsid w:val="00740F1C"/>
    <w:rsid w:val="007465E1"/>
    <w:rsid w:val="00747932"/>
    <w:rsid w:val="00753EBB"/>
    <w:rsid w:val="00755381"/>
    <w:rsid w:val="00764918"/>
    <w:rsid w:val="00767A21"/>
    <w:rsid w:val="00780FD1"/>
    <w:rsid w:val="00783996"/>
    <w:rsid w:val="007A0E3C"/>
    <w:rsid w:val="007A4B66"/>
    <w:rsid w:val="007B6FC6"/>
    <w:rsid w:val="007C5A47"/>
    <w:rsid w:val="007C74F4"/>
    <w:rsid w:val="007C7BD7"/>
    <w:rsid w:val="007D4E6A"/>
    <w:rsid w:val="007D6E4F"/>
    <w:rsid w:val="007E2384"/>
    <w:rsid w:val="007E3D5C"/>
    <w:rsid w:val="007F021C"/>
    <w:rsid w:val="007F0AD7"/>
    <w:rsid w:val="007F1259"/>
    <w:rsid w:val="00807DCC"/>
    <w:rsid w:val="008117E0"/>
    <w:rsid w:val="00812B48"/>
    <w:rsid w:val="00820FCB"/>
    <w:rsid w:val="0082371A"/>
    <w:rsid w:val="00825310"/>
    <w:rsid w:val="00830E53"/>
    <w:rsid w:val="00833DF7"/>
    <w:rsid w:val="00843BC0"/>
    <w:rsid w:val="00845922"/>
    <w:rsid w:val="00845ACB"/>
    <w:rsid w:val="00855AE5"/>
    <w:rsid w:val="00861A29"/>
    <w:rsid w:val="0086518B"/>
    <w:rsid w:val="00870CF6"/>
    <w:rsid w:val="008803D1"/>
    <w:rsid w:val="00882B51"/>
    <w:rsid w:val="0089273E"/>
    <w:rsid w:val="00896EE1"/>
    <w:rsid w:val="008A0B06"/>
    <w:rsid w:val="008A2813"/>
    <w:rsid w:val="008A29E6"/>
    <w:rsid w:val="008A34B7"/>
    <w:rsid w:val="008B1179"/>
    <w:rsid w:val="008C07DD"/>
    <w:rsid w:val="008C5095"/>
    <w:rsid w:val="008D279A"/>
    <w:rsid w:val="008D53BF"/>
    <w:rsid w:val="008E2B39"/>
    <w:rsid w:val="008E2B94"/>
    <w:rsid w:val="008E4F30"/>
    <w:rsid w:val="009053BD"/>
    <w:rsid w:val="00907A1D"/>
    <w:rsid w:val="0091327C"/>
    <w:rsid w:val="00921809"/>
    <w:rsid w:val="009236D5"/>
    <w:rsid w:val="00924D7A"/>
    <w:rsid w:val="0092597B"/>
    <w:rsid w:val="0093147C"/>
    <w:rsid w:val="00942E43"/>
    <w:rsid w:val="00942F1E"/>
    <w:rsid w:val="00955276"/>
    <w:rsid w:val="00974A55"/>
    <w:rsid w:val="009770A8"/>
    <w:rsid w:val="00984BBC"/>
    <w:rsid w:val="00986A4A"/>
    <w:rsid w:val="0099234D"/>
    <w:rsid w:val="00993179"/>
    <w:rsid w:val="009A50C7"/>
    <w:rsid w:val="009B0648"/>
    <w:rsid w:val="009B3903"/>
    <w:rsid w:val="009B3A46"/>
    <w:rsid w:val="009B4778"/>
    <w:rsid w:val="009C01C5"/>
    <w:rsid w:val="009C37D9"/>
    <w:rsid w:val="009C5F4D"/>
    <w:rsid w:val="009D6214"/>
    <w:rsid w:val="009E1E01"/>
    <w:rsid w:val="009E280B"/>
    <w:rsid w:val="009E28E0"/>
    <w:rsid w:val="009E621C"/>
    <w:rsid w:val="009F1163"/>
    <w:rsid w:val="009F17D3"/>
    <w:rsid w:val="009F3B5C"/>
    <w:rsid w:val="00A03262"/>
    <w:rsid w:val="00A05688"/>
    <w:rsid w:val="00A05C28"/>
    <w:rsid w:val="00A11D09"/>
    <w:rsid w:val="00A20527"/>
    <w:rsid w:val="00A23270"/>
    <w:rsid w:val="00A35537"/>
    <w:rsid w:val="00A42663"/>
    <w:rsid w:val="00A43EA4"/>
    <w:rsid w:val="00A4651D"/>
    <w:rsid w:val="00A54DC3"/>
    <w:rsid w:val="00A600D8"/>
    <w:rsid w:val="00A62453"/>
    <w:rsid w:val="00A7067F"/>
    <w:rsid w:val="00A754CF"/>
    <w:rsid w:val="00A80F18"/>
    <w:rsid w:val="00A875E5"/>
    <w:rsid w:val="00A877A0"/>
    <w:rsid w:val="00AA25DA"/>
    <w:rsid w:val="00AA4B29"/>
    <w:rsid w:val="00AB02EC"/>
    <w:rsid w:val="00AB106C"/>
    <w:rsid w:val="00AB25F3"/>
    <w:rsid w:val="00AB2F19"/>
    <w:rsid w:val="00AC5DA3"/>
    <w:rsid w:val="00AF32AD"/>
    <w:rsid w:val="00AF47E6"/>
    <w:rsid w:val="00AF6E32"/>
    <w:rsid w:val="00B0080D"/>
    <w:rsid w:val="00B06B54"/>
    <w:rsid w:val="00B10D2A"/>
    <w:rsid w:val="00B17F01"/>
    <w:rsid w:val="00B206DC"/>
    <w:rsid w:val="00B24DED"/>
    <w:rsid w:val="00B2549D"/>
    <w:rsid w:val="00B30A42"/>
    <w:rsid w:val="00B34D2C"/>
    <w:rsid w:val="00B459D8"/>
    <w:rsid w:val="00B50485"/>
    <w:rsid w:val="00B53DB9"/>
    <w:rsid w:val="00B55283"/>
    <w:rsid w:val="00B62B61"/>
    <w:rsid w:val="00B716C3"/>
    <w:rsid w:val="00B716FA"/>
    <w:rsid w:val="00B72330"/>
    <w:rsid w:val="00B74CC5"/>
    <w:rsid w:val="00B8057F"/>
    <w:rsid w:val="00B913A0"/>
    <w:rsid w:val="00B9399B"/>
    <w:rsid w:val="00BB24AD"/>
    <w:rsid w:val="00BB2A0C"/>
    <w:rsid w:val="00BB5A4A"/>
    <w:rsid w:val="00BD65F1"/>
    <w:rsid w:val="00BE09B8"/>
    <w:rsid w:val="00BE160C"/>
    <w:rsid w:val="00BE1E3C"/>
    <w:rsid w:val="00BE681D"/>
    <w:rsid w:val="00BF63DF"/>
    <w:rsid w:val="00BF7EA0"/>
    <w:rsid w:val="00C00F0F"/>
    <w:rsid w:val="00C01A5F"/>
    <w:rsid w:val="00C07064"/>
    <w:rsid w:val="00C2186C"/>
    <w:rsid w:val="00C3068D"/>
    <w:rsid w:val="00C351E3"/>
    <w:rsid w:val="00C35F35"/>
    <w:rsid w:val="00C47C23"/>
    <w:rsid w:val="00C513B8"/>
    <w:rsid w:val="00C6047C"/>
    <w:rsid w:val="00C6219F"/>
    <w:rsid w:val="00C6469D"/>
    <w:rsid w:val="00C70907"/>
    <w:rsid w:val="00C766FB"/>
    <w:rsid w:val="00C85532"/>
    <w:rsid w:val="00C873F6"/>
    <w:rsid w:val="00C906D3"/>
    <w:rsid w:val="00C92D7E"/>
    <w:rsid w:val="00C97E83"/>
    <w:rsid w:val="00CA2110"/>
    <w:rsid w:val="00CB4132"/>
    <w:rsid w:val="00CC5F06"/>
    <w:rsid w:val="00CC7310"/>
    <w:rsid w:val="00CC7CF0"/>
    <w:rsid w:val="00CD3A47"/>
    <w:rsid w:val="00D031D1"/>
    <w:rsid w:val="00D03A1A"/>
    <w:rsid w:val="00D061FC"/>
    <w:rsid w:val="00D207F3"/>
    <w:rsid w:val="00D213F5"/>
    <w:rsid w:val="00D26AD8"/>
    <w:rsid w:val="00D30D64"/>
    <w:rsid w:val="00D36F44"/>
    <w:rsid w:val="00D3707D"/>
    <w:rsid w:val="00D42DD1"/>
    <w:rsid w:val="00D43CEC"/>
    <w:rsid w:val="00D4505A"/>
    <w:rsid w:val="00D463CC"/>
    <w:rsid w:val="00D47130"/>
    <w:rsid w:val="00D47EB5"/>
    <w:rsid w:val="00D52840"/>
    <w:rsid w:val="00D55A2D"/>
    <w:rsid w:val="00D603E6"/>
    <w:rsid w:val="00D62FE6"/>
    <w:rsid w:val="00D71888"/>
    <w:rsid w:val="00D967FD"/>
    <w:rsid w:val="00DA0BDE"/>
    <w:rsid w:val="00DA1991"/>
    <w:rsid w:val="00DB02B6"/>
    <w:rsid w:val="00DB1ADC"/>
    <w:rsid w:val="00DB1DA1"/>
    <w:rsid w:val="00DB7C91"/>
    <w:rsid w:val="00DC4DBF"/>
    <w:rsid w:val="00DD25D9"/>
    <w:rsid w:val="00DD4994"/>
    <w:rsid w:val="00DD78DC"/>
    <w:rsid w:val="00DE01CA"/>
    <w:rsid w:val="00DE1DF9"/>
    <w:rsid w:val="00DE2B19"/>
    <w:rsid w:val="00DE4E25"/>
    <w:rsid w:val="00DF399C"/>
    <w:rsid w:val="00DF76EC"/>
    <w:rsid w:val="00DF7916"/>
    <w:rsid w:val="00E03EDB"/>
    <w:rsid w:val="00E24577"/>
    <w:rsid w:val="00E314E5"/>
    <w:rsid w:val="00E3428F"/>
    <w:rsid w:val="00E36A6D"/>
    <w:rsid w:val="00E4421F"/>
    <w:rsid w:val="00E60DA6"/>
    <w:rsid w:val="00E64579"/>
    <w:rsid w:val="00E71150"/>
    <w:rsid w:val="00E71612"/>
    <w:rsid w:val="00E72E8D"/>
    <w:rsid w:val="00E812E4"/>
    <w:rsid w:val="00E90EB7"/>
    <w:rsid w:val="00E94370"/>
    <w:rsid w:val="00EA1DD9"/>
    <w:rsid w:val="00EB0096"/>
    <w:rsid w:val="00EB60D1"/>
    <w:rsid w:val="00EB7678"/>
    <w:rsid w:val="00EB7D5F"/>
    <w:rsid w:val="00ED0B1E"/>
    <w:rsid w:val="00ED22FE"/>
    <w:rsid w:val="00ED25AF"/>
    <w:rsid w:val="00ED4887"/>
    <w:rsid w:val="00ED4E18"/>
    <w:rsid w:val="00ED56CB"/>
    <w:rsid w:val="00EE4531"/>
    <w:rsid w:val="00EF7E0F"/>
    <w:rsid w:val="00F013BE"/>
    <w:rsid w:val="00F07078"/>
    <w:rsid w:val="00F2038A"/>
    <w:rsid w:val="00F21C68"/>
    <w:rsid w:val="00F251A6"/>
    <w:rsid w:val="00F25B0B"/>
    <w:rsid w:val="00F35D9B"/>
    <w:rsid w:val="00F4267E"/>
    <w:rsid w:val="00F51B6F"/>
    <w:rsid w:val="00F576B8"/>
    <w:rsid w:val="00F7233F"/>
    <w:rsid w:val="00F74A4E"/>
    <w:rsid w:val="00F76771"/>
    <w:rsid w:val="00F769F6"/>
    <w:rsid w:val="00F852CA"/>
    <w:rsid w:val="00F87507"/>
    <w:rsid w:val="00F90252"/>
    <w:rsid w:val="00F9204F"/>
    <w:rsid w:val="00F92C09"/>
    <w:rsid w:val="00FA05DA"/>
    <w:rsid w:val="00FA1A7F"/>
    <w:rsid w:val="00FA21AB"/>
    <w:rsid w:val="00FA3247"/>
    <w:rsid w:val="00FA5A24"/>
    <w:rsid w:val="00FB0BBA"/>
    <w:rsid w:val="00FB12C2"/>
    <w:rsid w:val="00FB3678"/>
    <w:rsid w:val="00FB36FD"/>
    <w:rsid w:val="00FB4884"/>
    <w:rsid w:val="00FC0C30"/>
    <w:rsid w:val="00FC1F28"/>
    <w:rsid w:val="00FC2CE5"/>
    <w:rsid w:val="00FD541A"/>
    <w:rsid w:val="00FD7A11"/>
    <w:rsid w:val="00FE2D57"/>
    <w:rsid w:val="00FE444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041EAD-723F-417B-AB21-8EB8A29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39"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F11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F1163"/>
    <w:rPr>
      <w:rFonts w:cs="Times New Roman"/>
    </w:rPr>
  </w:style>
  <w:style w:type="paragraph" w:customStyle="1" w:styleId="FreeFormAA">
    <w:name w:val="Free Form A A"/>
    <w:rsid w:val="009F1163"/>
    <w:rPr>
      <w:rFonts w:ascii="Helvetica" w:hAnsi="Helvetica"/>
      <w:color w:val="000000"/>
      <w:sz w:val="24"/>
      <w:lang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6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9F1163"/>
    <w:rPr>
      <w:sz w:val="20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link w:val="BVIfnrCharCharCharChar1CharChar"/>
    <w:semiHidden/>
    <w:unhideWhenUsed/>
    <w:qFormat/>
    <w:locked/>
    <w:rsid w:val="009F11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6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9F116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B4B5C"/>
    <w:rPr>
      <w:rFonts w:ascii="Helvetica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0777F7"/>
    <w:rPr>
      <w:sz w:val="22"/>
      <w:szCs w:val="22"/>
      <w:lang w:val="sr-Cyrl-CS"/>
    </w:rPr>
  </w:style>
  <w:style w:type="character" w:styleId="Hyperlink">
    <w:name w:val="Hyperlink"/>
    <w:uiPriority w:val="99"/>
    <w:semiHidden/>
    <w:unhideWhenUsed/>
    <w:rsid w:val="000777F7"/>
    <w:rPr>
      <w:color w:val="0000FF"/>
      <w:u w:val="single"/>
    </w:rPr>
  </w:style>
  <w:style w:type="paragraph" w:customStyle="1" w:styleId="BVIfnrCharCharCharChar1CharChar">
    <w:name w:val="BVI fnr Char Char Char Char1 Char Char"/>
    <w:aliases w:val="Footnotes refss Char Char Char Char1 Char Char,ftref Char Char Char Char1 Char Char,16 Point Char Char Char Char1 Char Char,Superscript 6 Point Char Char Char Char1 Char Char Char"/>
    <w:basedOn w:val="Normal"/>
    <w:link w:val="FootnoteReference"/>
    <w:semiHidden/>
    <w:rsid w:val="000777F7"/>
    <w:pPr>
      <w:spacing w:after="160" w:line="240" w:lineRule="exact"/>
    </w:pPr>
    <w:rPr>
      <w:sz w:val="20"/>
      <w:szCs w:val="20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A23270"/>
    <w:rPr>
      <w:rFonts w:ascii="Times New Roman" w:hAnsi="Times New Roman"/>
    </w:rPr>
  </w:style>
  <w:style w:type="paragraph" w:customStyle="1" w:styleId="Normal1">
    <w:name w:val="Normal1"/>
    <w:basedOn w:val="Normal"/>
    <w:rsid w:val="00B913A0"/>
    <w:pPr>
      <w:spacing w:before="100" w:beforeAutospacing="1" w:after="100" w:afterAutospacing="1" w:line="240" w:lineRule="auto"/>
    </w:pPr>
    <w:rPr>
      <w:rFonts w:ascii="Arial" w:hAnsi="Arial" w:cs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4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poverenik@ravnopravnost.gov.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verenik@ravnopravnost.gov.rs" TargetMode="External"/><Relationship Id="rId2" Type="http://schemas.openxmlformats.org/officeDocument/2006/relationships/hyperlink" Target="http://www.ravnopravnost.gov.rs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poverenik@ravnopravnost.gov.rs" TargetMode="External"/><Relationship Id="rId4" Type="http://schemas.openxmlformats.org/officeDocument/2006/relationships/hyperlink" Target="http://www.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F3E3-712F-41CE-B98F-956DC7E5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Kosana Beker</cp:lastModifiedBy>
  <cp:revision>6</cp:revision>
  <cp:lastPrinted>2016-01-19T12:23:00Z</cp:lastPrinted>
  <dcterms:created xsi:type="dcterms:W3CDTF">2016-01-20T08:29:00Z</dcterms:created>
  <dcterms:modified xsi:type="dcterms:W3CDTF">2016-01-20T10:36:00Z</dcterms:modified>
</cp:coreProperties>
</file>